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9EDD76" w14:textId="0E7C484F" w:rsidR="00E97232" w:rsidRPr="00DE2668" w:rsidRDefault="00E97232" w:rsidP="00E97232">
      <w:pPr>
        <w:spacing w:line="480" w:lineRule="auto"/>
        <w:contextualSpacing/>
        <w:rPr>
          <w:b/>
          <w:bCs/>
          <w:sz w:val="18"/>
          <w:szCs w:val="18"/>
        </w:rPr>
      </w:pPr>
      <w:r>
        <w:rPr>
          <w:b/>
          <w:bCs/>
          <w:sz w:val="18"/>
          <w:szCs w:val="18"/>
        </w:rPr>
        <w:t>Supplementary Table</w:t>
      </w:r>
      <w:r w:rsidR="005D1023">
        <w:rPr>
          <w:b/>
          <w:bCs/>
          <w:sz w:val="18"/>
          <w:szCs w:val="18"/>
        </w:rPr>
        <w:t xml:space="preserve"> 1</w:t>
      </w:r>
      <w:r w:rsidR="00C853F2">
        <w:rPr>
          <w:b/>
          <w:bCs/>
          <w:sz w:val="18"/>
          <w:szCs w:val="18"/>
        </w:rPr>
        <w:t xml:space="preserve">. </w:t>
      </w:r>
      <w:r>
        <w:rPr>
          <w:b/>
          <w:bCs/>
          <w:sz w:val="18"/>
          <w:szCs w:val="18"/>
        </w:rPr>
        <w:t>Case stud</w:t>
      </w:r>
      <w:r w:rsidR="00C853F2">
        <w:rPr>
          <w:b/>
          <w:bCs/>
          <w:sz w:val="18"/>
          <w:szCs w:val="18"/>
        </w:rPr>
        <w:t>ies</w:t>
      </w:r>
      <w:r>
        <w:rPr>
          <w:b/>
          <w:bCs/>
          <w:sz w:val="18"/>
          <w:szCs w:val="18"/>
        </w:rPr>
        <w:t xml:space="preserve"> survey</w:t>
      </w:r>
      <w:r w:rsidR="00C853F2">
        <w:rPr>
          <w:b/>
          <w:bCs/>
          <w:sz w:val="18"/>
          <w:szCs w:val="18"/>
        </w:rPr>
        <w:t>.</w:t>
      </w:r>
    </w:p>
    <w:p w14:paraId="7ADD7C49" w14:textId="67F37573" w:rsidR="00E97232" w:rsidRPr="00DE2668" w:rsidRDefault="00E97232" w:rsidP="00E97232">
      <w:pPr>
        <w:spacing w:line="480" w:lineRule="auto"/>
        <w:contextualSpacing/>
        <w:rPr>
          <w:sz w:val="18"/>
          <w:szCs w:val="18"/>
        </w:rPr>
      </w:pPr>
      <w:r w:rsidRPr="00DE2668">
        <w:rPr>
          <w:sz w:val="18"/>
          <w:szCs w:val="18"/>
        </w:rPr>
        <w:t>Potential uncertainties from</w:t>
      </w:r>
      <w:r w:rsidR="00C853F2">
        <w:rPr>
          <w:sz w:val="18"/>
          <w:szCs w:val="18"/>
        </w:rPr>
        <w:t xml:space="preserve"> each</w:t>
      </w:r>
      <w:r w:rsidRPr="00DE2668">
        <w:rPr>
          <w:sz w:val="18"/>
          <w:szCs w:val="18"/>
        </w:rPr>
        <w:t xml:space="preserve"> case study: </w:t>
      </w:r>
    </w:p>
    <w:tbl>
      <w:tblPr>
        <w:tblStyle w:val="Tabelraster"/>
        <w:tblW w:w="0" w:type="auto"/>
        <w:tblLook w:val="04A0" w:firstRow="1" w:lastRow="0" w:firstColumn="1" w:lastColumn="0" w:noHBand="0" w:noVBand="1"/>
      </w:tblPr>
      <w:tblGrid>
        <w:gridCol w:w="1671"/>
        <w:gridCol w:w="7617"/>
      </w:tblGrid>
      <w:tr w:rsidR="00E97232" w:rsidRPr="00DE2668" w14:paraId="0538262B" w14:textId="77777777" w:rsidTr="006E10D2">
        <w:tc>
          <w:tcPr>
            <w:tcW w:w="0" w:type="auto"/>
          </w:tcPr>
          <w:p w14:paraId="1DF5F65B" w14:textId="77777777" w:rsidR="00E97232" w:rsidRPr="00DE2668" w:rsidRDefault="00E97232" w:rsidP="006E10D2">
            <w:pPr>
              <w:spacing w:line="480" w:lineRule="auto"/>
              <w:contextualSpacing/>
              <w:rPr>
                <w:b/>
                <w:bCs/>
                <w:sz w:val="18"/>
                <w:szCs w:val="18"/>
              </w:rPr>
            </w:pPr>
            <w:r w:rsidRPr="00DE2668">
              <w:rPr>
                <w:b/>
                <w:bCs/>
                <w:sz w:val="18"/>
                <w:szCs w:val="18"/>
              </w:rPr>
              <w:t>Case study</w:t>
            </w:r>
          </w:p>
        </w:tc>
        <w:tc>
          <w:tcPr>
            <w:tcW w:w="0" w:type="auto"/>
          </w:tcPr>
          <w:p w14:paraId="7FF8C205" w14:textId="77777777" w:rsidR="00E97232" w:rsidRPr="00DE2668" w:rsidRDefault="00E97232" w:rsidP="006E10D2">
            <w:pPr>
              <w:spacing w:line="480" w:lineRule="auto"/>
              <w:contextualSpacing/>
              <w:rPr>
                <w:b/>
                <w:bCs/>
                <w:sz w:val="18"/>
                <w:szCs w:val="18"/>
              </w:rPr>
            </w:pPr>
            <w:r w:rsidRPr="00DE2668">
              <w:rPr>
                <w:b/>
                <w:bCs/>
                <w:sz w:val="18"/>
                <w:szCs w:val="18"/>
              </w:rPr>
              <w:t>Uncertainty extracted from assessment reports (modified)</w:t>
            </w:r>
          </w:p>
        </w:tc>
      </w:tr>
      <w:tr w:rsidR="00E97232" w:rsidRPr="00DE2668" w14:paraId="5E4713BF" w14:textId="77777777" w:rsidTr="006E10D2">
        <w:tc>
          <w:tcPr>
            <w:tcW w:w="0" w:type="auto"/>
            <w:vMerge w:val="restart"/>
            <w:vAlign w:val="center"/>
          </w:tcPr>
          <w:p w14:paraId="561CE5E9" w14:textId="77777777" w:rsidR="00E97232" w:rsidRPr="00DE2668" w:rsidRDefault="00E97232" w:rsidP="006E10D2">
            <w:pPr>
              <w:spacing w:line="480" w:lineRule="auto"/>
              <w:contextualSpacing/>
              <w:rPr>
                <w:sz w:val="18"/>
                <w:szCs w:val="18"/>
              </w:rPr>
            </w:pPr>
            <w:r w:rsidRPr="00DE2668">
              <w:rPr>
                <w:sz w:val="18"/>
                <w:szCs w:val="18"/>
              </w:rPr>
              <w:t>Tumor agnostic therapy</w:t>
            </w:r>
          </w:p>
        </w:tc>
        <w:tc>
          <w:tcPr>
            <w:tcW w:w="0" w:type="auto"/>
          </w:tcPr>
          <w:p w14:paraId="2DACEE84" w14:textId="77777777" w:rsidR="00E97232" w:rsidRPr="00DE2668" w:rsidRDefault="00E97232" w:rsidP="006E10D2">
            <w:pPr>
              <w:spacing w:line="480" w:lineRule="auto"/>
              <w:contextualSpacing/>
              <w:rPr>
                <w:sz w:val="18"/>
                <w:szCs w:val="18"/>
              </w:rPr>
            </w:pPr>
            <w:r w:rsidRPr="00DE2668">
              <w:rPr>
                <w:sz w:val="18"/>
                <w:szCs w:val="18"/>
              </w:rPr>
              <w:t>“There are many small sub-populations, all with a very different prognosis based on each tumor location.”</w:t>
            </w:r>
          </w:p>
        </w:tc>
      </w:tr>
      <w:tr w:rsidR="00E97232" w:rsidRPr="00DE2668" w14:paraId="265F5F9E" w14:textId="77777777" w:rsidTr="006E10D2">
        <w:tc>
          <w:tcPr>
            <w:tcW w:w="0" w:type="auto"/>
            <w:vMerge/>
            <w:vAlign w:val="center"/>
          </w:tcPr>
          <w:p w14:paraId="67CD5F66" w14:textId="77777777" w:rsidR="00E97232" w:rsidRPr="00DE2668" w:rsidRDefault="00E97232" w:rsidP="006E10D2">
            <w:pPr>
              <w:spacing w:line="480" w:lineRule="auto"/>
              <w:contextualSpacing/>
              <w:rPr>
                <w:sz w:val="18"/>
                <w:szCs w:val="18"/>
              </w:rPr>
            </w:pPr>
          </w:p>
        </w:tc>
        <w:tc>
          <w:tcPr>
            <w:tcW w:w="0" w:type="auto"/>
          </w:tcPr>
          <w:p w14:paraId="4CD1C42A" w14:textId="77777777" w:rsidR="00E97232" w:rsidRPr="00DE2668" w:rsidRDefault="00E97232" w:rsidP="006E10D2">
            <w:pPr>
              <w:spacing w:line="480" w:lineRule="auto"/>
              <w:contextualSpacing/>
              <w:rPr>
                <w:sz w:val="18"/>
                <w:szCs w:val="18"/>
              </w:rPr>
            </w:pPr>
            <w:r w:rsidRPr="00DE2668">
              <w:rPr>
                <w:sz w:val="18"/>
                <w:szCs w:val="18"/>
              </w:rPr>
              <w:t>“The natural history of disease for patients with a NTRK gene fusion is unknown.”</w:t>
            </w:r>
          </w:p>
        </w:tc>
      </w:tr>
      <w:tr w:rsidR="00E97232" w:rsidRPr="00DE2668" w14:paraId="4E2FC2BB" w14:textId="77777777" w:rsidTr="006E10D2">
        <w:tc>
          <w:tcPr>
            <w:tcW w:w="0" w:type="auto"/>
            <w:vMerge/>
            <w:vAlign w:val="center"/>
          </w:tcPr>
          <w:p w14:paraId="33E3FA81" w14:textId="77777777" w:rsidR="00E97232" w:rsidRPr="00DE2668" w:rsidRDefault="00E97232" w:rsidP="006E10D2">
            <w:pPr>
              <w:spacing w:line="480" w:lineRule="auto"/>
              <w:contextualSpacing/>
              <w:rPr>
                <w:sz w:val="18"/>
                <w:szCs w:val="18"/>
              </w:rPr>
            </w:pPr>
          </w:p>
        </w:tc>
        <w:tc>
          <w:tcPr>
            <w:tcW w:w="0" w:type="auto"/>
          </w:tcPr>
          <w:p w14:paraId="4C0DF2FD" w14:textId="77777777" w:rsidR="00E97232" w:rsidRPr="00DE2668" w:rsidRDefault="00E97232" w:rsidP="006E10D2">
            <w:pPr>
              <w:spacing w:line="480" w:lineRule="auto"/>
              <w:contextualSpacing/>
              <w:rPr>
                <w:sz w:val="18"/>
                <w:szCs w:val="18"/>
              </w:rPr>
            </w:pPr>
            <w:r w:rsidRPr="00DE2668">
              <w:rPr>
                <w:sz w:val="18"/>
                <w:szCs w:val="18"/>
              </w:rPr>
              <w:t>“The decision was informed by solely interim data.”</w:t>
            </w:r>
          </w:p>
        </w:tc>
      </w:tr>
      <w:tr w:rsidR="00E97232" w:rsidRPr="00DE2668" w14:paraId="6D91591F" w14:textId="77777777" w:rsidTr="006E10D2">
        <w:tc>
          <w:tcPr>
            <w:tcW w:w="0" w:type="auto"/>
            <w:vMerge/>
            <w:vAlign w:val="center"/>
          </w:tcPr>
          <w:p w14:paraId="194E4C37" w14:textId="77777777" w:rsidR="00E97232" w:rsidRPr="00DE2668" w:rsidRDefault="00E97232" w:rsidP="006E10D2">
            <w:pPr>
              <w:spacing w:line="480" w:lineRule="auto"/>
              <w:contextualSpacing/>
              <w:rPr>
                <w:sz w:val="18"/>
                <w:szCs w:val="18"/>
              </w:rPr>
            </w:pPr>
          </w:p>
        </w:tc>
        <w:tc>
          <w:tcPr>
            <w:tcW w:w="0" w:type="auto"/>
          </w:tcPr>
          <w:p w14:paraId="6BCE8A02" w14:textId="77777777" w:rsidR="00E97232" w:rsidRPr="00DE2668" w:rsidRDefault="00E97232" w:rsidP="006E10D2">
            <w:pPr>
              <w:spacing w:line="480" w:lineRule="auto"/>
              <w:contextualSpacing/>
              <w:rPr>
                <w:sz w:val="18"/>
                <w:szCs w:val="18"/>
              </w:rPr>
            </w:pPr>
            <w:r w:rsidRPr="00DE2668">
              <w:rPr>
                <w:sz w:val="18"/>
                <w:szCs w:val="18"/>
              </w:rPr>
              <w:t>“A basket trial design was used without a comparator arm, an intra-person outcome measure was used as analysis control.”</w:t>
            </w:r>
          </w:p>
        </w:tc>
      </w:tr>
      <w:tr w:rsidR="00E97232" w:rsidRPr="00DE2668" w14:paraId="6F1C0B30" w14:textId="77777777" w:rsidTr="006E10D2">
        <w:tc>
          <w:tcPr>
            <w:tcW w:w="0" w:type="auto"/>
            <w:vMerge/>
            <w:vAlign w:val="center"/>
          </w:tcPr>
          <w:p w14:paraId="7C14F7C3" w14:textId="77777777" w:rsidR="00E97232" w:rsidRPr="00DE2668" w:rsidRDefault="00E97232" w:rsidP="006E10D2">
            <w:pPr>
              <w:spacing w:line="480" w:lineRule="auto"/>
              <w:contextualSpacing/>
              <w:rPr>
                <w:sz w:val="18"/>
                <w:szCs w:val="18"/>
              </w:rPr>
            </w:pPr>
          </w:p>
        </w:tc>
        <w:tc>
          <w:tcPr>
            <w:tcW w:w="0" w:type="auto"/>
          </w:tcPr>
          <w:p w14:paraId="4B71FDA2" w14:textId="77777777" w:rsidR="00E97232" w:rsidRPr="00DE2668" w:rsidRDefault="00E97232" w:rsidP="006E10D2">
            <w:pPr>
              <w:spacing w:line="480" w:lineRule="auto"/>
              <w:contextualSpacing/>
              <w:rPr>
                <w:sz w:val="18"/>
                <w:szCs w:val="18"/>
              </w:rPr>
            </w:pPr>
            <w:r w:rsidRPr="00DE2668">
              <w:rPr>
                <w:sz w:val="18"/>
                <w:szCs w:val="18"/>
              </w:rPr>
              <w:t>“It is unclear which proportion of eligible patients will receive diagnostic testing in clinical practice.”</w:t>
            </w:r>
          </w:p>
        </w:tc>
      </w:tr>
      <w:tr w:rsidR="00E97232" w:rsidRPr="00DE2668" w14:paraId="742AB7DA" w14:textId="77777777" w:rsidTr="006E10D2">
        <w:tc>
          <w:tcPr>
            <w:tcW w:w="0" w:type="auto"/>
            <w:vMerge w:val="restart"/>
            <w:vAlign w:val="center"/>
          </w:tcPr>
          <w:p w14:paraId="21E61A63" w14:textId="77777777" w:rsidR="00E97232" w:rsidRPr="00DE2668" w:rsidRDefault="00E97232" w:rsidP="006E10D2">
            <w:pPr>
              <w:spacing w:line="480" w:lineRule="auto"/>
              <w:contextualSpacing/>
              <w:rPr>
                <w:sz w:val="18"/>
                <w:szCs w:val="18"/>
              </w:rPr>
            </w:pPr>
            <w:r w:rsidRPr="00DE2668">
              <w:rPr>
                <w:sz w:val="18"/>
                <w:szCs w:val="18"/>
              </w:rPr>
              <w:t>Treatment for cystic fibrosis</w:t>
            </w:r>
          </w:p>
        </w:tc>
        <w:tc>
          <w:tcPr>
            <w:tcW w:w="0" w:type="auto"/>
          </w:tcPr>
          <w:p w14:paraId="138F1BD0" w14:textId="77777777" w:rsidR="00E97232" w:rsidRPr="00DE2668" w:rsidRDefault="00E97232" w:rsidP="006E10D2">
            <w:pPr>
              <w:spacing w:line="480" w:lineRule="auto"/>
              <w:contextualSpacing/>
              <w:rPr>
                <w:sz w:val="18"/>
                <w:szCs w:val="18"/>
              </w:rPr>
            </w:pPr>
            <w:r w:rsidRPr="00DE2668">
              <w:rPr>
                <w:sz w:val="18"/>
                <w:szCs w:val="18"/>
              </w:rPr>
              <w:t>“While there was a statistically significant improvement for the primary endpoint, it was modest. Given the modest effect size, it is uncertain if it represents a clinically meaningful benefit above placebo.”</w:t>
            </w:r>
          </w:p>
        </w:tc>
      </w:tr>
      <w:tr w:rsidR="00E97232" w:rsidRPr="00DE2668" w14:paraId="0D485C3B" w14:textId="77777777" w:rsidTr="006E10D2">
        <w:tc>
          <w:tcPr>
            <w:tcW w:w="0" w:type="auto"/>
            <w:vMerge/>
          </w:tcPr>
          <w:p w14:paraId="25DC165D" w14:textId="77777777" w:rsidR="00E97232" w:rsidRPr="00DE2668" w:rsidRDefault="00E97232" w:rsidP="006E10D2">
            <w:pPr>
              <w:spacing w:line="480" w:lineRule="auto"/>
              <w:contextualSpacing/>
              <w:rPr>
                <w:sz w:val="18"/>
                <w:szCs w:val="18"/>
              </w:rPr>
            </w:pPr>
          </w:p>
        </w:tc>
        <w:tc>
          <w:tcPr>
            <w:tcW w:w="0" w:type="auto"/>
          </w:tcPr>
          <w:p w14:paraId="0752C47B" w14:textId="77777777" w:rsidR="00E97232" w:rsidRPr="00DE2668" w:rsidRDefault="00E97232" w:rsidP="006E10D2">
            <w:pPr>
              <w:spacing w:line="480" w:lineRule="auto"/>
              <w:contextualSpacing/>
              <w:rPr>
                <w:sz w:val="18"/>
                <w:szCs w:val="18"/>
              </w:rPr>
            </w:pPr>
            <w:r w:rsidRPr="00DE2668">
              <w:rPr>
                <w:sz w:val="18"/>
                <w:szCs w:val="18"/>
              </w:rPr>
              <w:t>“While the numbers are small, the serious adverse events and discontinuation data suggest that the treatment’s use may be associated with liver toxicity.”</w:t>
            </w:r>
          </w:p>
        </w:tc>
      </w:tr>
      <w:tr w:rsidR="00E97232" w:rsidRPr="00DE2668" w14:paraId="16D752D4" w14:textId="77777777" w:rsidTr="006E10D2">
        <w:tc>
          <w:tcPr>
            <w:tcW w:w="0" w:type="auto"/>
            <w:vMerge/>
          </w:tcPr>
          <w:p w14:paraId="2C070A18" w14:textId="77777777" w:rsidR="00E97232" w:rsidRPr="00DE2668" w:rsidRDefault="00E97232" w:rsidP="006E10D2">
            <w:pPr>
              <w:spacing w:line="480" w:lineRule="auto"/>
              <w:contextualSpacing/>
              <w:rPr>
                <w:sz w:val="18"/>
                <w:szCs w:val="18"/>
              </w:rPr>
            </w:pPr>
          </w:p>
        </w:tc>
        <w:tc>
          <w:tcPr>
            <w:tcW w:w="0" w:type="auto"/>
          </w:tcPr>
          <w:p w14:paraId="251AF936" w14:textId="77777777" w:rsidR="00E97232" w:rsidRPr="00DE2668" w:rsidRDefault="00E97232" w:rsidP="006E10D2">
            <w:pPr>
              <w:spacing w:line="480" w:lineRule="auto"/>
              <w:contextualSpacing/>
              <w:rPr>
                <w:sz w:val="18"/>
                <w:szCs w:val="18"/>
              </w:rPr>
            </w:pPr>
            <w:r w:rsidRPr="00DE2668">
              <w:rPr>
                <w:sz w:val="18"/>
                <w:szCs w:val="18"/>
              </w:rPr>
              <w:t>“The use in pregnant or lactating women has not been studied in adequate and well controlled trials.”</w:t>
            </w:r>
          </w:p>
        </w:tc>
      </w:tr>
      <w:tr w:rsidR="00E97232" w:rsidRPr="00DE2668" w14:paraId="1EC28EC3" w14:textId="77777777" w:rsidTr="006E10D2">
        <w:tc>
          <w:tcPr>
            <w:tcW w:w="0" w:type="auto"/>
            <w:vMerge/>
          </w:tcPr>
          <w:p w14:paraId="5D914A0F" w14:textId="77777777" w:rsidR="00E97232" w:rsidRPr="00DE2668" w:rsidRDefault="00E97232" w:rsidP="006E10D2">
            <w:pPr>
              <w:spacing w:line="480" w:lineRule="auto"/>
              <w:contextualSpacing/>
              <w:rPr>
                <w:sz w:val="18"/>
                <w:szCs w:val="18"/>
              </w:rPr>
            </w:pPr>
          </w:p>
        </w:tc>
        <w:tc>
          <w:tcPr>
            <w:tcW w:w="0" w:type="auto"/>
          </w:tcPr>
          <w:p w14:paraId="29D30063" w14:textId="77777777" w:rsidR="00E97232" w:rsidRPr="00DE2668" w:rsidRDefault="00E97232" w:rsidP="006E10D2">
            <w:pPr>
              <w:spacing w:line="480" w:lineRule="auto"/>
              <w:contextualSpacing/>
              <w:rPr>
                <w:sz w:val="18"/>
                <w:szCs w:val="18"/>
              </w:rPr>
            </w:pPr>
            <w:r w:rsidRPr="00DE2668">
              <w:rPr>
                <w:sz w:val="18"/>
                <w:szCs w:val="18"/>
              </w:rPr>
              <w:t>“It was noted that because the company’s trials were short, the long-term effects were uncertain.”</w:t>
            </w:r>
          </w:p>
        </w:tc>
      </w:tr>
      <w:tr w:rsidR="00E97232" w:rsidRPr="00DE2668" w14:paraId="69A77134" w14:textId="77777777" w:rsidTr="006E10D2">
        <w:tc>
          <w:tcPr>
            <w:tcW w:w="0" w:type="auto"/>
            <w:vMerge/>
          </w:tcPr>
          <w:p w14:paraId="28EB9C8B" w14:textId="77777777" w:rsidR="00E97232" w:rsidRPr="00DE2668" w:rsidRDefault="00E97232" w:rsidP="006E10D2">
            <w:pPr>
              <w:spacing w:line="480" w:lineRule="auto"/>
              <w:contextualSpacing/>
              <w:rPr>
                <w:sz w:val="18"/>
                <w:szCs w:val="18"/>
              </w:rPr>
            </w:pPr>
          </w:p>
        </w:tc>
        <w:tc>
          <w:tcPr>
            <w:tcW w:w="0" w:type="auto"/>
          </w:tcPr>
          <w:p w14:paraId="71E141D5" w14:textId="77777777" w:rsidR="00E97232" w:rsidRPr="00DE2668" w:rsidRDefault="00E97232" w:rsidP="006E10D2">
            <w:pPr>
              <w:spacing w:line="480" w:lineRule="auto"/>
              <w:contextualSpacing/>
              <w:rPr>
                <w:sz w:val="18"/>
                <w:szCs w:val="18"/>
              </w:rPr>
            </w:pPr>
            <w:r w:rsidRPr="00DE2668">
              <w:rPr>
                <w:sz w:val="18"/>
                <w:szCs w:val="18"/>
              </w:rPr>
              <w:t>“It was stated that because both trials included people with mild to moderate cystic fibrosis, the clinical evidence may not be generalizable to people with severe cystic fibrosis or people with very mild cystic fibrosis.”</w:t>
            </w:r>
          </w:p>
        </w:tc>
      </w:tr>
      <w:tr w:rsidR="00E97232" w:rsidRPr="00DE2668" w14:paraId="413AF923" w14:textId="77777777" w:rsidTr="006E10D2">
        <w:tc>
          <w:tcPr>
            <w:tcW w:w="0" w:type="auto"/>
            <w:vMerge/>
          </w:tcPr>
          <w:p w14:paraId="57AEB639" w14:textId="77777777" w:rsidR="00E97232" w:rsidRPr="00DE2668" w:rsidRDefault="00E97232" w:rsidP="006E10D2">
            <w:pPr>
              <w:spacing w:line="480" w:lineRule="auto"/>
              <w:contextualSpacing/>
              <w:rPr>
                <w:sz w:val="18"/>
                <w:szCs w:val="18"/>
              </w:rPr>
            </w:pPr>
          </w:p>
        </w:tc>
        <w:tc>
          <w:tcPr>
            <w:tcW w:w="0" w:type="auto"/>
          </w:tcPr>
          <w:p w14:paraId="64919CD8" w14:textId="77777777" w:rsidR="00E97232" w:rsidRPr="00DE2668" w:rsidRDefault="00E97232" w:rsidP="006E10D2">
            <w:pPr>
              <w:spacing w:line="480" w:lineRule="auto"/>
              <w:contextualSpacing/>
              <w:rPr>
                <w:sz w:val="18"/>
                <w:szCs w:val="18"/>
              </w:rPr>
            </w:pPr>
            <w:r w:rsidRPr="00DE2668">
              <w:rPr>
                <w:sz w:val="18"/>
                <w:szCs w:val="18"/>
              </w:rPr>
              <w:t>“Contradicting reimbursement recommendations in countries lead to confusion among clinicians and patients.”</w:t>
            </w:r>
          </w:p>
        </w:tc>
      </w:tr>
    </w:tbl>
    <w:p w14:paraId="0E74986C" w14:textId="77777777" w:rsidR="00E97232" w:rsidRPr="00DE2668" w:rsidRDefault="00E97232" w:rsidP="00E97232">
      <w:pPr>
        <w:spacing w:line="480" w:lineRule="auto"/>
        <w:contextualSpacing/>
        <w:rPr>
          <w:sz w:val="18"/>
          <w:szCs w:val="18"/>
        </w:rPr>
      </w:pPr>
    </w:p>
    <w:p w14:paraId="74CB17D0" w14:textId="77777777" w:rsidR="00E97232" w:rsidRPr="00DE2668" w:rsidRDefault="00E97232" w:rsidP="00E97232">
      <w:pPr>
        <w:spacing w:line="480" w:lineRule="auto"/>
        <w:contextualSpacing/>
        <w:rPr>
          <w:sz w:val="18"/>
          <w:szCs w:val="18"/>
        </w:rPr>
      </w:pPr>
      <w:r w:rsidRPr="00DE2668">
        <w:rPr>
          <w:sz w:val="18"/>
          <w:szCs w:val="18"/>
        </w:rPr>
        <w:t xml:space="preserve">Survey questions for each of the potential uncertainties: </w:t>
      </w:r>
    </w:p>
    <w:p w14:paraId="2E5D8A4A" w14:textId="77777777" w:rsidR="00E97232" w:rsidRPr="00DE2668" w:rsidRDefault="00E97232" w:rsidP="00E97232">
      <w:pPr>
        <w:numPr>
          <w:ilvl w:val="0"/>
          <w:numId w:val="1"/>
        </w:numPr>
        <w:spacing w:line="480" w:lineRule="auto"/>
        <w:contextualSpacing/>
        <w:rPr>
          <w:sz w:val="18"/>
          <w:szCs w:val="18"/>
        </w:rPr>
      </w:pPr>
      <w:r w:rsidRPr="00DE2668">
        <w:rPr>
          <w:sz w:val="18"/>
          <w:szCs w:val="18"/>
        </w:rPr>
        <w:t>Do you consider this an ‘uncertainty’ (rather than an issue, a choice or something else)?</w:t>
      </w:r>
    </w:p>
    <w:p w14:paraId="558EF8F2" w14:textId="77777777" w:rsidR="00E97232" w:rsidRPr="00DE2668" w:rsidRDefault="00E97232" w:rsidP="00E97232">
      <w:pPr>
        <w:numPr>
          <w:ilvl w:val="1"/>
          <w:numId w:val="1"/>
        </w:numPr>
        <w:spacing w:line="480" w:lineRule="auto"/>
        <w:contextualSpacing/>
        <w:rPr>
          <w:sz w:val="18"/>
          <w:szCs w:val="18"/>
        </w:rPr>
      </w:pPr>
      <w:r w:rsidRPr="00DE2668">
        <w:rPr>
          <w:sz w:val="18"/>
          <w:szCs w:val="18"/>
        </w:rPr>
        <w:t>Yes/No</w:t>
      </w:r>
    </w:p>
    <w:p w14:paraId="68F1415D" w14:textId="77777777" w:rsidR="00E97232" w:rsidRPr="00DE2668" w:rsidRDefault="00E97232" w:rsidP="00E97232">
      <w:pPr>
        <w:numPr>
          <w:ilvl w:val="0"/>
          <w:numId w:val="1"/>
        </w:numPr>
        <w:spacing w:line="480" w:lineRule="auto"/>
        <w:contextualSpacing/>
        <w:rPr>
          <w:sz w:val="18"/>
          <w:szCs w:val="18"/>
        </w:rPr>
      </w:pPr>
      <w:r w:rsidRPr="00DE2668">
        <w:rPr>
          <w:sz w:val="18"/>
          <w:szCs w:val="18"/>
        </w:rPr>
        <w:t>Please briefly explain why.</w:t>
      </w:r>
    </w:p>
    <w:p w14:paraId="0A658ABE" w14:textId="77777777" w:rsidR="00E97232" w:rsidRPr="00DE2668" w:rsidRDefault="00E97232" w:rsidP="00E97232">
      <w:pPr>
        <w:numPr>
          <w:ilvl w:val="1"/>
          <w:numId w:val="1"/>
        </w:numPr>
        <w:spacing w:line="480" w:lineRule="auto"/>
        <w:contextualSpacing/>
        <w:rPr>
          <w:sz w:val="18"/>
          <w:szCs w:val="18"/>
        </w:rPr>
      </w:pPr>
      <w:r w:rsidRPr="00DE2668">
        <w:rPr>
          <w:sz w:val="18"/>
          <w:szCs w:val="18"/>
        </w:rPr>
        <w:t>Open</w:t>
      </w:r>
    </w:p>
    <w:p w14:paraId="74885B75" w14:textId="77777777" w:rsidR="00E97232" w:rsidRPr="00DE2668" w:rsidRDefault="00E97232" w:rsidP="00E97232">
      <w:pPr>
        <w:numPr>
          <w:ilvl w:val="0"/>
          <w:numId w:val="1"/>
        </w:numPr>
        <w:spacing w:line="480" w:lineRule="auto"/>
        <w:contextualSpacing/>
        <w:rPr>
          <w:sz w:val="18"/>
          <w:szCs w:val="18"/>
        </w:rPr>
      </w:pPr>
      <w:r w:rsidRPr="00DE2668">
        <w:rPr>
          <w:sz w:val="18"/>
          <w:szCs w:val="18"/>
        </w:rPr>
        <w:lastRenderedPageBreak/>
        <w:t>In which domain would you classify this uncertainty/choice (e.g., input, throughput, output, population, intervention, comparator, outcome, study design, decision, deliberation, etc.)? Providing alternative/multiple options is allowed.</w:t>
      </w:r>
    </w:p>
    <w:p w14:paraId="2E299FCD" w14:textId="77777777" w:rsidR="00E97232" w:rsidRPr="00DE2668" w:rsidRDefault="00E97232" w:rsidP="00E97232">
      <w:pPr>
        <w:numPr>
          <w:ilvl w:val="1"/>
          <w:numId w:val="1"/>
        </w:numPr>
        <w:spacing w:line="480" w:lineRule="auto"/>
        <w:contextualSpacing/>
        <w:rPr>
          <w:sz w:val="18"/>
          <w:szCs w:val="18"/>
        </w:rPr>
      </w:pPr>
      <w:r w:rsidRPr="00DE2668">
        <w:rPr>
          <w:sz w:val="18"/>
          <w:szCs w:val="18"/>
        </w:rPr>
        <w:t>Open</w:t>
      </w:r>
    </w:p>
    <w:p w14:paraId="0DE43E89" w14:textId="77777777" w:rsidR="00E97232" w:rsidRPr="00DE2668" w:rsidRDefault="00E97232" w:rsidP="00E97232">
      <w:pPr>
        <w:numPr>
          <w:ilvl w:val="0"/>
          <w:numId w:val="1"/>
        </w:numPr>
        <w:spacing w:line="480" w:lineRule="auto"/>
        <w:contextualSpacing/>
        <w:rPr>
          <w:sz w:val="18"/>
          <w:szCs w:val="18"/>
        </w:rPr>
      </w:pPr>
      <w:r w:rsidRPr="00DE2668">
        <w:rPr>
          <w:sz w:val="18"/>
          <w:szCs w:val="18"/>
        </w:rPr>
        <w:t>As which type would you classify this uncertainty/choice (e.g., parametric, structural, methodological, natural variability, heterogeneity, value, etc.)? Providing alternative/multiple options is allowed.</w:t>
      </w:r>
    </w:p>
    <w:p w14:paraId="083FD70E" w14:textId="77777777" w:rsidR="00E97232" w:rsidRPr="00DE2668" w:rsidRDefault="00E97232" w:rsidP="00E97232">
      <w:pPr>
        <w:numPr>
          <w:ilvl w:val="1"/>
          <w:numId w:val="1"/>
        </w:numPr>
        <w:spacing w:line="480" w:lineRule="auto"/>
        <w:contextualSpacing/>
        <w:rPr>
          <w:sz w:val="18"/>
          <w:szCs w:val="18"/>
        </w:rPr>
      </w:pPr>
      <w:r w:rsidRPr="00DE2668">
        <w:rPr>
          <w:sz w:val="18"/>
          <w:szCs w:val="18"/>
        </w:rPr>
        <w:t>Open</w:t>
      </w:r>
    </w:p>
    <w:p w14:paraId="2A081F82" w14:textId="77777777" w:rsidR="00E97232" w:rsidRPr="00DE2668" w:rsidRDefault="00E97232" w:rsidP="00E97232">
      <w:pPr>
        <w:spacing w:line="480" w:lineRule="auto"/>
        <w:contextualSpacing/>
        <w:rPr>
          <w:sz w:val="18"/>
          <w:szCs w:val="18"/>
        </w:rPr>
      </w:pPr>
    </w:p>
    <w:p w14:paraId="14AD8184" w14:textId="77777777" w:rsidR="00E97232" w:rsidRPr="00DE2668" w:rsidRDefault="00E97232" w:rsidP="00E97232">
      <w:pPr>
        <w:spacing w:line="480" w:lineRule="auto"/>
        <w:contextualSpacing/>
        <w:rPr>
          <w:sz w:val="18"/>
          <w:szCs w:val="18"/>
        </w:rPr>
      </w:pPr>
    </w:p>
    <w:p w14:paraId="4E8E7535" w14:textId="77777777" w:rsidR="00FC2B09" w:rsidRDefault="00FC2B09"/>
    <w:sectPr w:rsidR="00FC2B0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395823"/>
    <w:multiLevelType w:val="hybridMultilevel"/>
    <w:tmpl w:val="186093BC"/>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0"/>
  </w:compat>
  <w:rsids>
    <w:rsidRoot w:val="00E97232"/>
    <w:rsid w:val="005D1023"/>
    <w:rsid w:val="00C853F2"/>
    <w:rsid w:val="00E97232"/>
    <w:rsid w:val="00FC2B0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234495"/>
  <w15:chartTrackingRefBased/>
  <w15:docId w15:val="{E7381EA8-CAD0-4E5B-B7E0-73CDCA867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97232"/>
    <w:pPr>
      <w:spacing w:after="0" w:line="240" w:lineRule="auto"/>
    </w:pPr>
    <w:rPr>
      <w:rFonts w:ascii="Verdana" w:eastAsia="Times New Roman" w:hAnsi="Verdana" w:cs="Times New Roman"/>
      <w:sz w:val="20"/>
      <w:szCs w:val="24"/>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rsid w:val="00E97232"/>
    <w:pPr>
      <w:spacing w:after="0" w:line="240" w:lineRule="auto"/>
    </w:pPr>
    <w:rPr>
      <w:rFonts w:ascii="Times New Roman" w:eastAsia="Times New Roman" w:hAnsi="Times New Roman" w:cs="Times New Roman"/>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344</Words>
  <Characters>1898</Characters>
  <Application>Microsoft Office Word</Application>
  <DocSecurity>0</DocSecurity>
  <Lines>15</Lines>
  <Paragraphs>4</Paragraphs>
  <ScaleCrop>false</ScaleCrop>
  <Company>RaboudUMC</Company>
  <LinksUpToDate>false</LinksUpToDate>
  <CharactersWithSpaces>2238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Oortwijn, Wija</dc:creator>
  <cp:keywords/>
  <dc:description/>
  <cp:lastModifiedBy>Oortwijn, Wija</cp:lastModifiedBy>
  <cp:revision>3</cp:revision>
  <dcterms:created xsi:type="dcterms:W3CDTF">2023-05-02T12:01:00Z</dcterms:created>
  <dcterms:modified xsi:type="dcterms:W3CDTF">2023-05-02T14:39:00Z</dcterms:modified>
</cp:coreProperties>
</file>