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1B22" w14:textId="22E33625" w:rsidR="000B42E9" w:rsidRPr="000B42E9" w:rsidRDefault="000B42E9" w:rsidP="000B42E9">
      <w:pPr>
        <w:spacing w:line="480" w:lineRule="auto"/>
        <w:contextualSpacing/>
        <w:rPr>
          <w:rFonts w:ascii="Verdana" w:hAnsi="Verdana"/>
          <w:b/>
          <w:bCs/>
          <w:sz w:val="18"/>
          <w:szCs w:val="18"/>
          <w:lang w:val="en-GB"/>
        </w:rPr>
      </w:pPr>
      <w:r w:rsidRPr="000B42E9">
        <w:rPr>
          <w:rFonts w:ascii="Verdana" w:hAnsi="Verdana"/>
          <w:b/>
          <w:bCs/>
          <w:sz w:val="18"/>
          <w:szCs w:val="18"/>
          <w:lang w:val="en-GB"/>
        </w:rPr>
        <w:t xml:space="preserve">Supplementary Table </w:t>
      </w:r>
      <w:r>
        <w:rPr>
          <w:rFonts w:ascii="Verdana" w:hAnsi="Verdana"/>
          <w:b/>
          <w:bCs/>
          <w:sz w:val="18"/>
          <w:szCs w:val="18"/>
          <w:lang w:val="en-GB"/>
        </w:rPr>
        <w:t xml:space="preserve">3. </w:t>
      </w:r>
      <w:r w:rsidRPr="000B42E9">
        <w:rPr>
          <w:rFonts w:ascii="Verdana" w:hAnsi="Verdana"/>
          <w:b/>
          <w:bCs/>
          <w:sz w:val="18"/>
          <w:szCs w:val="18"/>
          <w:lang w:val="en-GB"/>
        </w:rPr>
        <w:t>Alphabetic list of articles selected through the scoping review</w:t>
      </w:r>
      <w:r w:rsidR="00081B8A">
        <w:rPr>
          <w:rFonts w:ascii="Verdana" w:hAnsi="Verdana"/>
          <w:b/>
          <w:bCs/>
          <w:sz w:val="18"/>
          <w:szCs w:val="18"/>
          <w:lang w:val="en-GB"/>
        </w:rPr>
        <w:t>.</w:t>
      </w:r>
    </w:p>
    <w:tbl>
      <w:tblPr>
        <w:tblStyle w:val="Onopgemaaktetabel2"/>
        <w:tblW w:w="4897" w:type="pct"/>
        <w:tblLayout w:type="fixed"/>
        <w:tblLook w:val="04A0" w:firstRow="1" w:lastRow="0" w:firstColumn="1" w:lastColumn="0" w:noHBand="0" w:noVBand="1"/>
      </w:tblPr>
      <w:tblGrid>
        <w:gridCol w:w="9097"/>
      </w:tblGrid>
      <w:tr w:rsidR="000B42E9" w:rsidRPr="000B42E9" w14:paraId="5C9915AD" w14:textId="77777777" w:rsidTr="006E1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C5AA5D8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Afzali HHA, Karnon J. Exploring structural uncertainty in model-based economic evaluations.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Pharmacoeconomics. 2015 May;33(5):435–43. </w:t>
            </w:r>
          </w:p>
        </w:tc>
      </w:tr>
      <w:tr w:rsidR="000B42E9" w:rsidRPr="000B42E9" w14:paraId="1E75EF8D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E16F40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Annemans L, Makady A. TRUST4RD: tool for reducing uncertainties in the evidence generation for specialised treatments for rare diseases.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Orphanet J Rare Dis. 2020 May 26;15(1):127. </w:t>
            </w:r>
          </w:p>
        </w:tc>
      </w:tr>
      <w:tr w:rsidR="000B42E9" w:rsidRPr="000B42E9" w14:paraId="49C44663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73AD18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Bloem LT, Vreman R, Peeters NWL, Hoekman J, Elst ME van der, Leufkens H,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Associations between uncertainties identified by the European Medicines Agency and national decision making on reimbursement by HTA agencies.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2021; Available from: https://www.semanticscholar.org/paper/745602fb2d8b7c3c2389cbd91cd9bf854155f129</w:t>
            </w:r>
          </w:p>
        </w:tc>
      </w:tr>
      <w:tr w:rsidR="000B42E9" w:rsidRPr="000B42E9" w14:paraId="1E72E8B3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CD278C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Bojke L, Grigore B, Jankovic D, Peters J, Soares M, Stein K. Informing Reimbursement Decisions Using Cost-Effectiveness Modelling: A Guide to the Process of Generating Elicited Priors to Capture Model Uncertainties.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Pharmacoeconomics. 2017 Sep;35(9):867–77. </w:t>
            </w:r>
          </w:p>
        </w:tc>
      </w:tr>
      <w:tr w:rsidR="000B42E9" w:rsidRPr="000B42E9" w14:paraId="2C027AFC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955CF67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Bond K, Stiffell R, Ollendorf DA. Principles for deliberative processes in health technology assessment.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Int J Technol Assess Health Care. 2020 Aug 4;1–8. </w:t>
            </w:r>
          </w:p>
        </w:tc>
      </w:tr>
      <w:tr w:rsidR="000B42E9" w:rsidRPr="000B42E9" w14:paraId="6615CE8D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34E3D8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Bouvy J, Sapède C, Garner S. Managed Entry Agreements for Pharmaceuticals in the Context of Adaptive Pathways in Europe.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2018; Available from: https://www.semanticscholar.org/paper/cf47b7732a0f6fa0d13858f4f726b8b9d6233e73</w:t>
            </w:r>
          </w:p>
        </w:tc>
      </w:tr>
      <w:tr w:rsidR="000B42E9" w:rsidRPr="000B42E9" w14:paraId="76EC014E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DA1E571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Brown P, Calnan M. NICE technology appraisals: working with multiple levels of uncertainty and the potential for bias.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Med Health Care Philos. 2013 May;16(2):281–93. </w:t>
            </w:r>
          </w:p>
        </w:tc>
      </w:tr>
      <w:tr w:rsidR="000B42E9" w:rsidRPr="000B42E9" w14:paraId="76F5C7E1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FB04D8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Chalmers I. Confronting therapeutic ignorance.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BMJ. 2008 Jul 16;337:a841. </w:t>
            </w:r>
          </w:p>
        </w:tc>
      </w:tr>
      <w:tr w:rsidR="000B42E9" w:rsidRPr="000B42E9" w14:paraId="3C1861D1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01F4C7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Collins R, Bowman L, Landray M, Peto R. The Magic of Randomization versus the Myth of Real-World Evidence.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N Engl J Med. 2020 Feb 13;382(7):674–8. </w:t>
            </w:r>
          </w:p>
        </w:tc>
      </w:tr>
      <w:tr w:rsidR="000B42E9" w:rsidRPr="000B42E9" w14:paraId="145C2FC5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E6D5B81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Coory M. TIDI addresses uncertainty but not indeterminism.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Value Health. 2013 Feb;16(1):215–6. </w:t>
            </w:r>
          </w:p>
        </w:tc>
      </w:tr>
      <w:tr w:rsidR="000B42E9" w:rsidRPr="000B42E9" w14:paraId="59F1F38A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A14C1E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Dhruva S, Darrow JJ, Kesselheim A, Redberg R. Strategies to Manage Drugs and Devices Approved Based on Limited Evidence: Results of a Modified Delphi Panel.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2022; Available from: https://www.semanticscholar.org/paper/6d7d415f556cdef977bf75977b2a1142d35ebb12</w:t>
            </w:r>
          </w:p>
        </w:tc>
      </w:tr>
      <w:tr w:rsidR="000B42E9" w:rsidRPr="000B42E9" w14:paraId="7C19A004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18CA67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fr-FR"/>
              </w:rPr>
              <w:t xml:space="preserve">Dobrow MJ, Goel V, Lemieux-Charles L, Black NA.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The impact of context on evidence utilization: A framework for expert groups developing health policy recommendations.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Social Science &amp; Medicine. 2006 Oct 1;63(7):1811–24. </w:t>
            </w:r>
          </w:p>
        </w:tc>
      </w:tr>
      <w:tr w:rsidR="000B42E9" w:rsidRPr="000B42E9" w14:paraId="2C67B219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1CA80B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Drummond M. When do performance-based risk-sharing arrangements make sense?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Eur J Health Econ. 2015 Jul;16(6):569–71. </w:t>
            </w:r>
          </w:p>
        </w:tc>
      </w:tr>
      <w:tr w:rsidR="000B42E9" w:rsidRPr="000B42E9" w14:paraId="1C355C1B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28258D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Eichler H, Bloechl-Daum B, Brasseur D, Breckenridge A, Leufkens H, Raine J, et al. The risks of risk aversion in drug regulation.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2013; Available from: https://www.semanticscholar.org/paper/f8499d79dc8f04e2521911e405a7ede621f047c4</w:t>
            </w:r>
          </w:p>
        </w:tc>
      </w:tr>
      <w:tr w:rsidR="000B42E9" w:rsidRPr="000B42E9" w14:paraId="1BE81ABA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61B2F08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Eichler H, Pignatti F, Flamion B, Leufkens H, Breckenridge A. Balancing early market access to new drugs with the need for benefit/risk data: a mounting dilemma.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2008; Available from: https://www.semanticscholar.org/paper/0ef1a9e5c1acc38ce41d0da3e47689b59f0acbd4</w:t>
            </w:r>
          </w:p>
        </w:tc>
      </w:tr>
      <w:tr w:rsidR="000B42E9" w:rsidRPr="000B42E9" w14:paraId="2C98C62A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561CB9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sz w:val="18"/>
                <w:szCs w:val="18"/>
                <w:lang w:val="en-GB"/>
              </w:rPr>
              <w:t xml:space="preserve">Eichler HG, Pignatti F, Schwarzer-Daum B, Hidalgo-Simon A, Eichler I, Arlett P,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Randomized Controlled Trials Versus Real World Evidence: Neither Magic Nor Myth.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Clin Pharmacol Ther. 2021 May;109(5):1212–8. </w:t>
            </w:r>
          </w:p>
        </w:tc>
      </w:tr>
      <w:tr w:rsidR="000B42E9" w:rsidRPr="00081B8A" w14:paraId="50E3B4E8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F714BE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Facey K, Whittal A, Drummond M, Upadhyaya S, Junghans T, Nicod E. HTA Appraisal Framework Suitable for Rare Disease Treatments [Internet]. England: Impact HTA; 2021 May. (WP10 Guidance to support consistent HTA appraisal for orphan medicinal products (OMPs)). Report No.: 10.1. Available from: https://www.impact-hta.eu/project-outputs</w:t>
            </w:r>
          </w:p>
        </w:tc>
      </w:tr>
      <w:tr w:rsidR="000B42E9" w:rsidRPr="000B42E9" w14:paraId="7B16078C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AA01A19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Farmer A, Milne R, Walley T. Research to decrease areas of clinical uncertainty.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BMJ. 2011 Feb 4;342:d369. </w:t>
            </w:r>
          </w:p>
        </w:tc>
      </w:tr>
      <w:tr w:rsidR="000B42E9" w:rsidRPr="000B42E9" w14:paraId="1FE6BF2B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72C773B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Ferrario A, Kanavos P. Dealing with uncertainty and high prices of new medicines: a comparative analysis of the use of managed entry agreements in Belgium, England, the Netherlands and Sweden.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2015; Available from: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lastRenderedPageBreak/>
              <w:t>https://www.semanticscholar.org/paper/32ebcfa85cbdbbdbddca23e67be0c461c05d57a8</w:t>
            </w:r>
          </w:p>
        </w:tc>
      </w:tr>
      <w:tr w:rsidR="000B42E9" w:rsidRPr="00571045" w14:paraId="3A73C995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83EEFB" w14:textId="77777777" w:rsidR="000B42E9" w:rsidRPr="00571045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lastRenderedPageBreak/>
              <w:t xml:space="preserve">Ghabri S, Cleemput I, Josselin J. Towards a New Framework for Addressing Structural Uncertainty in Health Technology Assessment Guidelines. </w:t>
            </w:r>
            <w:r w:rsidRPr="00571045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2018; Available from: https://www.semanticscholar.org/paper/a3039a4f6fc3de2d32e3156f903d35f90cfd3778</w:t>
            </w:r>
          </w:p>
        </w:tc>
      </w:tr>
      <w:tr w:rsidR="000B42E9" w:rsidRPr="000B42E9" w14:paraId="06376E4E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7092E07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Ghabri S, Hamers FF, Josselin JM. Exploring Uncertainty in Economic Evaluations of Drugs and Medical Devices: Lessons from the First Review of Manufacturers’ Submissions to the French National Authority for Health.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Pharmacoeconomics. 2016 Jun;34(6):617–24. </w:t>
            </w:r>
          </w:p>
        </w:tc>
      </w:tr>
      <w:tr w:rsidR="000B42E9" w:rsidRPr="000B42E9" w14:paraId="71E84D0F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78F5CD0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Goeree R, Levin L, Chandra K, Bowen JM, Blackhouse G, Tarride JE,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Health technology assessment and primary data collection for reducing uncertainty in decision making.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J Am Coll Radiol. 2009 May;6(5):332–42. </w:t>
            </w:r>
          </w:p>
        </w:tc>
      </w:tr>
      <w:tr w:rsidR="000B42E9" w:rsidRPr="000B42E9" w14:paraId="148104DA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E12CCF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Grimm S, Pouwels X, Ramaekers B, Wijnen B, Knies S, Grutters J,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Development and Validation of the TRansparent Uncertainty ASsessmenT (TRUST) Tool for Assessing Uncertainties in Health Economic Decision Models.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2019; Available from: https://www.semanticscholar.org/paper/bbd2c0b15fffa12c2095345aa19e00884e73b8e4</w:t>
            </w:r>
          </w:p>
        </w:tc>
      </w:tr>
      <w:tr w:rsidR="000B42E9" w:rsidRPr="000B42E9" w14:paraId="0CAA9897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A3D837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Grimm S, Pouwels X, Ramaekers B, Wijnen B, Knies S, Grutters J,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Building a trusted framework for uncertainty assessment in rare diseases: suggestions for improvement (Response to “TRUST4RD: tool for reducing uncertainties in the evidence generation for specialised treatments for rare diseases”).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2021; Available from: https://www.semanticscholar.org/paper/71837ac8452e0e904cac73f38741840ad74f0faa</w:t>
            </w:r>
          </w:p>
        </w:tc>
      </w:tr>
      <w:tr w:rsidR="000B42E9" w:rsidRPr="000B42E9" w14:paraId="01C9E7F8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7AC8DD5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Grimm SE, Pouwels X, Ramaekers BLT, Wijnen B, Otten T, Grutters J,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State of the ART? Two New Tools for Risk Communication in Health Technology Assessments.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Pharmacoeconomics. 2021 Oct;39(10):1185–96. </w:t>
            </w:r>
          </w:p>
        </w:tc>
      </w:tr>
      <w:tr w:rsidR="000B42E9" w:rsidRPr="000B42E9" w14:paraId="3233A552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9D4C26D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Grutters J, Asselt MV, Chalkidou K, Joore M. Healthy Decisions: Towards Uncertainty Tolerance in Healthcare Policy.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2014; Available from: https://www.semanticscholar.org/paper/1e6b3c03cc837dfc9bce1e898c86677f039d0b96</w:t>
            </w:r>
          </w:p>
        </w:tc>
      </w:tr>
      <w:tr w:rsidR="000B42E9" w:rsidRPr="000B42E9" w14:paraId="515DFE1F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59FD7B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da-DK"/>
              </w:rPr>
              <w:t xml:space="preserve">Gutiérrez-Ibarluzea I, Chiumente M, Dauben HP.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The Life Cycle of Health Technologies.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Challenges and Ways Forward. Front Pharmacol. 2017 Jan 24;8:14. </w:t>
            </w:r>
          </w:p>
        </w:tc>
      </w:tr>
      <w:tr w:rsidR="000B42E9" w:rsidRPr="000B42E9" w14:paraId="53A3B318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DEACC13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Halldorsson T, Jeger MJ, Knutsen HK, More S, Naegeli H, Noteborn H,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Guidance on Uncertainty Analysis in Scientific Assessments. EFSA Journal. 2018;16(1):e05123. </w:t>
            </w:r>
          </w:p>
        </w:tc>
      </w:tr>
      <w:tr w:rsidR="000B42E9" w:rsidRPr="000B42E9" w14:paraId="4A281ABB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F7F1A7D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Hulstaert F, Pouppez C, Primus-de Jong C, Harkin K, Neyt M. Evidence gaps for drugs and medical devices at market entry in Europe and potential solutions [Internet]. Brussels: Belgian Health Care Knowledge Centre (KCE); 2021 [cited 2022 Aug 3] p. KCE Reports 347. Report No.: KCE Reports 347. Available from: https://kce.fgov.be/en/evidence-gaps-for-drugs-and-medical-devices-at-market-entry-in-europe-and-potential-solutions</w:t>
            </w:r>
          </w:p>
        </w:tc>
      </w:tr>
      <w:tr w:rsidR="000B42E9" w:rsidRPr="000B42E9" w14:paraId="44E2E991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F96525E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Hultcrantz M, Rind D, Akl EA, Treweek S, Mustafa RA, Iorio A, et al. The GRADE Working Group clarifies the construct of certainty of evidence.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J Clin Epidemiol. 2017 Jul;87:4–13. </w:t>
            </w:r>
          </w:p>
        </w:tc>
      </w:tr>
      <w:tr w:rsidR="000B42E9" w:rsidRPr="000B42E9" w14:paraId="0C99C5D6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273E9C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Janiaud P, Irony T, Russek-Cohen E, Goodman SN. U.S. Food and Drug Administration Reasoning in Approval Decisions When Efficacy Evidence Is Borderline, 2013-2018.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Ann Intern Med. 2021 Nov;174(11):1603–11. </w:t>
            </w:r>
          </w:p>
        </w:tc>
      </w:tr>
      <w:tr w:rsidR="000B42E9" w:rsidRPr="000B42E9" w14:paraId="03F1C8F8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474A15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Jansen E, Hines PA, Berntgen M, Brand A. Strengthening the Interface of Evidence-Based Decision Making Across European Regulators and Health Technology Assessment Bodies.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2022; Available from: https://www.semanticscholar.org/paper/dcf68894678134286538fe66f51f1b48929fd782</w:t>
            </w:r>
          </w:p>
        </w:tc>
      </w:tr>
      <w:tr w:rsidR="000B42E9" w:rsidRPr="000B42E9" w14:paraId="36CB00D7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DB7948E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sz w:val="18"/>
                <w:szCs w:val="18"/>
              </w:rPr>
              <w:t xml:space="preserve">Janssens R, Zafiropoulos N, Koenig F, Kouroumalis A, Guizzaro L, Pignatti F,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HOW DO REGULATORS MANAGE UNCERTAINTY? A CLASSIFICATION OF UNCERTAINTIES AND COPING STRATEGIES.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2020. </w:t>
            </w:r>
          </w:p>
        </w:tc>
      </w:tr>
      <w:tr w:rsidR="000B42E9" w:rsidRPr="000B42E9" w14:paraId="0EBB8B20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4EC0D00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Kanavos P, Ferrario A, Tafuri G, Siviero P. Managing Risk and Uncertainty in Health Technology Introduction: The Role of Managed Entry Agreements.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2017; Available from: https://www.semanticscholar.org/paper/88e45b10f0cc7a0c06a729fab577ffc7ed0a1c24</w:t>
            </w:r>
          </w:p>
        </w:tc>
      </w:tr>
      <w:tr w:rsidR="000B42E9" w:rsidRPr="000B42E9" w14:paraId="4597F7F2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D50119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Kirwin E, Round J, Bond K, McCabe C. A Conceptual Framework for Life-Cycle Health Technology Assessment.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Value in Health. 2022 Jul 1;25(7):1116–23. </w:t>
            </w:r>
          </w:p>
        </w:tc>
      </w:tr>
      <w:tr w:rsidR="000B42E9" w:rsidRPr="000B42E9" w14:paraId="63350A37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0FCCE9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de-DE"/>
              </w:rPr>
              <w:lastRenderedPageBreak/>
              <w:t xml:space="preserve">Kotecha D, Asselbergs FW, Achenbach S, Anker SD, Atar D, Baigent C,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CODE-EHR best practice framework for the use of structured electronic healthcare records in clinical research.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BMJ. 2022 Aug 29;378:e069048. </w:t>
            </w:r>
          </w:p>
        </w:tc>
      </w:tr>
      <w:tr w:rsidR="000B42E9" w:rsidRPr="000B42E9" w14:paraId="1BCCBF56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D5DEB0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Lynch H, Robertson CT. Challenges in confirming drug effectiveness after early approval.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2021; Available from: https://www.semanticscholar.org/paper/229ce0c0e0a50e36f26de732bf5ce9fb0005dc34</w:t>
            </w:r>
          </w:p>
        </w:tc>
      </w:tr>
      <w:tr w:rsidR="000B42E9" w:rsidRPr="000B42E9" w14:paraId="3E461077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8D4FEF7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Maynou L, Cairns J. An empirical analysis of Drug Reimbursement Decisions in 6 European countries *.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2017; Available from: https://www.semanticscholar.org/paper/e230983435651a930d1f537fe909030ba9236209</w:t>
            </w:r>
          </w:p>
        </w:tc>
      </w:tr>
      <w:tr w:rsidR="000B42E9" w:rsidRPr="000B42E9" w14:paraId="0EF3CA64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F26AB1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Maynou L, Cairns J. What is driving HTA decision-making? Evidence from cancer drug reimbursement decisions from 6 European countries.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2019; Available from: https://www.semanticscholar.org/paper/6a4825ed7f38ec91ee03d0edad486e96e8a983fb</w:t>
            </w:r>
          </w:p>
        </w:tc>
      </w:tr>
      <w:tr w:rsidR="000B42E9" w:rsidRPr="000B42E9" w14:paraId="00F08FCE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9A819BF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Merész G, Dóczy V, Hölgyesi Á, Németh G. A critical assessment framework to identify, quantify and interpret the sources of uncertainty in cost-effectiveness analyses.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BMC Health Serv Res. 2022 Jun 25;22(1):822. </w:t>
            </w:r>
          </w:p>
        </w:tc>
      </w:tr>
      <w:tr w:rsidR="000B42E9" w:rsidRPr="000B42E9" w14:paraId="76C1BA1D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C97607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National Institute for Health and Care Excellence. Guide to the Methods of Technology Appraisal 2013 [Internet]. London: National Institute for Health and Care Excellence (NICE); 2013 [cited 2022 Aug 3]. (NICE Process and Methods Guides). Available from: http://www.ncbi.nlm.nih.gov/books/NBK395867/</w:t>
            </w:r>
          </w:p>
        </w:tc>
      </w:tr>
      <w:tr w:rsidR="000B42E9" w:rsidRPr="000B42E9" w14:paraId="0F1CA910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10DF27F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Nicod E, Maynou L, Visintin E, Cairns J. Why do health technology assessment drug reimbursement recommendations differ between countries? A parallel convergent mixed methods study. 2019; Available from: https://www.semanticscholar.org/paper/105500818bf6abe0f4e1edd7599bf877fb7384d2</w:t>
            </w:r>
          </w:p>
        </w:tc>
      </w:tr>
      <w:tr w:rsidR="000B42E9" w:rsidRPr="000B42E9" w14:paraId="4B61909D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8E83C2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Nicod E, Berg Brigham K, Durand-Zaleski I, Kanavos P. Dealing with Uncertainty and Accounting for Social Value Judgments in Assessments of Orphan Drugs: Evidence from Four European Countries.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Value Health. 2017 Aug;20(7):919–26. </w:t>
            </w:r>
          </w:p>
        </w:tc>
      </w:tr>
      <w:tr w:rsidR="000B42E9" w:rsidRPr="000B42E9" w14:paraId="079A5001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F5C52D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Oortwijn W, Jansen M, Baltussen R. Use of Evidence-Informed Deliberative Processes by Health Technology Assessment Agencies Around the Globe.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Int J Health Policy Manag. 2020 Jan 1;9(1):27–33. </w:t>
            </w:r>
          </w:p>
        </w:tc>
      </w:tr>
      <w:tr w:rsidR="000B42E9" w:rsidRPr="000B42E9" w14:paraId="6B9476CB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5FBE532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Petersohn S, Grimm S, Ramaekers B, Cate</w:t>
            </w:r>
            <w:r w:rsidRPr="000B42E9">
              <w:rPr>
                <w:rFonts w:ascii="Cambria Math" w:hAnsi="Cambria Math" w:cs="Cambria Math"/>
                <w:b w:val="0"/>
                <w:bCs w:val="0"/>
                <w:sz w:val="18"/>
                <w:szCs w:val="18"/>
                <w:lang w:val="en-GB"/>
              </w:rPr>
              <w:t>‐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Hoek AT ten, Joore M. Exploring the Feasibility of Comprehensive Uncertainty Assessment in Health Economic Modeling: A Case Study.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2021; Available from: https://www.semanticscholar.org/paper/152705ecf8dd133e6325654256cbc5d9c6d6939d</w:t>
            </w:r>
          </w:p>
        </w:tc>
      </w:tr>
      <w:tr w:rsidR="000B42E9" w:rsidRPr="000B42E9" w14:paraId="0682584E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99E3C76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Pignatti F, Wilking U, Postmus D, Wilking N, Delgado J, Bergh J. The value of anticancer drugs - a regulatory view.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Nat Rev Clin Oncol. 2022 Mar;19(3):207–15. </w:t>
            </w:r>
          </w:p>
        </w:tc>
      </w:tr>
      <w:tr w:rsidR="000B42E9" w:rsidRPr="000B42E9" w14:paraId="13F18ABE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1826F38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Pouwels X, Grutters J, Bindels J, Ramaekers B, Joore M. Uncertainty and Coverage With Evidence Development: Does Practice Meet Theory?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2019; Available from: https://www.semanticscholar.org/paper/9e5bf76310e7cc7ab02c7d056442d33b15c275f1</w:t>
            </w:r>
          </w:p>
        </w:tc>
      </w:tr>
      <w:tr w:rsidR="000B42E9" w:rsidRPr="000B42E9" w14:paraId="0818AB2F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6454DE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Pujolràs LM, Cairns J. Why do some countries approve a cancer drug and others don’t? 2015; Available from: https://www.semanticscholar.org/paper/f56abcb63e85e57d1188bafbd17bb6daf5341565</w:t>
            </w:r>
          </w:p>
        </w:tc>
      </w:tr>
      <w:tr w:rsidR="000B42E9" w:rsidRPr="000B42E9" w14:paraId="054D6557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56BD815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Putzeist M, Mantel</w:t>
            </w:r>
            <w:r w:rsidRPr="000B42E9">
              <w:rPr>
                <w:rFonts w:ascii="Cambria Math" w:hAnsi="Cambria Math" w:cs="Cambria Math"/>
                <w:b w:val="0"/>
                <w:bCs w:val="0"/>
                <w:sz w:val="18"/>
                <w:szCs w:val="18"/>
                <w:lang w:val="en-GB"/>
              </w:rPr>
              <w:t>‐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Teeuwisse A, Aronsson B, Rowland M, Wied CG, Vamvakas S, et al. Factors influencing non-approval of new drugs in Europe.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2012; Available from: https://www.semanticscholar.org/paper/b92ee746708cba26b6d4d83c888649dd986614cd</w:t>
            </w:r>
          </w:p>
        </w:tc>
      </w:tr>
      <w:tr w:rsidR="000B42E9" w:rsidRPr="000B42E9" w14:paraId="6CD2D88D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5356791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Rothery C, Claxton K, Palmer S, Epstein D, Tarricone R, Sculpher M. Characterising Uncertainty in the Assessment of Medical Devices and Determining Future Research Needs.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Health Econ. 2017 Feb;26 Suppl 1:109–23. </w:t>
            </w:r>
          </w:p>
        </w:tc>
      </w:tr>
      <w:tr w:rsidR="000B42E9" w:rsidRPr="000B42E9" w14:paraId="46988885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CA7FDF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Salcher-Konrad M, Naci H, Davis C. Approval of Cancer Drugs With Uncertain Therapeutic Value: A Comparison of Regulatory Decisions in Europe and the United States.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2020; Available from: https://www.semanticscholar.org/paper/08648551ee7f9b8951ea0eb087b60111f3261a79</w:t>
            </w:r>
          </w:p>
        </w:tc>
      </w:tr>
      <w:tr w:rsidR="000B42E9" w:rsidRPr="000B42E9" w14:paraId="55BF413D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BA2F8E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de-DE"/>
              </w:rPr>
              <w:t xml:space="preserve">Schünemann HJ, Reinap M, Piggott T, Laidmäe E, Köhler K, Pōld M,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The ecosystem of health decision making: from fragmentation to synergy.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The Lancet Public Health. 2022 Apr 1;7(4):e378–90. </w:t>
            </w:r>
          </w:p>
        </w:tc>
      </w:tr>
      <w:tr w:rsidR="000B42E9" w:rsidRPr="000B42E9" w14:paraId="3A04EAC3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369528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lastRenderedPageBreak/>
              <w:t xml:space="preserve">Stern AD. Innovation under Regulatory Uncertainty: Evidence from Medical Technology.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J Public Econ. 2017 Jan;145:181–200. </w:t>
            </w:r>
          </w:p>
        </w:tc>
      </w:tr>
      <w:tr w:rsidR="000B42E9" w:rsidRPr="000B42E9" w14:paraId="7915D2C8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AEFC66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Tervonen T, Angelis A, Hockley K, Pignatti F, Phillips LD. Quantifying Preferences in Drug Benefit-Risk Decisions.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Clin Pharmacol Ther. 2019 Nov;106(5):955–9. </w:t>
            </w:r>
          </w:p>
        </w:tc>
      </w:tr>
      <w:tr w:rsidR="000B42E9" w:rsidRPr="000B42E9" w14:paraId="50BF9E4B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C87F12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it-IT"/>
              </w:rPr>
              <w:t xml:space="preserve">Trapani D, Tay-Teo K, Tesch ME, Roitberg F, Sengar M, Altuna SC,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Implications of Oncology Trial Design and Uncertainties in Efficacy-Safety Data on Health Technology Assessments.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Curr Oncol. 2022 Aug 16;29(8):5774–91. </w:t>
            </w:r>
          </w:p>
        </w:tc>
      </w:tr>
      <w:tr w:rsidR="000B42E9" w:rsidRPr="000B42E9" w14:paraId="48788DF6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2288B65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Trowman R, Powers A, Ollendorf DA. Considering and communicating uncertainty in health technology assessment.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Int J Technol Assess Health Care. 2021 Jul 15;37(1):e74. </w:t>
            </w:r>
          </w:p>
        </w:tc>
      </w:tr>
      <w:tr w:rsidR="000B42E9" w:rsidRPr="000B42E9" w14:paraId="79C2B3C1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3EB0243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Vreman R, Mantel</w:t>
            </w:r>
            <w:r w:rsidRPr="000B42E9">
              <w:rPr>
                <w:rFonts w:ascii="Cambria Math" w:hAnsi="Cambria Math" w:cs="Cambria Math"/>
                <w:b w:val="0"/>
                <w:bCs w:val="0"/>
                <w:sz w:val="18"/>
                <w:szCs w:val="18"/>
                <w:lang w:val="en-GB"/>
              </w:rPr>
              <w:t>‐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Teeuwisse A, H</w:t>
            </w:r>
            <w:r w:rsidRPr="000B42E9">
              <w:rPr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  <w:t>ö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vels A, Leufkens H, Goettsch W. Differences in Health Technology Assessment Recommendations Among European Jurisdictions: The Role of Practice Variations.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2020; Available from: https://www.semanticscholar.org/paper/ea2193438c153ed1d7c1b61090c573944b86b73e</w:t>
            </w:r>
          </w:p>
        </w:tc>
      </w:tr>
      <w:tr w:rsidR="000B42E9" w:rsidRPr="000B42E9" w14:paraId="17F3D5A8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D76F723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Vreman R, Naci H, Goettsch W, Mantel</w:t>
            </w:r>
            <w:r w:rsidRPr="000B42E9">
              <w:rPr>
                <w:rFonts w:ascii="Cambria Math" w:hAnsi="Cambria Math" w:cs="Cambria Math"/>
                <w:b w:val="0"/>
                <w:bCs w:val="0"/>
                <w:sz w:val="18"/>
                <w:szCs w:val="18"/>
              </w:rPr>
              <w:t>‐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Teeuwisse A, Schneeweiss S, Leufkens H,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Decision Making Under Uncertainty: Comparing Regulatory and Health Technology Assessment Reviews of Medicines in the United States and Europe.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2020; Available from: https://www.semanticscholar.org/paper/645b58b95e2bd8da0841fc8311b38631cc89312a</w:t>
            </w:r>
          </w:p>
        </w:tc>
      </w:tr>
      <w:tr w:rsidR="000B42E9" w:rsidRPr="000B42E9" w14:paraId="541B124E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583CA4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da-DK"/>
              </w:rPr>
              <w:t xml:space="preserve">Vreman RA, Bouvy JC, Bloem LT, Hövels AM, Mantel-Teeuwisse AK, Leufkens HGM, et al.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Weighing of Evidence by Health Technology Assessment Bodies: Retrospective Study of Reimbursement Recommendations for Conditionally Approved Drugs.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Clin Pharmacol Ther. 2019 Mar;105(3):684–91. </w:t>
            </w:r>
          </w:p>
        </w:tc>
      </w:tr>
      <w:tr w:rsidR="000B42E9" w:rsidRPr="000B42E9" w14:paraId="0AD9C459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9A130E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Vreman RA, Strigkos G, Leufkens HGM, Schünemann HJ, Mantel-Teeuwisse AK, Goettsch WG.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Addressing uncertainty in relative effectiveness assessments by HTA organizations. Int J Technol Assess Health Care. 2022 Jan 31;38(1):e17. </w:t>
            </w:r>
          </w:p>
        </w:tc>
      </w:tr>
      <w:tr w:rsidR="000B42E9" w:rsidRPr="000B42E9" w14:paraId="5A608072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4E5004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Walker S, McAuslane N, Liberti L, Leong J, Salek S. A Universal Framework for the Benefit-Risk Assessment of Medicines.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2015; Available from: https://www.semanticscholar.org/paper/95aa7b7aa00dee30300cacfbfd332ed350cffbbf</w:t>
            </w:r>
          </w:p>
        </w:tc>
      </w:tr>
      <w:tr w:rsidR="000B42E9" w:rsidRPr="000B42E9" w14:paraId="1A0B49EB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2C6AD5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Walker S, Sculpher M, Claxton K, Palmer S. Coverage with evidence development, only in research, risk sharing, or patient access scheme?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A framework for coverage decisions. Value Health. 2012 May;15(3):570–9. </w:t>
            </w:r>
          </w:p>
        </w:tc>
      </w:tr>
      <w:tr w:rsidR="000B42E9" w:rsidRPr="000B42E9" w14:paraId="58F2B3E8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E1F7C5C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Wallach J, Ross J, Naci H. The US Food and Drug Administration’s expedited approval programs: Evidentiary standards, regulatory trade-offs, and potential improvements.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2018; Available from: https://www.semanticscholar.org/paper/eeb27befd66abc3e064503b0e3f3ea0de3a935c5</w:t>
            </w:r>
          </w:p>
        </w:tc>
      </w:tr>
      <w:tr w:rsidR="000B42E9" w:rsidRPr="000B42E9" w14:paraId="1ECF44B4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ECA6FE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Woodcock J. Evidence vs. Access: Can Twenty</w:t>
            </w:r>
            <w:r w:rsidRPr="000B42E9">
              <w:rPr>
                <w:rFonts w:ascii="Cambria Math" w:hAnsi="Cambria Math" w:cs="Cambria Math"/>
                <w:b w:val="0"/>
                <w:bCs w:val="0"/>
                <w:sz w:val="18"/>
                <w:szCs w:val="18"/>
                <w:lang w:val="en-GB"/>
              </w:rPr>
              <w:t>‐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First</w:t>
            </w:r>
            <w:r w:rsidRPr="000B42E9">
              <w:rPr>
                <w:rFonts w:ascii="Cambria Math" w:hAnsi="Cambria Math" w:cs="Cambria Math"/>
                <w:b w:val="0"/>
                <w:bCs w:val="0"/>
                <w:sz w:val="18"/>
                <w:szCs w:val="18"/>
                <w:lang w:val="en-GB"/>
              </w:rPr>
              <w:t>‐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Century Drug Regulation Refine the Tradeoffs?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>2012; Available from: https://www.semanticscholar.org/paper/6dcf1b38db5145796d088229903e258659de1145</w:t>
            </w:r>
          </w:p>
        </w:tc>
      </w:tr>
      <w:tr w:rsidR="000B42E9" w:rsidRPr="000B42E9" w14:paraId="4FD06225" w14:textId="77777777" w:rsidTr="006E10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08B6C8F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 xml:space="preserve">Wranik WD, Gambold L, Peacock S. Uncertainty tolerance among experts involved in drug reimbursement recommendations: Qualitative evidence from HTA committees in Canada and Poland. </w:t>
            </w: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Health Policy. 2021 Mar;125(3):307–19. </w:t>
            </w:r>
          </w:p>
        </w:tc>
      </w:tr>
      <w:tr w:rsidR="000B42E9" w:rsidRPr="000B42E9" w14:paraId="4E0E6F91" w14:textId="77777777" w:rsidTr="006E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8520820" w14:textId="77777777" w:rsidR="000B42E9" w:rsidRPr="000B42E9" w:rsidRDefault="000B42E9" w:rsidP="006E10D2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before="60" w:after="60"/>
              <w:ind w:right="76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00B42E9"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  <w:t>HTA Core Model® Online | Home [Internet]. [cited 2022 Oct 26]. Available from: http://corehta.info/</w:t>
            </w:r>
          </w:p>
        </w:tc>
      </w:tr>
    </w:tbl>
    <w:p w14:paraId="1ADAF382" w14:textId="77777777" w:rsidR="000B42E9" w:rsidRPr="000B42E9" w:rsidRDefault="000B42E9" w:rsidP="000B42E9">
      <w:pPr>
        <w:spacing w:line="480" w:lineRule="auto"/>
        <w:contextualSpacing/>
        <w:rPr>
          <w:rFonts w:ascii="Verdana" w:hAnsi="Verdana"/>
          <w:sz w:val="18"/>
          <w:szCs w:val="18"/>
          <w:lang w:val="en-GB"/>
        </w:rPr>
      </w:pPr>
    </w:p>
    <w:p w14:paraId="13FA4CCD" w14:textId="77777777" w:rsidR="000B42E9" w:rsidRPr="000B42E9" w:rsidRDefault="000B42E9">
      <w:pPr>
        <w:rPr>
          <w:rFonts w:ascii="Verdana" w:hAnsi="Verdana"/>
          <w:sz w:val="18"/>
          <w:szCs w:val="18"/>
          <w:lang w:val="en-GB"/>
        </w:rPr>
      </w:pPr>
    </w:p>
    <w:sectPr w:rsidR="000B42E9" w:rsidRPr="000B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42E9"/>
    <w:rsid w:val="00081B8A"/>
    <w:rsid w:val="000B42E9"/>
    <w:rsid w:val="00571045"/>
    <w:rsid w:val="00617BE9"/>
    <w:rsid w:val="00862430"/>
    <w:rsid w:val="00F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CE19"/>
  <w15:chartTrackingRefBased/>
  <w15:docId w15:val="{C1181D2C-85CD-46F5-ABE9-0CBA17CA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Onopgemaaktetabel2">
    <w:name w:val="Plain Table 2"/>
    <w:basedOn w:val="Standaardtabel"/>
    <w:uiPriority w:val="42"/>
    <w:rsid w:val="000B4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2255</Words>
  <Characters>12404</Characters>
  <Application>Microsoft Office Word</Application>
  <DocSecurity>0</DocSecurity>
  <Lines>103</Lines>
  <Paragraphs>29</Paragraphs>
  <ScaleCrop>false</ScaleCrop>
  <Company>RaboudUMC</Company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Oortwijn, Wija</dc:creator>
  <cp:keywords/>
  <dc:description/>
  <cp:lastModifiedBy>Oortwijn, Wija</cp:lastModifiedBy>
  <cp:revision>5</cp:revision>
  <dcterms:created xsi:type="dcterms:W3CDTF">2023-05-02T14:12:00Z</dcterms:created>
  <dcterms:modified xsi:type="dcterms:W3CDTF">2023-05-02T14:40:00Z</dcterms:modified>
</cp:coreProperties>
</file>