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22B0A" w14:textId="6A13BE7A" w:rsidR="00990129" w:rsidRPr="00990129" w:rsidRDefault="00990129" w:rsidP="00990129">
      <w:pPr>
        <w:spacing w:line="480" w:lineRule="auto"/>
        <w:contextualSpacing/>
        <w:rPr>
          <w:b/>
          <w:bCs/>
          <w:sz w:val="18"/>
          <w:szCs w:val="18"/>
        </w:rPr>
      </w:pPr>
      <w:r>
        <w:rPr>
          <w:b/>
          <w:bCs/>
          <w:sz w:val="18"/>
          <w:szCs w:val="18"/>
        </w:rPr>
        <w:t xml:space="preserve">Supplementary Table </w:t>
      </w:r>
      <w:r>
        <w:rPr>
          <w:b/>
          <w:bCs/>
          <w:sz w:val="18"/>
          <w:szCs w:val="18"/>
        </w:rPr>
        <w:t xml:space="preserve">4. </w:t>
      </w:r>
      <w:r w:rsidRPr="00990129">
        <w:rPr>
          <w:b/>
          <w:bCs/>
          <w:sz w:val="18"/>
          <w:szCs w:val="18"/>
        </w:rPr>
        <w:t>Detailed explanation of all the domains in the uncertainty map.</w:t>
      </w:r>
    </w:p>
    <w:tbl>
      <w:tblPr>
        <w:tblStyle w:val="Onopgemaaktetabel2"/>
        <w:tblW w:w="0" w:type="auto"/>
        <w:tblLook w:val="04A0" w:firstRow="1" w:lastRow="0" w:firstColumn="1" w:lastColumn="0" w:noHBand="0" w:noVBand="1"/>
      </w:tblPr>
      <w:tblGrid>
        <w:gridCol w:w="236"/>
        <w:gridCol w:w="2301"/>
        <w:gridCol w:w="5986"/>
      </w:tblGrid>
      <w:tr w:rsidR="00990129" w:rsidRPr="00DE2668" w14:paraId="20CF829F" w14:textId="77777777" w:rsidTr="006E1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gridSpan w:val="2"/>
          </w:tcPr>
          <w:p w14:paraId="774A1564" w14:textId="77777777" w:rsidR="00990129" w:rsidRPr="00DE2668" w:rsidRDefault="00990129" w:rsidP="006E10D2">
            <w:pPr>
              <w:rPr>
                <w:sz w:val="18"/>
                <w:szCs w:val="18"/>
              </w:rPr>
            </w:pPr>
            <w:r w:rsidRPr="00DE2668">
              <w:rPr>
                <w:sz w:val="18"/>
                <w:szCs w:val="18"/>
              </w:rPr>
              <w:t>Context (internal)</w:t>
            </w:r>
          </w:p>
        </w:tc>
        <w:tc>
          <w:tcPr>
            <w:tcW w:w="5991" w:type="dxa"/>
          </w:tcPr>
          <w:p w14:paraId="702399C8" w14:textId="77777777" w:rsidR="00990129" w:rsidRPr="00DE2668" w:rsidRDefault="00990129" w:rsidP="006E10D2">
            <w:pPr>
              <w:cnfStyle w:val="100000000000" w:firstRow="1" w:lastRow="0" w:firstColumn="0" w:lastColumn="0" w:oddVBand="0" w:evenVBand="0" w:oddHBand="0" w:evenHBand="0" w:firstRowFirstColumn="0" w:firstRowLastColumn="0" w:lastRowFirstColumn="0" w:lastRowLastColumn="0"/>
              <w:rPr>
                <w:sz w:val="18"/>
                <w:szCs w:val="18"/>
              </w:rPr>
            </w:pPr>
          </w:p>
        </w:tc>
      </w:tr>
      <w:tr w:rsidR="00990129" w:rsidRPr="00DE2668" w14:paraId="5668C229" w14:textId="77777777" w:rsidTr="006E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14:paraId="53D2D611" w14:textId="77777777" w:rsidR="00990129" w:rsidRPr="00DE2668" w:rsidRDefault="00990129" w:rsidP="006E10D2">
            <w:pPr>
              <w:rPr>
                <w:sz w:val="18"/>
                <w:szCs w:val="18"/>
              </w:rPr>
            </w:pPr>
          </w:p>
        </w:tc>
        <w:tc>
          <w:tcPr>
            <w:tcW w:w="2302" w:type="dxa"/>
          </w:tcPr>
          <w:p w14:paraId="5A6B2EE1"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Risk aversion</w:t>
            </w:r>
          </w:p>
        </w:tc>
        <w:tc>
          <w:tcPr>
            <w:tcW w:w="5991" w:type="dxa"/>
          </w:tcPr>
          <w:p w14:paraId="5CF24C5F"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Risk aversion affects mitigation trade-offs and is dependent on individual’s preferences as well as the decision-question,  for example the population or the disease assessed. In pediatric indications decision-makers may be more risk averse whereas in later stage palliative treatments they may be more risk accepting, leading to different choices for mitigation strategies.</w:t>
            </w:r>
          </w:p>
        </w:tc>
      </w:tr>
      <w:tr w:rsidR="00990129" w:rsidRPr="00DE2668" w14:paraId="2A61A309" w14:textId="77777777" w:rsidTr="006E10D2">
        <w:tc>
          <w:tcPr>
            <w:cnfStyle w:val="001000000000" w:firstRow="0" w:lastRow="0" w:firstColumn="1" w:lastColumn="0" w:oddVBand="0" w:evenVBand="0" w:oddHBand="0" w:evenHBand="0" w:firstRowFirstColumn="0" w:firstRowLastColumn="0" w:lastRowFirstColumn="0" w:lastRowLastColumn="0"/>
            <w:tcW w:w="236" w:type="dxa"/>
          </w:tcPr>
          <w:p w14:paraId="0BED7D15" w14:textId="77777777" w:rsidR="00990129" w:rsidRPr="00DE2668" w:rsidRDefault="00990129" w:rsidP="006E10D2">
            <w:pPr>
              <w:rPr>
                <w:sz w:val="18"/>
                <w:szCs w:val="18"/>
              </w:rPr>
            </w:pPr>
          </w:p>
        </w:tc>
        <w:tc>
          <w:tcPr>
            <w:tcW w:w="2302" w:type="dxa"/>
          </w:tcPr>
          <w:p w14:paraId="30E44E78"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r w:rsidRPr="00DE2668">
              <w:rPr>
                <w:sz w:val="18"/>
                <w:szCs w:val="18"/>
              </w:rPr>
              <w:t>Governance</w:t>
            </w:r>
          </w:p>
        </w:tc>
        <w:tc>
          <w:tcPr>
            <w:tcW w:w="5991" w:type="dxa"/>
          </w:tcPr>
          <w:p w14:paraId="41A32224"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r w:rsidRPr="00DE2668">
              <w:rPr>
                <w:sz w:val="18"/>
                <w:szCs w:val="18"/>
              </w:rPr>
              <w:t>Governance determines how decision-making body is to be governed and through which processes a given decision is to be made. In other words, it determines both structure (which committees, boards, advisory groups, the composition of such committees, etc.) and processes (how such bodies are to be formed, how they will (be) convened and under which terms of reference they will decide), or it can relate to leadership and organizational culture.</w:t>
            </w:r>
          </w:p>
        </w:tc>
      </w:tr>
      <w:tr w:rsidR="00990129" w:rsidRPr="00DE2668" w14:paraId="183A4672" w14:textId="77777777" w:rsidTr="006E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14:paraId="7EB84F95" w14:textId="77777777" w:rsidR="00990129" w:rsidRPr="00DE2668" w:rsidRDefault="00990129" w:rsidP="006E10D2">
            <w:pPr>
              <w:rPr>
                <w:sz w:val="18"/>
                <w:szCs w:val="18"/>
              </w:rPr>
            </w:pPr>
          </w:p>
        </w:tc>
        <w:tc>
          <w:tcPr>
            <w:tcW w:w="2302" w:type="dxa"/>
          </w:tcPr>
          <w:p w14:paraId="7FD1F39F"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Social value</w:t>
            </w:r>
          </w:p>
        </w:tc>
        <w:tc>
          <w:tcPr>
            <w:tcW w:w="5991" w:type="dxa"/>
          </w:tcPr>
          <w:p w14:paraId="347C1B91"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 xml:space="preserve">Social value relates to the values underlying the health systems that are related to affordability, quality and accessibility based on medical necessity, cultural values and societal norms. These could include arguments about necessity (e.g., disease severity, unmet medical need, dignity, and human rights), as well as the societal expectations and desires towards new treatments and decision-making institutions. May also include media reporting on health care/treatments, it includes cultural values of society that may differ among small/large, rich/low-income countries or other (religious regions). Societal norms for public and private discourse.  </w:t>
            </w:r>
          </w:p>
        </w:tc>
      </w:tr>
      <w:tr w:rsidR="00990129" w:rsidRPr="00DE2668" w14:paraId="6CC33E4A" w14:textId="77777777" w:rsidTr="006E10D2">
        <w:tc>
          <w:tcPr>
            <w:cnfStyle w:val="001000000000" w:firstRow="0" w:lastRow="0" w:firstColumn="1" w:lastColumn="0" w:oddVBand="0" w:evenVBand="0" w:oddHBand="0" w:evenHBand="0" w:firstRowFirstColumn="0" w:firstRowLastColumn="0" w:lastRowFirstColumn="0" w:lastRowLastColumn="0"/>
            <w:tcW w:w="236" w:type="dxa"/>
          </w:tcPr>
          <w:p w14:paraId="0EAD42CF" w14:textId="77777777" w:rsidR="00990129" w:rsidRPr="00DE2668" w:rsidRDefault="00990129" w:rsidP="006E10D2">
            <w:pPr>
              <w:rPr>
                <w:sz w:val="18"/>
                <w:szCs w:val="18"/>
              </w:rPr>
            </w:pPr>
          </w:p>
        </w:tc>
        <w:tc>
          <w:tcPr>
            <w:tcW w:w="2302" w:type="dxa"/>
          </w:tcPr>
          <w:p w14:paraId="27E8A5F0"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r w:rsidRPr="00DE2668">
              <w:rPr>
                <w:sz w:val="18"/>
                <w:szCs w:val="18"/>
              </w:rPr>
              <w:t>Resources</w:t>
            </w:r>
          </w:p>
        </w:tc>
        <w:tc>
          <w:tcPr>
            <w:tcW w:w="5991" w:type="dxa"/>
          </w:tcPr>
          <w:p w14:paraId="2332BE82"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r w:rsidRPr="00DE2668">
              <w:rPr>
                <w:sz w:val="18"/>
                <w:szCs w:val="18"/>
              </w:rPr>
              <w:t>Resources may include personnel, financial resources, time, knowledge and skills of appropriate methods or other tools.</w:t>
            </w:r>
          </w:p>
        </w:tc>
      </w:tr>
      <w:tr w:rsidR="00990129" w:rsidRPr="00DE2668" w14:paraId="735F44A9" w14:textId="77777777" w:rsidTr="006E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14:paraId="19399E83" w14:textId="77777777" w:rsidR="00990129" w:rsidRPr="00DE2668" w:rsidRDefault="00990129" w:rsidP="006E10D2">
            <w:pPr>
              <w:rPr>
                <w:sz w:val="18"/>
                <w:szCs w:val="18"/>
              </w:rPr>
            </w:pPr>
          </w:p>
        </w:tc>
        <w:tc>
          <w:tcPr>
            <w:tcW w:w="2302" w:type="dxa"/>
          </w:tcPr>
          <w:p w14:paraId="5282C45B"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Ethics</w:t>
            </w:r>
          </w:p>
        </w:tc>
        <w:tc>
          <w:tcPr>
            <w:tcW w:w="5991" w:type="dxa"/>
          </w:tcPr>
          <w:p w14:paraId="7DB3BCCF"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Ethical considerations may include equality of access to the best possible healthcare provision between different population groups and/or in different disease areas, affordability or it may affect trial design by in-or exclusion of patients, chosen comparative treatments or duration of the trials.</w:t>
            </w:r>
          </w:p>
        </w:tc>
      </w:tr>
      <w:tr w:rsidR="00990129" w:rsidRPr="00DE2668" w14:paraId="3E09EA27" w14:textId="77777777" w:rsidTr="006E10D2">
        <w:tc>
          <w:tcPr>
            <w:cnfStyle w:val="001000000000" w:firstRow="0" w:lastRow="0" w:firstColumn="1" w:lastColumn="0" w:oddVBand="0" w:evenVBand="0" w:oddHBand="0" w:evenHBand="0" w:firstRowFirstColumn="0" w:firstRowLastColumn="0" w:lastRowFirstColumn="0" w:lastRowLastColumn="0"/>
            <w:tcW w:w="236" w:type="dxa"/>
          </w:tcPr>
          <w:p w14:paraId="28DA0427" w14:textId="77777777" w:rsidR="00990129" w:rsidRPr="00DE2668" w:rsidRDefault="00990129" w:rsidP="006E10D2">
            <w:pPr>
              <w:rPr>
                <w:sz w:val="18"/>
                <w:szCs w:val="18"/>
              </w:rPr>
            </w:pPr>
          </w:p>
        </w:tc>
        <w:tc>
          <w:tcPr>
            <w:tcW w:w="2302" w:type="dxa"/>
          </w:tcPr>
          <w:p w14:paraId="4EDE1047"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r w:rsidRPr="00DE2668">
              <w:rPr>
                <w:sz w:val="18"/>
                <w:szCs w:val="18"/>
              </w:rPr>
              <w:t>Trust</w:t>
            </w:r>
          </w:p>
        </w:tc>
        <w:tc>
          <w:tcPr>
            <w:tcW w:w="5991" w:type="dxa"/>
          </w:tcPr>
          <w:p w14:paraId="382351E7"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r w:rsidRPr="00DE2668">
              <w:rPr>
                <w:sz w:val="18"/>
                <w:szCs w:val="18"/>
              </w:rPr>
              <w:t xml:space="preserve">Trust among stakeholders is important, as it may affect the trust in the quality of the information received from stakeholders and therefore induce uncertainty or affect uncertainty mitigation. For example, this may relate to the trust in (the correct use of) new complex statistical methods. </w:t>
            </w:r>
          </w:p>
        </w:tc>
      </w:tr>
      <w:tr w:rsidR="00990129" w:rsidRPr="00DE2668" w14:paraId="5872D1FD" w14:textId="77777777" w:rsidTr="006E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gridSpan w:val="2"/>
          </w:tcPr>
          <w:p w14:paraId="1D68AED7" w14:textId="77777777" w:rsidR="00990129" w:rsidRPr="00DE2668" w:rsidRDefault="00990129" w:rsidP="006E10D2">
            <w:pPr>
              <w:rPr>
                <w:sz w:val="18"/>
                <w:szCs w:val="18"/>
              </w:rPr>
            </w:pPr>
            <w:r w:rsidRPr="00DE2668">
              <w:rPr>
                <w:sz w:val="18"/>
                <w:szCs w:val="18"/>
              </w:rPr>
              <w:t>Context (external)</w:t>
            </w:r>
          </w:p>
        </w:tc>
        <w:tc>
          <w:tcPr>
            <w:tcW w:w="5991" w:type="dxa"/>
          </w:tcPr>
          <w:p w14:paraId="54082B52"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p>
        </w:tc>
      </w:tr>
      <w:tr w:rsidR="00990129" w:rsidRPr="00DE2668" w14:paraId="0DC071C9" w14:textId="77777777" w:rsidTr="006E10D2">
        <w:tc>
          <w:tcPr>
            <w:cnfStyle w:val="001000000000" w:firstRow="0" w:lastRow="0" w:firstColumn="1" w:lastColumn="0" w:oddVBand="0" w:evenVBand="0" w:oddHBand="0" w:evenHBand="0" w:firstRowFirstColumn="0" w:firstRowLastColumn="0" w:lastRowFirstColumn="0" w:lastRowLastColumn="0"/>
            <w:tcW w:w="236" w:type="dxa"/>
          </w:tcPr>
          <w:p w14:paraId="47EEB1A6" w14:textId="77777777" w:rsidR="00990129" w:rsidRPr="00DE2668" w:rsidRDefault="00990129" w:rsidP="006E10D2">
            <w:pPr>
              <w:rPr>
                <w:sz w:val="18"/>
                <w:szCs w:val="18"/>
              </w:rPr>
            </w:pPr>
          </w:p>
        </w:tc>
        <w:tc>
          <w:tcPr>
            <w:tcW w:w="2302" w:type="dxa"/>
          </w:tcPr>
          <w:p w14:paraId="2B2205DF"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r w:rsidRPr="00DE2668">
              <w:rPr>
                <w:sz w:val="18"/>
                <w:szCs w:val="18"/>
              </w:rPr>
              <w:t>Political</w:t>
            </w:r>
          </w:p>
        </w:tc>
        <w:tc>
          <w:tcPr>
            <w:tcW w:w="5991" w:type="dxa"/>
          </w:tcPr>
          <w:p w14:paraId="53480A50"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r w:rsidRPr="00DE2668">
              <w:rPr>
                <w:sz w:val="18"/>
                <w:szCs w:val="18"/>
              </w:rPr>
              <w:t>The political context in democratic societies aims to have legitimate decision-making and this would necessitates transparent and informed stakeholder dialogue through deliberative mechanisms that safeguard representativeness.</w:t>
            </w:r>
          </w:p>
        </w:tc>
      </w:tr>
      <w:tr w:rsidR="00990129" w:rsidRPr="00DE2668" w14:paraId="0DCC083D" w14:textId="77777777" w:rsidTr="006E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14:paraId="2AD9F3E1" w14:textId="77777777" w:rsidR="00990129" w:rsidRPr="00DE2668" w:rsidRDefault="00990129" w:rsidP="006E10D2">
            <w:pPr>
              <w:rPr>
                <w:sz w:val="18"/>
                <w:szCs w:val="18"/>
              </w:rPr>
            </w:pPr>
          </w:p>
        </w:tc>
        <w:tc>
          <w:tcPr>
            <w:tcW w:w="2302" w:type="dxa"/>
          </w:tcPr>
          <w:p w14:paraId="066DB9A3"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Economic</w:t>
            </w:r>
          </w:p>
        </w:tc>
        <w:tc>
          <w:tcPr>
            <w:tcW w:w="5991" w:type="dxa"/>
          </w:tcPr>
          <w:p w14:paraId="3A774CDA"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Economic context may mostly affect the resources available for decision-making or the availability and affordability of new drugs.</w:t>
            </w:r>
          </w:p>
        </w:tc>
      </w:tr>
      <w:tr w:rsidR="00990129" w:rsidRPr="00DE2668" w14:paraId="70EF6EE8" w14:textId="77777777" w:rsidTr="006E10D2">
        <w:tc>
          <w:tcPr>
            <w:cnfStyle w:val="001000000000" w:firstRow="0" w:lastRow="0" w:firstColumn="1" w:lastColumn="0" w:oddVBand="0" w:evenVBand="0" w:oddHBand="0" w:evenHBand="0" w:firstRowFirstColumn="0" w:firstRowLastColumn="0" w:lastRowFirstColumn="0" w:lastRowLastColumn="0"/>
            <w:tcW w:w="236" w:type="dxa"/>
          </w:tcPr>
          <w:p w14:paraId="6764B2BF" w14:textId="77777777" w:rsidR="00990129" w:rsidRPr="00DE2668" w:rsidRDefault="00990129" w:rsidP="006E10D2">
            <w:pPr>
              <w:rPr>
                <w:sz w:val="18"/>
                <w:szCs w:val="18"/>
              </w:rPr>
            </w:pPr>
          </w:p>
        </w:tc>
        <w:tc>
          <w:tcPr>
            <w:tcW w:w="2302" w:type="dxa"/>
          </w:tcPr>
          <w:p w14:paraId="1D2A3822"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r w:rsidRPr="00DE2668">
              <w:rPr>
                <w:sz w:val="18"/>
                <w:szCs w:val="18"/>
              </w:rPr>
              <w:t>Legislative</w:t>
            </w:r>
          </w:p>
        </w:tc>
        <w:tc>
          <w:tcPr>
            <w:tcW w:w="5991" w:type="dxa"/>
          </w:tcPr>
          <w:p w14:paraId="77B835A8"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r w:rsidRPr="00DE2668">
              <w:rPr>
                <w:sz w:val="18"/>
                <w:szCs w:val="18"/>
              </w:rPr>
              <w:t xml:space="preserve">The legislation that may be in place, defining for example which procedures should be followed, how much time assessments may take, constitutional right, legal mandates etc. </w:t>
            </w:r>
          </w:p>
        </w:tc>
      </w:tr>
      <w:tr w:rsidR="00990129" w:rsidRPr="00DE2668" w14:paraId="58956DE5" w14:textId="77777777" w:rsidTr="006E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14:paraId="2C7EA44E" w14:textId="77777777" w:rsidR="00990129" w:rsidRPr="00DE2668" w:rsidRDefault="00990129" w:rsidP="006E10D2">
            <w:pPr>
              <w:rPr>
                <w:sz w:val="18"/>
                <w:szCs w:val="18"/>
              </w:rPr>
            </w:pPr>
          </w:p>
        </w:tc>
        <w:tc>
          <w:tcPr>
            <w:tcW w:w="2302" w:type="dxa"/>
          </w:tcPr>
          <w:p w14:paraId="11721F14"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Social value</w:t>
            </w:r>
          </w:p>
        </w:tc>
        <w:tc>
          <w:tcPr>
            <w:tcW w:w="5991" w:type="dxa"/>
          </w:tcPr>
          <w:p w14:paraId="621EF477"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 xml:space="preserve">Social value affects both internal as well as external factors as the social values of internal assessors or decision or policy makers may have an influence on the perception of uncertainty as well as social value among society, outside the organization. This should encompass also the distinction between certain societal values as defined in the law and implicit or personal societal values. </w:t>
            </w:r>
          </w:p>
        </w:tc>
      </w:tr>
      <w:tr w:rsidR="00990129" w:rsidRPr="00DE2668" w14:paraId="66D96C5D" w14:textId="77777777" w:rsidTr="006E10D2">
        <w:tc>
          <w:tcPr>
            <w:cnfStyle w:val="001000000000" w:firstRow="0" w:lastRow="0" w:firstColumn="1" w:lastColumn="0" w:oddVBand="0" w:evenVBand="0" w:oddHBand="0" w:evenHBand="0" w:firstRowFirstColumn="0" w:firstRowLastColumn="0" w:lastRowFirstColumn="0" w:lastRowLastColumn="0"/>
            <w:tcW w:w="236" w:type="dxa"/>
          </w:tcPr>
          <w:p w14:paraId="77A5BCE9" w14:textId="77777777" w:rsidR="00990129" w:rsidRPr="00DE2668" w:rsidRDefault="00990129" w:rsidP="006E10D2">
            <w:pPr>
              <w:rPr>
                <w:sz w:val="18"/>
                <w:szCs w:val="18"/>
              </w:rPr>
            </w:pPr>
          </w:p>
        </w:tc>
        <w:tc>
          <w:tcPr>
            <w:tcW w:w="2302" w:type="dxa"/>
          </w:tcPr>
          <w:p w14:paraId="2C4D24DE"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r w:rsidRPr="00DE2668">
              <w:rPr>
                <w:sz w:val="18"/>
                <w:szCs w:val="18"/>
              </w:rPr>
              <w:t>Stakeholders</w:t>
            </w:r>
          </w:p>
        </w:tc>
        <w:tc>
          <w:tcPr>
            <w:tcW w:w="5991" w:type="dxa"/>
          </w:tcPr>
          <w:p w14:paraId="268C139E"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r w:rsidRPr="00DE2668">
              <w:rPr>
                <w:sz w:val="18"/>
                <w:szCs w:val="18"/>
              </w:rPr>
              <w:t xml:space="preserve">Communication from and to stakeholders, and the kind of information that is received from up-stream parties and what </w:t>
            </w:r>
            <w:r w:rsidRPr="00DE2668">
              <w:rPr>
                <w:sz w:val="18"/>
                <w:szCs w:val="18"/>
              </w:rPr>
              <w:lastRenderedPageBreak/>
              <w:t>is passed on to down-stream decision-makers affects uncertainty as it may influence the comprehension of uncertainty and is inextricably linked to trust. It also includes the availability of stakeholders. This could also be awareness of what other stakeholders are doing exactly, why they arrive at certain decisions or recommendations.  Additionally, uncertainties affected by stakeholders may be due to expectations from the other stakeholders, regarding decisions, submissions, or communication.</w:t>
            </w:r>
          </w:p>
        </w:tc>
      </w:tr>
      <w:tr w:rsidR="00990129" w:rsidRPr="00DE2668" w14:paraId="0B9CD147" w14:textId="77777777" w:rsidTr="006E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14:paraId="3E1F0F11" w14:textId="77777777" w:rsidR="00990129" w:rsidRPr="00DE2668" w:rsidRDefault="00990129" w:rsidP="006E10D2">
            <w:pPr>
              <w:rPr>
                <w:sz w:val="18"/>
                <w:szCs w:val="18"/>
              </w:rPr>
            </w:pPr>
          </w:p>
        </w:tc>
        <w:tc>
          <w:tcPr>
            <w:tcW w:w="2302" w:type="dxa"/>
          </w:tcPr>
          <w:p w14:paraId="4891CC80"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Organizational</w:t>
            </w:r>
          </w:p>
        </w:tc>
        <w:tc>
          <w:tcPr>
            <w:tcW w:w="5991" w:type="dxa"/>
          </w:tcPr>
          <w:p w14:paraId="1C5F35BA"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Organizational aspects relate to ‘soft’ rules such as the existence of mechanisms to use evidence in decision making (mandates), organization of the healthcare system (centralized or decentralized elements).</w:t>
            </w:r>
          </w:p>
        </w:tc>
      </w:tr>
      <w:tr w:rsidR="00990129" w:rsidRPr="00DE2668" w14:paraId="71C32854" w14:textId="77777777" w:rsidTr="006E10D2">
        <w:tc>
          <w:tcPr>
            <w:cnfStyle w:val="001000000000" w:firstRow="0" w:lastRow="0" w:firstColumn="1" w:lastColumn="0" w:oddVBand="0" w:evenVBand="0" w:oddHBand="0" w:evenHBand="0" w:firstRowFirstColumn="0" w:firstRowLastColumn="0" w:lastRowFirstColumn="0" w:lastRowLastColumn="0"/>
            <w:tcW w:w="2538" w:type="dxa"/>
            <w:gridSpan w:val="2"/>
          </w:tcPr>
          <w:p w14:paraId="1A1546D2" w14:textId="77777777" w:rsidR="00990129" w:rsidRPr="00DE2668" w:rsidRDefault="00990129" w:rsidP="006E10D2">
            <w:pPr>
              <w:rPr>
                <w:sz w:val="18"/>
                <w:szCs w:val="18"/>
              </w:rPr>
            </w:pPr>
            <w:r w:rsidRPr="00DE2668">
              <w:rPr>
                <w:sz w:val="18"/>
                <w:szCs w:val="18"/>
              </w:rPr>
              <w:t>Initiation</w:t>
            </w:r>
          </w:p>
        </w:tc>
        <w:tc>
          <w:tcPr>
            <w:tcW w:w="5991" w:type="dxa"/>
          </w:tcPr>
          <w:p w14:paraId="3D4A9857"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p>
        </w:tc>
      </w:tr>
      <w:tr w:rsidR="00990129" w:rsidRPr="00DE2668" w14:paraId="28861C2B" w14:textId="77777777" w:rsidTr="006E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14:paraId="66EF1FD7" w14:textId="77777777" w:rsidR="00990129" w:rsidRPr="00DE2668" w:rsidRDefault="00990129" w:rsidP="006E10D2">
            <w:pPr>
              <w:rPr>
                <w:sz w:val="18"/>
                <w:szCs w:val="18"/>
              </w:rPr>
            </w:pPr>
          </w:p>
        </w:tc>
        <w:tc>
          <w:tcPr>
            <w:tcW w:w="2302" w:type="dxa"/>
          </w:tcPr>
          <w:p w14:paraId="7EA568B9"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Prioritizing</w:t>
            </w:r>
          </w:p>
        </w:tc>
        <w:tc>
          <w:tcPr>
            <w:tcW w:w="5991" w:type="dxa"/>
          </w:tcPr>
          <w:p w14:paraId="2AAF7772"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 xml:space="preserve">The initiation phase relates to the uncertainties in the decisions that were made before the situation in which the uncertainty map is used (e.g., the exact definition of the population or indication), that will affect the input, throughput or output. These relate to the contextual factors, though are distinguished as these can be influenced, whereas contextual factors cannot. Examples could be the prioritization of products for certain regulatory pathways, a full HTA assessment including pharmaco-economic analysis or criteria for products that qualify for an orphan designation. </w:t>
            </w:r>
          </w:p>
        </w:tc>
      </w:tr>
      <w:tr w:rsidR="00990129" w:rsidRPr="00DE2668" w14:paraId="535ECB64" w14:textId="77777777" w:rsidTr="006E10D2">
        <w:tc>
          <w:tcPr>
            <w:cnfStyle w:val="001000000000" w:firstRow="0" w:lastRow="0" w:firstColumn="1" w:lastColumn="0" w:oddVBand="0" w:evenVBand="0" w:oddHBand="0" w:evenHBand="0" w:firstRowFirstColumn="0" w:firstRowLastColumn="0" w:lastRowFirstColumn="0" w:lastRowLastColumn="0"/>
            <w:tcW w:w="236" w:type="dxa"/>
          </w:tcPr>
          <w:p w14:paraId="3BF36999" w14:textId="77777777" w:rsidR="00990129" w:rsidRPr="00DE2668" w:rsidRDefault="00990129" w:rsidP="006E10D2">
            <w:pPr>
              <w:rPr>
                <w:sz w:val="18"/>
                <w:szCs w:val="18"/>
              </w:rPr>
            </w:pPr>
          </w:p>
        </w:tc>
        <w:tc>
          <w:tcPr>
            <w:tcW w:w="2302" w:type="dxa"/>
          </w:tcPr>
          <w:p w14:paraId="0426F378"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r w:rsidRPr="00DE2668">
              <w:rPr>
                <w:sz w:val="18"/>
                <w:szCs w:val="18"/>
              </w:rPr>
              <w:t>Decision Criteria</w:t>
            </w:r>
          </w:p>
        </w:tc>
        <w:tc>
          <w:tcPr>
            <w:tcW w:w="5991" w:type="dxa"/>
          </w:tcPr>
          <w:p w14:paraId="6556F0BF"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r w:rsidRPr="00DE2668">
              <w:rPr>
                <w:sz w:val="18"/>
                <w:szCs w:val="18"/>
              </w:rPr>
              <w:t>Decision criteria, meaning methods to assess and criteria that products must fulfil for market authorization or reimbursement, are usually developed before submission. For example the decision to use GRADE methodology to assess data quality or to make use of scientific advice to get input on trial design and other data generation.</w:t>
            </w:r>
          </w:p>
        </w:tc>
      </w:tr>
      <w:tr w:rsidR="00990129" w:rsidRPr="00DE2668" w14:paraId="49754D42" w14:textId="77777777" w:rsidTr="006E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14:paraId="76ADACC4" w14:textId="77777777" w:rsidR="00990129" w:rsidRPr="00DE2668" w:rsidRDefault="00990129" w:rsidP="006E10D2">
            <w:pPr>
              <w:rPr>
                <w:sz w:val="18"/>
                <w:szCs w:val="18"/>
              </w:rPr>
            </w:pPr>
          </w:p>
        </w:tc>
        <w:tc>
          <w:tcPr>
            <w:tcW w:w="2302" w:type="dxa"/>
          </w:tcPr>
          <w:p w14:paraId="7FC9DB8D"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Planning and timelines</w:t>
            </w:r>
          </w:p>
        </w:tc>
        <w:tc>
          <w:tcPr>
            <w:tcW w:w="5991" w:type="dxa"/>
          </w:tcPr>
          <w:p w14:paraId="7DF8B644"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The timelines, for example in an accelerated versus a normal pathway may affect the moment that patients have access but may also affect the thoroughness of assessments.</w:t>
            </w:r>
          </w:p>
        </w:tc>
      </w:tr>
      <w:tr w:rsidR="00990129" w:rsidRPr="00DE2668" w14:paraId="4E52E030" w14:textId="77777777" w:rsidTr="006E10D2">
        <w:tc>
          <w:tcPr>
            <w:cnfStyle w:val="001000000000" w:firstRow="0" w:lastRow="0" w:firstColumn="1" w:lastColumn="0" w:oddVBand="0" w:evenVBand="0" w:oddHBand="0" w:evenHBand="0" w:firstRowFirstColumn="0" w:firstRowLastColumn="0" w:lastRowFirstColumn="0" w:lastRowLastColumn="0"/>
            <w:tcW w:w="236" w:type="dxa"/>
          </w:tcPr>
          <w:p w14:paraId="3421AEE0" w14:textId="77777777" w:rsidR="00990129" w:rsidRPr="00DE2668" w:rsidRDefault="00990129" w:rsidP="006E10D2">
            <w:pPr>
              <w:rPr>
                <w:sz w:val="18"/>
                <w:szCs w:val="18"/>
              </w:rPr>
            </w:pPr>
          </w:p>
        </w:tc>
        <w:tc>
          <w:tcPr>
            <w:tcW w:w="2302" w:type="dxa"/>
          </w:tcPr>
          <w:p w14:paraId="0B3E8F4F"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r w:rsidRPr="00DE2668">
              <w:rPr>
                <w:sz w:val="18"/>
                <w:szCs w:val="18"/>
              </w:rPr>
              <w:t>Deliberation by others</w:t>
            </w:r>
          </w:p>
        </w:tc>
        <w:tc>
          <w:tcPr>
            <w:tcW w:w="5991" w:type="dxa"/>
          </w:tcPr>
          <w:p w14:paraId="7A0C8B8F"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r w:rsidRPr="00DE2668">
              <w:rPr>
                <w:sz w:val="18"/>
                <w:szCs w:val="18"/>
              </w:rPr>
              <w:t xml:space="preserve">Lastly, the deliberation by others may affect the assessment process, for example a conditional market authorization resulting in earlier data cut-offs. Uncertainty may exist around the impact of all of these decisions.   </w:t>
            </w:r>
          </w:p>
        </w:tc>
      </w:tr>
      <w:tr w:rsidR="00990129" w:rsidRPr="00DE2668" w14:paraId="1431F611" w14:textId="77777777" w:rsidTr="006E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gridSpan w:val="2"/>
          </w:tcPr>
          <w:p w14:paraId="5C6F795D" w14:textId="77777777" w:rsidR="00990129" w:rsidRPr="00DE2668" w:rsidRDefault="00990129" w:rsidP="006E10D2">
            <w:pPr>
              <w:rPr>
                <w:sz w:val="18"/>
                <w:szCs w:val="18"/>
              </w:rPr>
            </w:pPr>
            <w:r w:rsidRPr="00DE2668">
              <w:rPr>
                <w:sz w:val="18"/>
                <w:szCs w:val="18"/>
              </w:rPr>
              <w:t>Input (quality)</w:t>
            </w:r>
          </w:p>
        </w:tc>
        <w:tc>
          <w:tcPr>
            <w:tcW w:w="5991" w:type="dxa"/>
          </w:tcPr>
          <w:p w14:paraId="3B8FBC27"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p>
        </w:tc>
      </w:tr>
      <w:tr w:rsidR="00990129" w:rsidRPr="00DE2668" w14:paraId="6CFE4F5D" w14:textId="77777777" w:rsidTr="006E10D2">
        <w:tc>
          <w:tcPr>
            <w:cnfStyle w:val="001000000000" w:firstRow="0" w:lastRow="0" w:firstColumn="1" w:lastColumn="0" w:oddVBand="0" w:evenVBand="0" w:oddHBand="0" w:evenHBand="0" w:firstRowFirstColumn="0" w:firstRowLastColumn="0" w:lastRowFirstColumn="0" w:lastRowLastColumn="0"/>
            <w:tcW w:w="236" w:type="dxa"/>
          </w:tcPr>
          <w:p w14:paraId="5BB9B21B" w14:textId="77777777" w:rsidR="00990129" w:rsidRPr="00DE2668" w:rsidRDefault="00990129" w:rsidP="006E10D2">
            <w:pPr>
              <w:rPr>
                <w:sz w:val="18"/>
                <w:szCs w:val="18"/>
              </w:rPr>
            </w:pPr>
          </w:p>
        </w:tc>
        <w:tc>
          <w:tcPr>
            <w:tcW w:w="2302" w:type="dxa"/>
          </w:tcPr>
          <w:p w14:paraId="7DF29E08"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r w:rsidRPr="00DE2668">
              <w:rPr>
                <w:sz w:val="18"/>
                <w:szCs w:val="18"/>
              </w:rPr>
              <w:t>Product</w:t>
            </w:r>
          </w:p>
        </w:tc>
        <w:tc>
          <w:tcPr>
            <w:tcW w:w="5991" w:type="dxa"/>
          </w:tcPr>
          <w:p w14:paraId="5FA58C25"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r w:rsidRPr="00DE2668">
              <w:rPr>
                <w:sz w:val="18"/>
                <w:szCs w:val="18"/>
              </w:rPr>
              <w:t xml:space="preserve">The quality aspect is two-fold. It may include the regulatory quality assessment of the product with topics as described in the European Public Assessment reports (regulatory focused). </w:t>
            </w:r>
          </w:p>
        </w:tc>
      </w:tr>
      <w:tr w:rsidR="00990129" w:rsidRPr="00DE2668" w14:paraId="2FD96F81" w14:textId="77777777" w:rsidTr="006E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14:paraId="7337A083" w14:textId="77777777" w:rsidR="00990129" w:rsidRPr="00DE2668" w:rsidRDefault="00990129" w:rsidP="006E10D2">
            <w:pPr>
              <w:rPr>
                <w:sz w:val="18"/>
                <w:szCs w:val="18"/>
              </w:rPr>
            </w:pPr>
          </w:p>
        </w:tc>
        <w:tc>
          <w:tcPr>
            <w:tcW w:w="2302" w:type="dxa"/>
          </w:tcPr>
          <w:p w14:paraId="3815BA00"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Data</w:t>
            </w:r>
          </w:p>
        </w:tc>
        <w:tc>
          <w:tcPr>
            <w:tcW w:w="5991" w:type="dxa"/>
          </w:tcPr>
          <w:p w14:paraId="348D67F2"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Additionally, it relates to the quality of the studies or other data underlying the decision. The trial design in terms of duration of follow-up, randomization, (double) blindness, basket designs or more pragmatic approaches or decentralized data generation would fall in this category.</w:t>
            </w:r>
          </w:p>
        </w:tc>
      </w:tr>
      <w:tr w:rsidR="00990129" w:rsidRPr="00DE2668" w14:paraId="23E11B0A" w14:textId="77777777" w:rsidTr="006E10D2">
        <w:tc>
          <w:tcPr>
            <w:cnfStyle w:val="001000000000" w:firstRow="0" w:lastRow="0" w:firstColumn="1" w:lastColumn="0" w:oddVBand="0" w:evenVBand="0" w:oddHBand="0" w:evenHBand="0" w:firstRowFirstColumn="0" w:firstRowLastColumn="0" w:lastRowFirstColumn="0" w:lastRowLastColumn="0"/>
            <w:tcW w:w="2538" w:type="dxa"/>
            <w:gridSpan w:val="2"/>
          </w:tcPr>
          <w:p w14:paraId="4397715E" w14:textId="77777777" w:rsidR="00990129" w:rsidRPr="00DE2668" w:rsidRDefault="00990129" w:rsidP="006E10D2">
            <w:pPr>
              <w:rPr>
                <w:sz w:val="18"/>
                <w:szCs w:val="18"/>
              </w:rPr>
            </w:pPr>
            <w:r w:rsidRPr="00DE2668">
              <w:rPr>
                <w:sz w:val="18"/>
                <w:szCs w:val="18"/>
              </w:rPr>
              <w:t>Input (therapeutic)</w:t>
            </w:r>
          </w:p>
        </w:tc>
        <w:tc>
          <w:tcPr>
            <w:tcW w:w="5991" w:type="dxa"/>
          </w:tcPr>
          <w:p w14:paraId="23E50442"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p>
        </w:tc>
      </w:tr>
      <w:tr w:rsidR="00990129" w:rsidRPr="00DE2668" w14:paraId="61D95126" w14:textId="77777777" w:rsidTr="006E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14:paraId="0DD717EB" w14:textId="77777777" w:rsidR="00990129" w:rsidRPr="00DE2668" w:rsidRDefault="00990129" w:rsidP="006E10D2">
            <w:pPr>
              <w:rPr>
                <w:sz w:val="18"/>
                <w:szCs w:val="18"/>
              </w:rPr>
            </w:pPr>
          </w:p>
        </w:tc>
        <w:tc>
          <w:tcPr>
            <w:tcW w:w="2302" w:type="dxa"/>
          </w:tcPr>
          <w:p w14:paraId="0FBD3837"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Population</w:t>
            </w:r>
          </w:p>
        </w:tc>
        <w:tc>
          <w:tcPr>
            <w:tcW w:w="5991" w:type="dxa"/>
          </w:tcPr>
          <w:p w14:paraId="69223F0A"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The key part of the uncertainty map is the therapeutic area, including all the PICO elements; the patient population, the intervention, the comparator, outcomes and separately mentioned the safety outcomes as this is such an important part of the assessment in the regulatory decisions. Under population would fall the characteristics of the patients with the assessed indication, including natural history, earlier treatments, age, sex, the relation between the patients included in trials versus the population treated in practice.</w:t>
            </w:r>
          </w:p>
        </w:tc>
      </w:tr>
      <w:tr w:rsidR="00990129" w:rsidRPr="00DE2668" w14:paraId="330B8E54" w14:textId="77777777" w:rsidTr="006E10D2">
        <w:tc>
          <w:tcPr>
            <w:cnfStyle w:val="001000000000" w:firstRow="0" w:lastRow="0" w:firstColumn="1" w:lastColumn="0" w:oddVBand="0" w:evenVBand="0" w:oddHBand="0" w:evenHBand="0" w:firstRowFirstColumn="0" w:firstRowLastColumn="0" w:lastRowFirstColumn="0" w:lastRowLastColumn="0"/>
            <w:tcW w:w="236" w:type="dxa"/>
          </w:tcPr>
          <w:p w14:paraId="690B1BEF" w14:textId="77777777" w:rsidR="00990129" w:rsidRPr="00DE2668" w:rsidRDefault="00990129" w:rsidP="006E10D2">
            <w:pPr>
              <w:rPr>
                <w:sz w:val="18"/>
                <w:szCs w:val="18"/>
              </w:rPr>
            </w:pPr>
          </w:p>
        </w:tc>
        <w:tc>
          <w:tcPr>
            <w:tcW w:w="2302" w:type="dxa"/>
          </w:tcPr>
          <w:p w14:paraId="6A3B86B3"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r w:rsidRPr="00DE2668">
              <w:rPr>
                <w:sz w:val="18"/>
                <w:szCs w:val="18"/>
              </w:rPr>
              <w:t>Intervention</w:t>
            </w:r>
          </w:p>
        </w:tc>
        <w:tc>
          <w:tcPr>
            <w:tcW w:w="5991" w:type="dxa"/>
          </w:tcPr>
          <w:p w14:paraId="08AB69EE"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r w:rsidRPr="00DE2668">
              <w:rPr>
                <w:sz w:val="18"/>
                <w:szCs w:val="18"/>
              </w:rPr>
              <w:t>The intervention also includes the diagnostics before a treatment can be given, the dosage, treatment duration or stop criteria.</w:t>
            </w:r>
          </w:p>
        </w:tc>
      </w:tr>
      <w:tr w:rsidR="00990129" w:rsidRPr="00DE2668" w14:paraId="33E8A4B9" w14:textId="77777777" w:rsidTr="006E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14:paraId="5D5FEF33" w14:textId="77777777" w:rsidR="00990129" w:rsidRPr="00DE2668" w:rsidRDefault="00990129" w:rsidP="006E10D2">
            <w:pPr>
              <w:rPr>
                <w:sz w:val="18"/>
                <w:szCs w:val="18"/>
              </w:rPr>
            </w:pPr>
          </w:p>
        </w:tc>
        <w:tc>
          <w:tcPr>
            <w:tcW w:w="2302" w:type="dxa"/>
          </w:tcPr>
          <w:p w14:paraId="44686AB1"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Comparator</w:t>
            </w:r>
          </w:p>
        </w:tc>
        <w:tc>
          <w:tcPr>
            <w:tcW w:w="5991" w:type="dxa"/>
          </w:tcPr>
          <w:p w14:paraId="74D1E91B"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The comparator relates to the standard of care and how the trial comparator matches with that.</w:t>
            </w:r>
          </w:p>
        </w:tc>
      </w:tr>
      <w:tr w:rsidR="00990129" w:rsidRPr="00DE2668" w14:paraId="4EAD1E93" w14:textId="77777777" w:rsidTr="006E10D2">
        <w:tc>
          <w:tcPr>
            <w:cnfStyle w:val="001000000000" w:firstRow="0" w:lastRow="0" w:firstColumn="1" w:lastColumn="0" w:oddVBand="0" w:evenVBand="0" w:oddHBand="0" w:evenHBand="0" w:firstRowFirstColumn="0" w:firstRowLastColumn="0" w:lastRowFirstColumn="0" w:lastRowLastColumn="0"/>
            <w:tcW w:w="236" w:type="dxa"/>
          </w:tcPr>
          <w:p w14:paraId="7F04270B" w14:textId="77777777" w:rsidR="00990129" w:rsidRPr="00DE2668" w:rsidRDefault="00990129" w:rsidP="006E10D2">
            <w:pPr>
              <w:rPr>
                <w:sz w:val="18"/>
                <w:szCs w:val="18"/>
              </w:rPr>
            </w:pPr>
          </w:p>
        </w:tc>
        <w:tc>
          <w:tcPr>
            <w:tcW w:w="2302" w:type="dxa"/>
          </w:tcPr>
          <w:p w14:paraId="5D5AC908"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r w:rsidRPr="00DE2668">
              <w:rPr>
                <w:sz w:val="18"/>
                <w:szCs w:val="18"/>
              </w:rPr>
              <w:t>Outcomes</w:t>
            </w:r>
          </w:p>
        </w:tc>
        <w:tc>
          <w:tcPr>
            <w:tcW w:w="5991" w:type="dxa"/>
          </w:tcPr>
          <w:p w14:paraId="7EDF1171"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r w:rsidRPr="00DE2668">
              <w:rPr>
                <w:sz w:val="18"/>
                <w:szCs w:val="18"/>
              </w:rPr>
              <w:t xml:space="preserve">Outcomes relate to all the hard, surrogate, and patient reported outcomes relevant to regulators, HTA, clinicians and </w:t>
            </w:r>
            <w:r w:rsidRPr="00DE2668">
              <w:rPr>
                <w:sz w:val="18"/>
                <w:szCs w:val="18"/>
              </w:rPr>
              <w:lastRenderedPageBreak/>
              <w:t xml:space="preserve">patients. </w:t>
            </w:r>
          </w:p>
        </w:tc>
      </w:tr>
      <w:tr w:rsidR="00990129" w:rsidRPr="00DE2668" w14:paraId="16B93B9D" w14:textId="77777777" w:rsidTr="006E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14:paraId="627AD76D" w14:textId="77777777" w:rsidR="00990129" w:rsidRPr="00DE2668" w:rsidRDefault="00990129" w:rsidP="006E10D2">
            <w:pPr>
              <w:rPr>
                <w:sz w:val="18"/>
                <w:szCs w:val="18"/>
              </w:rPr>
            </w:pPr>
          </w:p>
        </w:tc>
        <w:tc>
          <w:tcPr>
            <w:tcW w:w="2302" w:type="dxa"/>
          </w:tcPr>
          <w:p w14:paraId="1DA74B43"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Safety</w:t>
            </w:r>
          </w:p>
        </w:tc>
        <w:tc>
          <w:tcPr>
            <w:tcW w:w="5991" w:type="dxa"/>
          </w:tcPr>
          <w:p w14:paraId="35FF1AF0"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Safety relates to any unwanted or harmful effects caused by using the drug.</w:t>
            </w:r>
          </w:p>
        </w:tc>
      </w:tr>
      <w:tr w:rsidR="00990129" w:rsidRPr="00DE2668" w14:paraId="506AFEAA" w14:textId="77777777" w:rsidTr="006E10D2">
        <w:tc>
          <w:tcPr>
            <w:cnfStyle w:val="001000000000" w:firstRow="0" w:lastRow="0" w:firstColumn="1" w:lastColumn="0" w:oddVBand="0" w:evenVBand="0" w:oddHBand="0" w:evenHBand="0" w:firstRowFirstColumn="0" w:firstRowLastColumn="0" w:lastRowFirstColumn="0" w:lastRowLastColumn="0"/>
            <w:tcW w:w="2538" w:type="dxa"/>
            <w:gridSpan w:val="2"/>
          </w:tcPr>
          <w:p w14:paraId="5B30A204" w14:textId="77777777" w:rsidR="00990129" w:rsidRPr="00DE2668" w:rsidRDefault="00990129" w:rsidP="006E10D2">
            <w:pPr>
              <w:rPr>
                <w:sz w:val="18"/>
                <w:szCs w:val="18"/>
              </w:rPr>
            </w:pPr>
            <w:r w:rsidRPr="00DE2668">
              <w:rPr>
                <w:sz w:val="18"/>
                <w:szCs w:val="18"/>
              </w:rPr>
              <w:t>Input (economic)</w:t>
            </w:r>
          </w:p>
        </w:tc>
        <w:tc>
          <w:tcPr>
            <w:tcW w:w="5991" w:type="dxa"/>
          </w:tcPr>
          <w:p w14:paraId="73C46531"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p>
        </w:tc>
      </w:tr>
      <w:tr w:rsidR="00990129" w:rsidRPr="00DE2668" w14:paraId="018E46CD" w14:textId="77777777" w:rsidTr="006E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14:paraId="33B88EF5" w14:textId="77777777" w:rsidR="00990129" w:rsidRPr="00DE2668" w:rsidRDefault="00990129" w:rsidP="006E10D2">
            <w:pPr>
              <w:rPr>
                <w:sz w:val="18"/>
                <w:szCs w:val="18"/>
              </w:rPr>
            </w:pPr>
          </w:p>
        </w:tc>
        <w:tc>
          <w:tcPr>
            <w:tcW w:w="2302" w:type="dxa"/>
          </w:tcPr>
          <w:p w14:paraId="4A51269E"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Cost parameters</w:t>
            </w:r>
          </w:p>
        </w:tc>
        <w:tc>
          <w:tcPr>
            <w:tcW w:w="5991" w:type="dxa"/>
          </w:tcPr>
          <w:p w14:paraId="26435E88"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More specific to HTA , the third domain in input relates to the cost parameters, which may include all costs required in the pharmaco-economic models, direct and indirect and medical and non-medical costs (such as costs related to unemployment due to illness). Cost-effectiveness analysis may provide a perception of less uncertainty by putting uncertainty on a spectrum, rather than stating it as binary.</w:t>
            </w:r>
          </w:p>
        </w:tc>
      </w:tr>
      <w:tr w:rsidR="00990129" w:rsidRPr="00DE2668" w14:paraId="3C00DF17" w14:textId="77777777" w:rsidTr="006E10D2">
        <w:tc>
          <w:tcPr>
            <w:cnfStyle w:val="001000000000" w:firstRow="0" w:lastRow="0" w:firstColumn="1" w:lastColumn="0" w:oddVBand="0" w:evenVBand="0" w:oddHBand="0" w:evenHBand="0" w:firstRowFirstColumn="0" w:firstRowLastColumn="0" w:lastRowFirstColumn="0" w:lastRowLastColumn="0"/>
            <w:tcW w:w="236" w:type="dxa"/>
          </w:tcPr>
          <w:p w14:paraId="4A3ECD36" w14:textId="77777777" w:rsidR="00990129" w:rsidRPr="00DE2668" w:rsidRDefault="00990129" w:rsidP="006E10D2">
            <w:pPr>
              <w:rPr>
                <w:sz w:val="18"/>
                <w:szCs w:val="18"/>
              </w:rPr>
            </w:pPr>
          </w:p>
        </w:tc>
        <w:tc>
          <w:tcPr>
            <w:tcW w:w="2302" w:type="dxa"/>
          </w:tcPr>
          <w:p w14:paraId="665366EF"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r w:rsidRPr="00DE2668">
              <w:rPr>
                <w:sz w:val="18"/>
                <w:szCs w:val="18"/>
              </w:rPr>
              <w:t>Model structure</w:t>
            </w:r>
          </w:p>
        </w:tc>
        <w:tc>
          <w:tcPr>
            <w:tcW w:w="5991" w:type="dxa"/>
          </w:tcPr>
          <w:p w14:paraId="28A0CDB8"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r w:rsidRPr="00DE2668">
              <w:rPr>
                <w:sz w:val="18"/>
                <w:szCs w:val="18"/>
              </w:rPr>
              <w:t>As cost-effectiveness analyses uses models and inherent to models is that it is a simplification of reality, thus inherently introducing uncertainty related to the chosen model and how well it mimics reality. Of course, as more complex models require more detailed data sources that may not always be available, the complexity of the model does not automatically guarantee a better proxy of reality.</w:t>
            </w:r>
          </w:p>
        </w:tc>
      </w:tr>
      <w:tr w:rsidR="00990129" w:rsidRPr="00DE2668" w14:paraId="278F3319" w14:textId="77777777" w:rsidTr="006E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14:paraId="087B47A1" w14:textId="77777777" w:rsidR="00990129" w:rsidRPr="00DE2668" w:rsidRDefault="00990129" w:rsidP="006E10D2">
            <w:pPr>
              <w:rPr>
                <w:sz w:val="18"/>
                <w:szCs w:val="18"/>
              </w:rPr>
            </w:pPr>
          </w:p>
        </w:tc>
        <w:tc>
          <w:tcPr>
            <w:tcW w:w="2302" w:type="dxa"/>
          </w:tcPr>
          <w:p w14:paraId="7C77AFE5"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Methods</w:t>
            </w:r>
          </w:p>
        </w:tc>
        <w:tc>
          <w:tcPr>
            <w:tcW w:w="5991" w:type="dxa"/>
          </w:tcPr>
          <w:p w14:paraId="16A3DE2D"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 xml:space="preserve">Finally, the methods used, such as the chosen discount rates or the perspective chosen, may affect uncertainty as they are.  </w:t>
            </w:r>
          </w:p>
        </w:tc>
      </w:tr>
      <w:tr w:rsidR="00990129" w:rsidRPr="00DE2668" w14:paraId="1E009488" w14:textId="77777777" w:rsidTr="006E10D2">
        <w:tc>
          <w:tcPr>
            <w:cnfStyle w:val="001000000000" w:firstRow="0" w:lastRow="0" w:firstColumn="1" w:lastColumn="0" w:oddVBand="0" w:evenVBand="0" w:oddHBand="0" w:evenHBand="0" w:firstRowFirstColumn="0" w:firstRowLastColumn="0" w:lastRowFirstColumn="0" w:lastRowLastColumn="0"/>
            <w:tcW w:w="2538" w:type="dxa"/>
            <w:gridSpan w:val="2"/>
          </w:tcPr>
          <w:p w14:paraId="3BA81C40" w14:textId="77777777" w:rsidR="00990129" w:rsidRPr="00DE2668" w:rsidRDefault="00990129" w:rsidP="006E10D2">
            <w:pPr>
              <w:rPr>
                <w:sz w:val="18"/>
                <w:szCs w:val="18"/>
              </w:rPr>
            </w:pPr>
            <w:r w:rsidRPr="00DE2668">
              <w:rPr>
                <w:sz w:val="18"/>
                <w:szCs w:val="18"/>
              </w:rPr>
              <w:t>Throughput</w:t>
            </w:r>
          </w:p>
        </w:tc>
        <w:tc>
          <w:tcPr>
            <w:tcW w:w="5991" w:type="dxa"/>
          </w:tcPr>
          <w:p w14:paraId="3B5098BE"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p>
        </w:tc>
      </w:tr>
      <w:tr w:rsidR="00990129" w:rsidRPr="00DE2668" w14:paraId="2FD11EBA" w14:textId="77777777" w:rsidTr="006E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14:paraId="174EE147" w14:textId="77777777" w:rsidR="00990129" w:rsidRPr="00DE2668" w:rsidRDefault="00990129" w:rsidP="006E10D2">
            <w:pPr>
              <w:rPr>
                <w:sz w:val="18"/>
                <w:szCs w:val="18"/>
              </w:rPr>
            </w:pPr>
          </w:p>
        </w:tc>
        <w:tc>
          <w:tcPr>
            <w:tcW w:w="2302" w:type="dxa"/>
          </w:tcPr>
          <w:p w14:paraId="4825194A"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Procedures</w:t>
            </w:r>
          </w:p>
        </w:tc>
        <w:tc>
          <w:tcPr>
            <w:tcW w:w="5991" w:type="dxa"/>
          </w:tcPr>
          <w:p w14:paraId="52480413"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Institutional procedures and methods for deliberation(33). For example, methods for considering contextual factors, format and consistency of uncertainty explorations and visualization, presentation of information to be deliberated on, weighing trade-offs for mitigating uncertainty in deliberative processes.</w:t>
            </w:r>
          </w:p>
        </w:tc>
      </w:tr>
      <w:tr w:rsidR="00990129" w:rsidRPr="00DE2668" w14:paraId="12315D56" w14:textId="77777777" w:rsidTr="006E10D2">
        <w:tc>
          <w:tcPr>
            <w:cnfStyle w:val="001000000000" w:firstRow="0" w:lastRow="0" w:firstColumn="1" w:lastColumn="0" w:oddVBand="0" w:evenVBand="0" w:oddHBand="0" w:evenHBand="0" w:firstRowFirstColumn="0" w:firstRowLastColumn="0" w:lastRowFirstColumn="0" w:lastRowLastColumn="0"/>
            <w:tcW w:w="236" w:type="dxa"/>
          </w:tcPr>
          <w:p w14:paraId="04948689" w14:textId="77777777" w:rsidR="00990129" w:rsidRPr="00DE2668" w:rsidRDefault="00990129" w:rsidP="006E10D2">
            <w:pPr>
              <w:rPr>
                <w:sz w:val="18"/>
                <w:szCs w:val="18"/>
              </w:rPr>
            </w:pPr>
          </w:p>
        </w:tc>
        <w:tc>
          <w:tcPr>
            <w:tcW w:w="2302" w:type="dxa"/>
          </w:tcPr>
          <w:p w14:paraId="50F9FBC0"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r w:rsidRPr="00DE2668">
              <w:rPr>
                <w:sz w:val="18"/>
                <w:szCs w:val="18"/>
              </w:rPr>
              <w:t>Methods</w:t>
            </w:r>
          </w:p>
        </w:tc>
        <w:tc>
          <w:tcPr>
            <w:tcW w:w="5991" w:type="dxa"/>
          </w:tcPr>
          <w:p w14:paraId="213BE79E"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r w:rsidRPr="00DE2668">
              <w:rPr>
                <w:sz w:val="18"/>
                <w:szCs w:val="18"/>
              </w:rPr>
              <w:t>It also includes considerations the level of uncertainty that is acceptable for participants of deliberative processes, as this is largely dependent on their appetite for risk.</w:t>
            </w:r>
          </w:p>
        </w:tc>
      </w:tr>
      <w:tr w:rsidR="00990129" w:rsidRPr="00DE2668" w14:paraId="447E658D" w14:textId="77777777" w:rsidTr="006E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14:paraId="0AD663EB" w14:textId="77777777" w:rsidR="00990129" w:rsidRPr="00DE2668" w:rsidRDefault="00990129" w:rsidP="006E10D2">
            <w:pPr>
              <w:rPr>
                <w:sz w:val="18"/>
                <w:szCs w:val="18"/>
              </w:rPr>
            </w:pPr>
          </w:p>
        </w:tc>
        <w:tc>
          <w:tcPr>
            <w:tcW w:w="2302" w:type="dxa"/>
          </w:tcPr>
          <w:p w14:paraId="5DC3E046"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People</w:t>
            </w:r>
          </w:p>
        </w:tc>
        <w:tc>
          <w:tcPr>
            <w:tcW w:w="5991" w:type="dxa"/>
          </w:tcPr>
          <w:p w14:paraId="3E7FB638"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 xml:space="preserve">The people deliberating also largely affect uncertainty as knowledge and skills may vary.  </w:t>
            </w:r>
          </w:p>
        </w:tc>
      </w:tr>
      <w:tr w:rsidR="00990129" w:rsidRPr="00DE2668" w14:paraId="2FA9E9DE" w14:textId="77777777" w:rsidTr="006E10D2">
        <w:tc>
          <w:tcPr>
            <w:cnfStyle w:val="001000000000" w:firstRow="0" w:lastRow="0" w:firstColumn="1" w:lastColumn="0" w:oddVBand="0" w:evenVBand="0" w:oddHBand="0" w:evenHBand="0" w:firstRowFirstColumn="0" w:firstRowLastColumn="0" w:lastRowFirstColumn="0" w:lastRowLastColumn="0"/>
            <w:tcW w:w="2538" w:type="dxa"/>
            <w:gridSpan w:val="2"/>
          </w:tcPr>
          <w:p w14:paraId="400A9895" w14:textId="77777777" w:rsidR="00990129" w:rsidRPr="00DE2668" w:rsidRDefault="00990129" w:rsidP="006E10D2">
            <w:pPr>
              <w:rPr>
                <w:sz w:val="18"/>
                <w:szCs w:val="18"/>
              </w:rPr>
            </w:pPr>
            <w:r w:rsidRPr="00DE2668">
              <w:rPr>
                <w:sz w:val="18"/>
                <w:szCs w:val="18"/>
              </w:rPr>
              <w:t>Output</w:t>
            </w:r>
          </w:p>
        </w:tc>
        <w:tc>
          <w:tcPr>
            <w:tcW w:w="5991" w:type="dxa"/>
          </w:tcPr>
          <w:p w14:paraId="718C551B"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p>
        </w:tc>
      </w:tr>
      <w:tr w:rsidR="00990129" w:rsidRPr="00DE2668" w14:paraId="3F33FDDB" w14:textId="77777777" w:rsidTr="006E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14:paraId="247DA345" w14:textId="77777777" w:rsidR="00990129" w:rsidRPr="00DE2668" w:rsidRDefault="00990129" w:rsidP="006E10D2">
            <w:pPr>
              <w:rPr>
                <w:sz w:val="18"/>
                <w:szCs w:val="18"/>
              </w:rPr>
            </w:pPr>
          </w:p>
        </w:tc>
        <w:tc>
          <w:tcPr>
            <w:tcW w:w="2302" w:type="dxa"/>
          </w:tcPr>
          <w:p w14:paraId="02ED5BB2"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Communication</w:t>
            </w:r>
          </w:p>
        </w:tc>
        <w:tc>
          <w:tcPr>
            <w:tcW w:w="5991" w:type="dxa"/>
          </w:tcPr>
          <w:p w14:paraId="66E37608"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Communication of uncertainties in a concise and understandable way to other stakeholders.</w:t>
            </w:r>
          </w:p>
        </w:tc>
      </w:tr>
      <w:tr w:rsidR="00990129" w:rsidRPr="00DE2668" w14:paraId="4B4482F9" w14:textId="77777777" w:rsidTr="006E10D2">
        <w:tc>
          <w:tcPr>
            <w:cnfStyle w:val="001000000000" w:firstRow="0" w:lastRow="0" w:firstColumn="1" w:lastColumn="0" w:oddVBand="0" w:evenVBand="0" w:oddHBand="0" w:evenHBand="0" w:firstRowFirstColumn="0" w:firstRowLastColumn="0" w:lastRowFirstColumn="0" w:lastRowLastColumn="0"/>
            <w:tcW w:w="236" w:type="dxa"/>
          </w:tcPr>
          <w:p w14:paraId="489E8915" w14:textId="77777777" w:rsidR="00990129" w:rsidRPr="00DE2668" w:rsidRDefault="00990129" w:rsidP="006E10D2">
            <w:pPr>
              <w:rPr>
                <w:sz w:val="18"/>
                <w:szCs w:val="18"/>
              </w:rPr>
            </w:pPr>
          </w:p>
        </w:tc>
        <w:tc>
          <w:tcPr>
            <w:tcW w:w="2302" w:type="dxa"/>
          </w:tcPr>
          <w:p w14:paraId="04FDD242"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r w:rsidRPr="00DE2668">
              <w:rPr>
                <w:sz w:val="18"/>
                <w:szCs w:val="18"/>
              </w:rPr>
              <w:t>Implementation</w:t>
            </w:r>
          </w:p>
        </w:tc>
        <w:tc>
          <w:tcPr>
            <w:tcW w:w="5991" w:type="dxa"/>
          </w:tcPr>
          <w:p w14:paraId="1877E979"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r w:rsidRPr="00DE2668">
              <w:rPr>
                <w:sz w:val="18"/>
                <w:szCs w:val="18"/>
              </w:rPr>
              <w:t>The implementation of new treatments in clinical guidelines, prescription behavior according to guidelines, uptake of new methods for assessment or deliberation. This may include contextual issues related to health care structures (e.g., [de]centralized care, connection between primary, secondary, or tertiary care, national versus private insurance, patient preferences and adherence to treatment).</w:t>
            </w:r>
          </w:p>
        </w:tc>
      </w:tr>
      <w:tr w:rsidR="00990129" w:rsidRPr="00DE2668" w14:paraId="63A30EE2" w14:textId="77777777" w:rsidTr="006E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gridSpan w:val="2"/>
          </w:tcPr>
          <w:p w14:paraId="1E617741" w14:textId="77777777" w:rsidR="00990129" w:rsidRPr="00DE2668" w:rsidRDefault="00990129" w:rsidP="006E10D2">
            <w:pPr>
              <w:rPr>
                <w:sz w:val="18"/>
                <w:szCs w:val="18"/>
              </w:rPr>
            </w:pPr>
            <w:r w:rsidRPr="00DE2668">
              <w:rPr>
                <w:sz w:val="18"/>
                <w:szCs w:val="18"/>
              </w:rPr>
              <w:t>Evaluation</w:t>
            </w:r>
          </w:p>
        </w:tc>
        <w:tc>
          <w:tcPr>
            <w:tcW w:w="5991" w:type="dxa"/>
          </w:tcPr>
          <w:p w14:paraId="1C28C890"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p>
        </w:tc>
      </w:tr>
      <w:tr w:rsidR="00990129" w:rsidRPr="00DE2668" w14:paraId="13D1865D" w14:textId="77777777" w:rsidTr="006E10D2">
        <w:tc>
          <w:tcPr>
            <w:cnfStyle w:val="001000000000" w:firstRow="0" w:lastRow="0" w:firstColumn="1" w:lastColumn="0" w:oddVBand="0" w:evenVBand="0" w:oddHBand="0" w:evenHBand="0" w:firstRowFirstColumn="0" w:firstRowLastColumn="0" w:lastRowFirstColumn="0" w:lastRowLastColumn="0"/>
            <w:tcW w:w="236" w:type="dxa"/>
          </w:tcPr>
          <w:p w14:paraId="017ED463" w14:textId="77777777" w:rsidR="00990129" w:rsidRPr="00DE2668" w:rsidRDefault="00990129" w:rsidP="006E10D2">
            <w:pPr>
              <w:rPr>
                <w:sz w:val="18"/>
                <w:szCs w:val="18"/>
              </w:rPr>
            </w:pPr>
          </w:p>
        </w:tc>
        <w:tc>
          <w:tcPr>
            <w:tcW w:w="2302" w:type="dxa"/>
          </w:tcPr>
          <w:p w14:paraId="79A69D19"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r w:rsidRPr="00DE2668">
              <w:rPr>
                <w:sz w:val="18"/>
                <w:szCs w:val="18"/>
              </w:rPr>
              <w:t>Evaluation</w:t>
            </w:r>
          </w:p>
        </w:tc>
        <w:tc>
          <w:tcPr>
            <w:tcW w:w="5991" w:type="dxa"/>
          </w:tcPr>
          <w:p w14:paraId="07E5BEB3" w14:textId="77777777" w:rsidR="00990129" w:rsidRPr="00DE2668" w:rsidRDefault="00990129" w:rsidP="006E10D2">
            <w:pPr>
              <w:cnfStyle w:val="000000000000" w:firstRow="0" w:lastRow="0" w:firstColumn="0" w:lastColumn="0" w:oddVBand="0" w:evenVBand="0" w:oddHBand="0" w:evenHBand="0" w:firstRowFirstColumn="0" w:firstRowLastColumn="0" w:lastRowFirstColumn="0" w:lastRowLastColumn="0"/>
              <w:rPr>
                <w:sz w:val="18"/>
                <w:szCs w:val="18"/>
              </w:rPr>
            </w:pPr>
            <w:r w:rsidRPr="00DE2668">
              <w:rPr>
                <w:sz w:val="18"/>
                <w:szCs w:val="18"/>
              </w:rPr>
              <w:t xml:space="preserve">This may include the monitoring of the risks that were considered in the trade-off for mitigating uncertainty and deciding on whether to perform a re-assessment. It creates the opportunity to steer and reassess, although it may not always be clear in which situations a reassessment is really of added value, i.e., would an initial decision change based upon reassessment. In other words, checking whether all stakeholders can ‘live with’ the mitigation strategies that have been decided on, it is part of the life cycle approach. </w:t>
            </w:r>
          </w:p>
        </w:tc>
      </w:tr>
      <w:tr w:rsidR="00990129" w14:paraId="670AEEC1" w14:textId="77777777" w:rsidTr="006E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14:paraId="681C4D23" w14:textId="77777777" w:rsidR="00990129" w:rsidRPr="00DE2668" w:rsidRDefault="00990129" w:rsidP="006E10D2">
            <w:pPr>
              <w:rPr>
                <w:sz w:val="18"/>
                <w:szCs w:val="18"/>
              </w:rPr>
            </w:pPr>
          </w:p>
        </w:tc>
        <w:tc>
          <w:tcPr>
            <w:tcW w:w="2302" w:type="dxa"/>
          </w:tcPr>
          <w:p w14:paraId="20C83020" w14:textId="77777777" w:rsidR="00990129" w:rsidRPr="00DE2668"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Deliberation by others</w:t>
            </w:r>
          </w:p>
        </w:tc>
        <w:tc>
          <w:tcPr>
            <w:tcW w:w="5991" w:type="dxa"/>
          </w:tcPr>
          <w:p w14:paraId="3AEB117E" w14:textId="77777777" w:rsidR="00990129" w:rsidRDefault="00990129" w:rsidP="006E10D2">
            <w:pPr>
              <w:cnfStyle w:val="000000100000" w:firstRow="0" w:lastRow="0" w:firstColumn="0" w:lastColumn="0" w:oddVBand="0" w:evenVBand="0" w:oddHBand="1" w:evenHBand="0" w:firstRowFirstColumn="0" w:firstRowLastColumn="0" w:lastRowFirstColumn="0" w:lastRowLastColumn="0"/>
              <w:rPr>
                <w:sz w:val="18"/>
                <w:szCs w:val="18"/>
              </w:rPr>
            </w:pPr>
            <w:r w:rsidRPr="00DE2668">
              <w:rPr>
                <w:sz w:val="18"/>
                <w:szCs w:val="18"/>
              </w:rPr>
              <w:t>As opposed to the deliberation by others in the initiation phase, referring to the use of previous deliberations in the current deliberation, this refers to the effect that the current deliberation may have on subsequent decision-makers.</w:t>
            </w:r>
            <w:r>
              <w:rPr>
                <w:sz w:val="18"/>
                <w:szCs w:val="18"/>
              </w:rPr>
              <w:t xml:space="preserve"> </w:t>
            </w:r>
          </w:p>
        </w:tc>
      </w:tr>
    </w:tbl>
    <w:p w14:paraId="2976561B" w14:textId="77777777" w:rsidR="00990129" w:rsidRPr="00747EA7" w:rsidRDefault="00990129" w:rsidP="00990129">
      <w:pPr>
        <w:spacing w:line="480" w:lineRule="auto"/>
        <w:contextualSpacing/>
        <w:rPr>
          <w:sz w:val="18"/>
          <w:szCs w:val="18"/>
        </w:rPr>
      </w:pPr>
    </w:p>
    <w:p w14:paraId="2DA5EEAA" w14:textId="77777777" w:rsidR="00FC2B09" w:rsidRDefault="00FC2B09"/>
    <w:sectPr w:rsidR="00FC2B09" w:rsidSect="00990129">
      <w:pgSz w:w="11907" w:h="16840" w:code="9"/>
      <w:pgMar w:top="1440" w:right="1800" w:bottom="1440" w:left="18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990129"/>
    <w:rsid w:val="00990129"/>
    <w:rsid w:val="00FC2B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2DE6"/>
  <w15:chartTrackingRefBased/>
  <w15:docId w15:val="{E875828C-9FC5-4A02-AB4E-38F8E0C8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0129"/>
    <w:pPr>
      <w:spacing w:after="0" w:line="240" w:lineRule="auto"/>
    </w:pPr>
    <w:rPr>
      <w:rFonts w:ascii="Verdana" w:eastAsia="Times New Roman" w:hAnsi="Verdana" w:cs="Times New Roman"/>
      <w:sz w:val="20"/>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Onopgemaaktetabel2">
    <w:name w:val="Plain Table 2"/>
    <w:basedOn w:val="Standaardtabel"/>
    <w:uiPriority w:val="42"/>
    <w:rsid w:val="00990129"/>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gelnummer">
    <w:name w:val="line number"/>
    <w:basedOn w:val="Standaardalinea-lettertype"/>
    <w:uiPriority w:val="99"/>
    <w:semiHidden/>
    <w:unhideWhenUsed/>
    <w:rsid w:val="00990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1564</Words>
  <Characters>8608</Characters>
  <Application>Microsoft Office Word</Application>
  <DocSecurity>0</DocSecurity>
  <Lines>71</Lines>
  <Paragraphs>20</Paragraphs>
  <ScaleCrop>false</ScaleCrop>
  <Company>RaboudUMC</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Oortwijn, Wija</dc:creator>
  <cp:keywords/>
  <dc:description/>
  <cp:lastModifiedBy>Oortwijn, Wija</cp:lastModifiedBy>
  <cp:revision>1</cp:revision>
  <dcterms:created xsi:type="dcterms:W3CDTF">2023-05-02T14:29:00Z</dcterms:created>
  <dcterms:modified xsi:type="dcterms:W3CDTF">2023-05-02T14:31:00Z</dcterms:modified>
</cp:coreProperties>
</file>