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25" w:rsidRDefault="00476525" w:rsidP="00476525">
      <w:pPr>
        <w:keepNext/>
        <w:spacing w:line="480" w:lineRule="auto"/>
        <w:rPr>
          <w:rFonts w:ascii="Times New Roman" w:hAnsi="Times New Roman" w:cs="Times New Roman"/>
          <w:noProof/>
          <w:sz w:val="24"/>
          <w:szCs w:val="24"/>
        </w:rPr>
      </w:pPr>
      <w:r>
        <w:rPr>
          <w:rFonts w:ascii="Times New Roman" w:hAnsi="Times New Roman" w:cs="Times New Roman"/>
          <w:noProof/>
          <w:sz w:val="24"/>
          <w:szCs w:val="24"/>
        </w:rPr>
        <w:t>Supplementary Material</w:t>
      </w:r>
    </w:p>
    <w:p w:rsidR="00476525" w:rsidRPr="003F372F" w:rsidRDefault="00476525" w:rsidP="00476525">
      <w:pPr>
        <w:keepNext/>
        <w:spacing w:line="480" w:lineRule="auto"/>
        <w:rPr>
          <w:rFonts w:ascii="Times New Roman" w:hAnsi="Times New Roman" w:cs="Times New Roman"/>
          <w:sz w:val="24"/>
          <w:szCs w:val="24"/>
        </w:rPr>
      </w:pPr>
      <w:r>
        <w:rPr>
          <w:rFonts w:ascii="Times New Roman" w:hAnsi="Times New Roman" w:cs="Times New Roman"/>
          <w:noProof/>
          <w:sz w:val="24"/>
          <w:szCs w:val="24"/>
        </w:rPr>
        <w:t>Table S1</w:t>
      </w:r>
      <w:r w:rsidRPr="008B4F80">
        <w:rPr>
          <w:rFonts w:ascii="Times New Roman" w:hAnsi="Times New Roman" w:cs="Times New Roman"/>
          <w:noProof/>
          <w:sz w:val="24"/>
          <w:szCs w:val="24"/>
        </w:rPr>
        <w:t xml:space="preserve">. </w:t>
      </w:r>
      <w:r w:rsidRPr="003F372F">
        <w:rPr>
          <w:rFonts w:ascii="Times New Roman" w:hAnsi="Times New Roman" w:cs="Times New Roman"/>
          <w:sz w:val="24"/>
          <w:szCs w:val="24"/>
        </w:rPr>
        <w:t xml:space="preserve">Allometric equations relating total tree height (H in m) to tree diameter (D in cm). A total of ten different allometric models were fitted to the height-diameter data, following </w:t>
      </w:r>
      <w:proofErr w:type="spellStart"/>
      <w:r w:rsidRPr="003F372F">
        <w:rPr>
          <w:rFonts w:ascii="Times New Roman" w:hAnsi="Times New Roman" w:cs="Times New Roman"/>
          <w:sz w:val="24"/>
          <w:szCs w:val="24"/>
        </w:rPr>
        <w:t>Fayolle</w:t>
      </w:r>
      <w:proofErr w:type="spellEnd"/>
      <w:r w:rsidRPr="003F372F">
        <w:rPr>
          <w:rFonts w:ascii="Times New Roman" w:hAnsi="Times New Roman" w:cs="Times New Roman"/>
          <w:sz w:val="24"/>
          <w:szCs w:val="24"/>
        </w:rPr>
        <w:t xml:space="preserve"> et al. (2016). The </w:t>
      </w:r>
      <w:proofErr w:type="spellStart"/>
      <w:r w:rsidRPr="003F372F">
        <w:rPr>
          <w:rFonts w:ascii="Times New Roman" w:hAnsi="Times New Roman" w:cs="Times New Roman"/>
          <w:sz w:val="24"/>
          <w:szCs w:val="24"/>
        </w:rPr>
        <w:t>Akaike</w:t>
      </w:r>
      <w:proofErr w:type="spellEnd"/>
      <w:r w:rsidRPr="003F372F">
        <w:rPr>
          <w:rFonts w:ascii="Times New Roman" w:hAnsi="Times New Roman" w:cs="Times New Roman"/>
          <w:sz w:val="24"/>
          <w:szCs w:val="24"/>
        </w:rPr>
        <w:t xml:space="preserve"> Information Criterion (AIC), the Residual Standard Error (RSE) and parameter estimates are given for each model. The best model (lowest AIC and RSE) relating height to diameter is shown in bold for each forest type.</w:t>
      </w:r>
    </w:p>
    <w:tbl>
      <w:tblPr>
        <w:tblpPr w:leftFromText="180" w:rightFromText="180" w:vertAnchor="text" w:horzAnchor="margin" w:tblpX="-459" w:tblpY="119"/>
        <w:tblW w:w="14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53"/>
        <w:gridCol w:w="851"/>
        <w:gridCol w:w="850"/>
        <w:gridCol w:w="851"/>
        <w:gridCol w:w="992"/>
        <w:gridCol w:w="992"/>
        <w:gridCol w:w="284"/>
        <w:gridCol w:w="850"/>
        <w:gridCol w:w="667"/>
        <w:gridCol w:w="926"/>
        <w:gridCol w:w="851"/>
        <w:gridCol w:w="1134"/>
      </w:tblGrid>
      <w:tr w:rsidR="00476525" w:rsidRPr="00912F7B" w:rsidTr="00F20057">
        <w:trPr>
          <w:trHeight w:val="300"/>
        </w:trPr>
        <w:tc>
          <w:tcPr>
            <w:tcW w:w="5353" w:type="dxa"/>
            <w:tcBorders>
              <w:left w:val="nil"/>
              <w:bottom w:val="nil"/>
              <w:right w:val="nil"/>
            </w:tcBorders>
            <w:shd w:val="clear" w:color="auto" w:fill="auto"/>
            <w:noWrap/>
            <w:vAlign w:val="bottom"/>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4536" w:type="dxa"/>
            <w:gridSpan w:val="5"/>
            <w:tcBorders>
              <w:left w:val="nil"/>
              <w:bottom w:val="single" w:sz="12" w:space="0" w:color="auto"/>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Mixed forest (n = 127)</w:t>
            </w:r>
          </w:p>
        </w:tc>
        <w:tc>
          <w:tcPr>
            <w:tcW w:w="284" w:type="dxa"/>
            <w:tcBorders>
              <w:left w:val="nil"/>
              <w:bottom w:val="nil"/>
              <w:right w:val="nil"/>
            </w:tcBorders>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4428" w:type="dxa"/>
            <w:gridSpan w:val="5"/>
            <w:tcBorders>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Monodominant forest (n = 137)</w:t>
            </w:r>
          </w:p>
        </w:tc>
      </w:tr>
      <w:tr w:rsidR="00476525" w:rsidRPr="00912F7B" w:rsidTr="00F20057">
        <w:trPr>
          <w:trHeight w:val="300"/>
        </w:trPr>
        <w:tc>
          <w:tcPr>
            <w:tcW w:w="5353" w:type="dxa"/>
            <w:tcBorders>
              <w:top w:val="nil"/>
              <w:left w:val="nil"/>
              <w:bottom w:val="single" w:sz="12" w:space="0" w:color="auto"/>
              <w:right w:val="nil"/>
            </w:tcBorders>
            <w:shd w:val="clear" w:color="auto" w:fill="auto"/>
            <w:noWrap/>
            <w:vAlign w:val="bottom"/>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Model</w:t>
            </w:r>
          </w:p>
        </w:tc>
        <w:tc>
          <w:tcPr>
            <w:tcW w:w="851" w:type="dxa"/>
            <w:tcBorders>
              <w:top w:val="single" w:sz="12" w:space="0" w:color="auto"/>
              <w:left w:val="nil"/>
              <w:bottom w:val="single" w:sz="12" w:space="0" w:color="auto"/>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AIC</w:t>
            </w:r>
          </w:p>
        </w:tc>
        <w:tc>
          <w:tcPr>
            <w:tcW w:w="850" w:type="dxa"/>
            <w:tcBorders>
              <w:top w:val="single" w:sz="12" w:space="0" w:color="auto"/>
              <w:left w:val="nil"/>
              <w:bottom w:val="single" w:sz="12" w:space="0" w:color="auto"/>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RSE</w:t>
            </w:r>
          </w:p>
        </w:tc>
        <w:tc>
          <w:tcPr>
            <w:tcW w:w="851" w:type="dxa"/>
            <w:tcBorders>
              <w:top w:val="single" w:sz="12" w:space="0" w:color="auto"/>
              <w:left w:val="nil"/>
              <w:bottom w:val="single" w:sz="12" w:space="0" w:color="auto"/>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a</w:t>
            </w:r>
          </w:p>
        </w:tc>
        <w:tc>
          <w:tcPr>
            <w:tcW w:w="992" w:type="dxa"/>
            <w:tcBorders>
              <w:top w:val="single" w:sz="12" w:space="0" w:color="auto"/>
              <w:left w:val="nil"/>
              <w:bottom w:val="single" w:sz="12" w:space="0" w:color="auto"/>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b</w:t>
            </w:r>
          </w:p>
        </w:tc>
        <w:tc>
          <w:tcPr>
            <w:tcW w:w="992" w:type="dxa"/>
            <w:tcBorders>
              <w:top w:val="single" w:sz="12" w:space="0" w:color="auto"/>
              <w:left w:val="nil"/>
              <w:bottom w:val="single" w:sz="12" w:space="0" w:color="auto"/>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c</w:t>
            </w:r>
          </w:p>
        </w:tc>
        <w:tc>
          <w:tcPr>
            <w:tcW w:w="284" w:type="dxa"/>
            <w:tcBorders>
              <w:top w:val="nil"/>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single" w:sz="12" w:space="0" w:color="auto"/>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AIC</w:t>
            </w:r>
          </w:p>
        </w:tc>
        <w:tc>
          <w:tcPr>
            <w:tcW w:w="667" w:type="dxa"/>
            <w:tcBorders>
              <w:top w:val="single" w:sz="12" w:space="0" w:color="auto"/>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RSE</w:t>
            </w:r>
          </w:p>
        </w:tc>
        <w:tc>
          <w:tcPr>
            <w:tcW w:w="926" w:type="dxa"/>
            <w:tcBorders>
              <w:top w:val="single" w:sz="12" w:space="0" w:color="auto"/>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a</w:t>
            </w:r>
          </w:p>
        </w:tc>
        <w:tc>
          <w:tcPr>
            <w:tcW w:w="851" w:type="dxa"/>
            <w:tcBorders>
              <w:top w:val="single" w:sz="12" w:space="0" w:color="auto"/>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b</w:t>
            </w:r>
          </w:p>
        </w:tc>
        <w:tc>
          <w:tcPr>
            <w:tcW w:w="1134" w:type="dxa"/>
            <w:tcBorders>
              <w:top w:val="single" w:sz="12" w:space="0" w:color="auto"/>
              <w:left w:val="nil"/>
              <w:bottom w:val="single" w:sz="12" w:space="0" w:color="auto"/>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c</w:t>
            </w:r>
          </w:p>
        </w:tc>
      </w:tr>
      <w:tr w:rsidR="00476525" w:rsidRPr="00912F7B" w:rsidTr="00F20057">
        <w:trPr>
          <w:trHeight w:val="300"/>
        </w:trPr>
        <w:tc>
          <w:tcPr>
            <w:tcW w:w="5353" w:type="dxa"/>
            <w:tcBorders>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Monotonic models</w:t>
            </w:r>
          </w:p>
        </w:tc>
        <w:tc>
          <w:tcPr>
            <w:tcW w:w="851" w:type="dxa"/>
            <w:tcBorders>
              <w:left w:val="nil"/>
              <w:bottom w:val="nil"/>
              <w:right w:val="nil"/>
            </w:tcBorders>
            <w:shd w:val="clear" w:color="auto" w:fill="auto"/>
            <w:noWrap/>
            <w:vAlign w:val="bottom"/>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left w:val="nil"/>
              <w:bottom w:val="nil"/>
              <w:right w:val="nil"/>
            </w:tcBorders>
            <w:shd w:val="clear" w:color="auto" w:fill="auto"/>
            <w:noWrap/>
            <w:vAlign w:val="bottom"/>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left w:val="nil"/>
              <w:bottom w:val="nil"/>
              <w:right w:val="nil"/>
            </w:tcBorders>
            <w:shd w:val="clear" w:color="auto" w:fill="auto"/>
            <w:noWrap/>
            <w:vAlign w:val="bottom"/>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left w:val="nil"/>
              <w:bottom w:val="nil"/>
              <w:right w:val="nil"/>
            </w:tcBorders>
            <w:shd w:val="clear" w:color="auto" w:fill="auto"/>
            <w:noWrap/>
            <w:vAlign w:val="bottom"/>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left w:val="nil"/>
              <w:bottom w:val="nil"/>
              <w:right w:val="nil"/>
            </w:tcBorders>
            <w:shd w:val="clear" w:color="auto" w:fill="auto"/>
            <w:noWrap/>
            <w:vAlign w:val="bottom"/>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284" w:type="dxa"/>
            <w:tcBorders>
              <w:left w:val="nil"/>
              <w:bottom w:val="nil"/>
              <w:right w:val="nil"/>
            </w:tcBorders>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667" w:type="dxa"/>
            <w:tcBorders>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26" w:type="dxa"/>
            <w:tcBorders>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1134" w:type="dxa"/>
            <w:tcBorders>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 xml:space="preserve">Linear model, </w:t>
            </w:r>
            <m:oMath>
              <m:r>
                <w:rPr>
                  <w:rFonts w:ascii="Cambria Math" w:eastAsia="Times New Roman" w:hAnsi="Cambria Math" w:cs="Times New Roman"/>
                  <w:color w:val="000000"/>
                  <w:sz w:val="24"/>
                  <w:szCs w:val="24"/>
                  <w:lang w:eastAsia="en-GB"/>
                </w:rPr>
                <m:t>H=a+b×D</m:t>
              </m:r>
            </m:oMath>
          </w:p>
        </w:tc>
        <w:tc>
          <w:tcPr>
            <w:tcW w:w="851"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836.3</w:t>
            </w:r>
          </w:p>
        </w:tc>
        <w:tc>
          <w:tcPr>
            <w:tcW w:w="850"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6.41</w:t>
            </w:r>
          </w:p>
        </w:tc>
        <w:tc>
          <w:tcPr>
            <w:tcW w:w="851"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12.99</w:t>
            </w:r>
          </w:p>
        </w:tc>
        <w:tc>
          <w:tcPr>
            <w:tcW w:w="992"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0.358</w:t>
            </w:r>
          </w:p>
        </w:tc>
        <w:tc>
          <w:tcPr>
            <w:tcW w:w="992"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NA</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899.1</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6.35</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15.63</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0.356</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NA</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 xml:space="preserve">Log-linear model, </w:t>
            </w:r>
            <m:oMath>
              <m:r>
                <w:rPr>
                  <w:rFonts w:ascii="Cambria Math" w:eastAsia="Times New Roman" w:hAnsi="Cambria Math" w:cs="Times New Roman"/>
                  <w:color w:val="000000"/>
                  <w:sz w:val="24"/>
                  <w:szCs w:val="24"/>
                  <w:lang w:eastAsia="en-GB"/>
                </w:rPr>
                <m:t>H=a+b×</m:t>
              </m:r>
              <m:r>
                <m:rPr>
                  <m:sty m:val="p"/>
                </m:rPr>
                <w:rPr>
                  <w:rFonts w:ascii="Cambria Math" w:eastAsia="Times New Roman" w:hAnsi="Cambria Math" w:cs="Times New Roman"/>
                  <w:color w:val="000000"/>
                  <w:sz w:val="24"/>
                  <w:szCs w:val="24"/>
                  <w:lang w:eastAsia="en-GB"/>
                </w:rPr>
                <m:t>log⁡</m:t>
              </m:r>
              <m:r>
                <w:rPr>
                  <w:rFonts w:ascii="Cambria Math" w:eastAsia="Times New Roman" w:hAnsi="Cambria Math" w:cs="Times New Roman"/>
                  <w:color w:val="000000"/>
                  <w:sz w:val="24"/>
                  <w:szCs w:val="24"/>
                  <w:lang w:eastAsia="en-GB"/>
                </w:rPr>
                <m:t>(D)</m:t>
              </m:r>
            </m:oMath>
          </w:p>
        </w:tc>
        <w:tc>
          <w:tcPr>
            <w:tcW w:w="851"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818.2</w:t>
            </w:r>
          </w:p>
        </w:tc>
        <w:tc>
          <w:tcPr>
            <w:tcW w:w="850"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5.97</w:t>
            </w:r>
          </w:p>
        </w:tc>
        <w:tc>
          <w:tcPr>
            <w:tcW w:w="851"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-27.83</w:t>
            </w:r>
          </w:p>
        </w:tc>
        <w:tc>
          <w:tcPr>
            <w:tcW w:w="992"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15.7</w:t>
            </w:r>
          </w:p>
        </w:tc>
        <w:tc>
          <w:tcPr>
            <w:tcW w:w="992"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NA</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877.4</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5.86</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-27.83</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16.4</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NA</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 xml:space="preserve">Power model, </w:t>
            </w:r>
            <m:oMath>
              <m:r>
                <w:rPr>
                  <w:rFonts w:ascii="Cambria Math" w:eastAsia="Times New Roman" w:hAnsi="Cambria Math" w:cs="Times New Roman"/>
                  <w:color w:val="000000"/>
                  <w:sz w:val="24"/>
                  <w:szCs w:val="24"/>
                  <w:lang w:eastAsia="en-GB"/>
                </w:rPr>
                <m:t>H=a×</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D</m:t>
                  </m:r>
                </m:e>
                <m:sup>
                  <m:r>
                    <w:rPr>
                      <w:rFonts w:ascii="Cambria Math" w:eastAsia="Times New Roman" w:hAnsi="Cambria Math" w:cs="Times New Roman"/>
                      <w:color w:val="000000"/>
                      <w:sz w:val="24"/>
                      <w:szCs w:val="24"/>
                      <w:lang w:eastAsia="en-GB"/>
                    </w:rPr>
                    <m:t>b</m:t>
                  </m:r>
                </m:sup>
              </m:sSup>
            </m:oMath>
          </w:p>
        </w:tc>
        <w:tc>
          <w:tcPr>
            <w:tcW w:w="851"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820.5</w:t>
            </w:r>
          </w:p>
        </w:tc>
        <w:tc>
          <w:tcPr>
            <w:tcW w:w="850"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6.02</w:t>
            </w:r>
          </w:p>
        </w:tc>
        <w:tc>
          <w:tcPr>
            <w:tcW w:w="851"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3.83</w:t>
            </w:r>
          </w:p>
        </w:tc>
        <w:tc>
          <w:tcPr>
            <w:tcW w:w="992"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0.544</w:t>
            </w:r>
          </w:p>
        </w:tc>
        <w:tc>
          <w:tcPr>
            <w:tcW w:w="992"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NA</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879.8</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5.92</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4.76</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0.51</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NA</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Second-order polynomial models</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H=a+b×D+c×</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D</m:t>
                    </m:r>
                  </m:e>
                  <m:sup>
                    <m:r>
                      <w:rPr>
                        <w:rFonts w:ascii="Cambria Math" w:eastAsia="Times New Roman" w:hAnsi="Cambria Math" w:cs="Times New Roman"/>
                        <w:color w:val="000000"/>
                        <w:sz w:val="24"/>
                        <w:szCs w:val="24"/>
                        <w:lang w:eastAsia="en-GB"/>
                      </w:rPr>
                      <m:t>2</m:t>
                    </m:r>
                  </m:sup>
                </m:sSup>
              </m:oMath>
            </m:oMathPara>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823.6</w:t>
            </w: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6.07</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7.23</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0.628</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-0.0023</w:t>
            </w:r>
            <w:r w:rsidRPr="00912F7B">
              <w:rPr>
                <w:rFonts w:ascii="Times New Roman" w:eastAsia="Times New Roman" w:hAnsi="Times New Roman" w:cs="Times New Roman"/>
                <w:color w:val="000000"/>
                <w:sz w:val="24"/>
                <w:szCs w:val="24"/>
                <w:lang w:eastAsia="en-GB"/>
              </w:rPr>
              <w:lastRenderedPageBreak/>
              <w:t>7</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882</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5.94</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8.94</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0.661</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-0.00259</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w:lastRenderedPageBreak/>
                  <m:t>H=a+b×</m:t>
                </m:r>
                <m:r>
                  <m:rPr>
                    <m:sty m:val="p"/>
                  </m:rPr>
                  <w:rPr>
                    <w:rFonts w:ascii="Cambria Math" w:eastAsia="Times New Roman" w:hAnsi="Cambria Math" w:cs="Times New Roman"/>
                    <w:color w:val="000000"/>
                    <w:sz w:val="24"/>
                    <w:szCs w:val="24"/>
                    <w:lang w:eastAsia="en-GB"/>
                  </w:rPr>
                  <m:t>log⁡</m:t>
                </m:r>
                <m:r>
                  <w:rPr>
                    <w:rFonts w:ascii="Cambria Math" w:eastAsia="Times New Roman" w:hAnsi="Cambria Math" w:cs="Times New Roman"/>
                    <w:color w:val="000000"/>
                    <w:sz w:val="24"/>
                    <w:szCs w:val="24"/>
                    <w:lang w:eastAsia="en-GB"/>
                  </w:rPr>
                  <m:t>(D)+c×(</m:t>
                </m:r>
                <m:r>
                  <m:rPr>
                    <m:sty m:val="p"/>
                  </m:rPr>
                  <w:rPr>
                    <w:rFonts w:ascii="Cambria Math" w:eastAsia="Times New Roman" w:hAnsi="Cambria Math" w:cs="Times New Roman"/>
                    <w:color w:val="000000"/>
                    <w:sz w:val="24"/>
                    <w:szCs w:val="24"/>
                    <w:lang w:eastAsia="en-GB"/>
                  </w:rPr>
                  <m:t>log⁡</m:t>
                </m:r>
                <m:r>
                  <w:rPr>
                    <w:rFonts w:ascii="Cambria Math" w:eastAsia="Times New Roman" w:hAnsi="Cambria Math" w:cs="Times New Roman"/>
                    <w:color w:val="000000"/>
                    <w:sz w:val="24"/>
                    <w:szCs w:val="24"/>
                    <w:lang w:eastAsia="en-GB"/>
                  </w:rPr>
                  <m:t>(</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D))</m:t>
                    </m:r>
                  </m:e>
                  <m:sup>
                    <m:r>
                      <w:rPr>
                        <w:rFonts w:ascii="Cambria Math" w:eastAsia="Times New Roman" w:hAnsi="Cambria Math" w:cs="Times New Roman"/>
                        <w:color w:val="000000"/>
                        <w:sz w:val="24"/>
                        <w:szCs w:val="24"/>
                        <w:lang w:eastAsia="en-GB"/>
                      </w:rPr>
                      <m:t>2</m:t>
                    </m:r>
                  </m:sup>
                </m:sSup>
              </m:oMath>
            </m:oMathPara>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818.3</w:t>
            </w: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5.95</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-7.33</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3.79</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1.673</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877.6</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5.85</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-7.51</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4.81</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1.604</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(a+b×</m:t>
                </m:r>
                <m:r>
                  <m:rPr>
                    <m:sty m:val="p"/>
                  </m:rPr>
                  <w:rPr>
                    <w:rFonts w:ascii="Cambria Math" w:eastAsia="Times New Roman" w:hAnsi="Cambria Math" w:cs="Times New Roman"/>
                    <w:color w:val="000000"/>
                    <w:sz w:val="24"/>
                    <w:szCs w:val="24"/>
                    <w:lang w:eastAsia="en-GB"/>
                  </w:rPr>
                  <m:t>log⁡</m:t>
                </m:r>
                <m:r>
                  <w:rPr>
                    <w:rFonts w:ascii="Cambria Math" w:eastAsia="Times New Roman" w:hAnsi="Cambria Math" w:cs="Times New Roman"/>
                    <w:color w:val="000000"/>
                    <w:sz w:val="24"/>
                    <w:szCs w:val="24"/>
                    <w:lang w:eastAsia="en-GB"/>
                  </w:rPr>
                  <m:t>(D)+c×</m:t>
                </m:r>
                <m:sSup>
                  <m:sSupPr>
                    <m:ctrlPr>
                      <w:rPr>
                        <w:rFonts w:ascii="Cambria Math" w:eastAsia="Times New Roman" w:hAnsi="Cambria Math" w:cs="Times New Roman"/>
                        <w:i/>
                        <w:color w:val="000000"/>
                        <w:sz w:val="24"/>
                        <w:szCs w:val="24"/>
                        <w:lang w:eastAsia="en-GB"/>
                      </w:rPr>
                    </m:ctrlPr>
                  </m:sSupPr>
                  <m:e>
                    <m:d>
                      <m:dPr>
                        <m:ctrlPr>
                          <w:rPr>
                            <w:rFonts w:ascii="Cambria Math" w:eastAsia="Times New Roman" w:hAnsi="Cambria Math" w:cs="Times New Roman"/>
                            <w:i/>
                            <w:color w:val="000000"/>
                            <w:sz w:val="24"/>
                            <w:szCs w:val="24"/>
                            <w:lang w:eastAsia="en-GB"/>
                          </w:rPr>
                        </m:ctrlPr>
                      </m:dPr>
                      <m:e>
                        <m:func>
                          <m:funcPr>
                            <m:ctrlPr>
                              <w:rPr>
                                <w:rFonts w:ascii="Cambria Math" w:eastAsia="Times New Roman" w:hAnsi="Cambria Math" w:cs="Times New Roman"/>
                                <w:color w:val="000000"/>
                                <w:sz w:val="24"/>
                                <w:szCs w:val="24"/>
                                <w:lang w:eastAsia="en-GB"/>
                              </w:rPr>
                            </m:ctrlPr>
                          </m:funcPr>
                          <m:fName>
                            <m:r>
                              <m:rPr>
                                <m:sty m:val="p"/>
                              </m:rPr>
                              <w:rPr>
                                <w:rFonts w:ascii="Cambria Math" w:eastAsia="Times New Roman" w:hAnsi="Cambria Math" w:cs="Times New Roman"/>
                                <w:color w:val="000000"/>
                                <w:sz w:val="24"/>
                                <w:szCs w:val="24"/>
                                <w:lang w:eastAsia="en-GB"/>
                              </w:rPr>
                              <m:t>log</m:t>
                            </m:r>
                            <m:ctrlPr>
                              <w:rPr>
                                <w:rFonts w:ascii="Cambria Math" w:eastAsia="Times New Roman" w:hAnsi="Cambria Math" w:cs="Times New Roman"/>
                                <w:i/>
                                <w:color w:val="000000"/>
                                <w:sz w:val="24"/>
                                <w:szCs w:val="24"/>
                                <w:lang w:eastAsia="en-GB"/>
                              </w:rPr>
                            </m:ctrlPr>
                          </m:fName>
                          <m:e>
                            <m:d>
                              <m:dPr>
                                <m:ctrlPr>
                                  <w:rPr>
                                    <w:rFonts w:ascii="Cambria Math" w:eastAsia="Times New Roman" w:hAnsi="Cambria Math" w:cs="Times New Roman"/>
                                    <w:i/>
                                    <w:color w:val="000000"/>
                                    <w:sz w:val="24"/>
                                    <w:szCs w:val="24"/>
                                    <w:lang w:eastAsia="en-GB"/>
                                  </w:rPr>
                                </m:ctrlPr>
                              </m:dPr>
                              <m:e>
                                <m:r>
                                  <w:rPr>
                                    <w:rFonts w:ascii="Cambria Math" w:eastAsia="Times New Roman" w:hAnsi="Cambria Math" w:cs="Times New Roman"/>
                                    <w:color w:val="000000"/>
                                    <w:sz w:val="24"/>
                                    <w:szCs w:val="24"/>
                                    <w:lang w:eastAsia="en-GB"/>
                                  </w:rPr>
                                  <m:t>D</m:t>
                                </m:r>
                              </m:e>
                            </m:d>
                          </m:e>
                        </m:func>
                      </m:e>
                    </m:d>
                  </m:e>
                  <m:sup>
                    <m:r>
                      <w:rPr>
                        <w:rFonts w:ascii="Cambria Math" w:eastAsia="Times New Roman" w:hAnsi="Cambria Math" w:cs="Times New Roman"/>
                        <w:color w:val="000000"/>
                        <w:sz w:val="24"/>
                        <w:szCs w:val="24"/>
                        <w:lang w:eastAsia="en-GB"/>
                      </w:rPr>
                      <m:t>2</m:t>
                    </m:r>
                  </m:sup>
                </m:sSup>
                <m:r>
                  <w:rPr>
                    <w:rFonts w:ascii="Cambria Math" w:eastAsia="Times New Roman" w:hAnsi="Cambria Math" w:cs="Times New Roman"/>
                    <w:color w:val="000000"/>
                    <w:sz w:val="24"/>
                    <w:szCs w:val="24"/>
                    <w:lang w:eastAsia="en-GB"/>
                  </w:rPr>
                  <m:t>)</m:t>
                </m:r>
              </m:oMath>
            </m:oMathPara>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818.7</w:t>
            </w: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5.96</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-0.008</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1.267</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-0.0947</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877.9</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5.85</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0.368</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1.143</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-0.0824</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bCs/>
                <w:color w:val="000000"/>
                <w:sz w:val="24"/>
                <w:szCs w:val="24"/>
                <w:lang w:eastAsia="en-GB"/>
              </w:rPr>
            </w:pPr>
            <w:r w:rsidRPr="00912F7B">
              <w:rPr>
                <w:rFonts w:ascii="Times New Roman" w:eastAsia="Times New Roman" w:hAnsi="Times New Roman" w:cs="Times New Roman"/>
                <w:bCs/>
                <w:color w:val="000000"/>
                <w:sz w:val="24"/>
                <w:szCs w:val="24"/>
                <w:lang w:eastAsia="en-GB"/>
              </w:rPr>
              <w:t>Asymptotic models</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 xml:space="preserve">Monomolecular model, </w:t>
            </w:r>
            <m:oMath>
              <m:r>
                <w:rPr>
                  <w:rFonts w:ascii="Cambria Math" w:eastAsia="Times New Roman" w:hAnsi="Cambria Math" w:cs="Times New Roman"/>
                  <w:color w:val="000000"/>
                  <w:sz w:val="24"/>
                  <w:szCs w:val="24"/>
                  <w:lang w:eastAsia="en-GB"/>
                </w:rPr>
                <m:t>H=a-b×</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(-c×D)</m:t>
              </m:r>
            </m:oMath>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819.8</w:t>
            </w: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5.98</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53.2</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49.9</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0.0184</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879.1</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5.88</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57.3</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51.9</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0.0177</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roofErr w:type="spellStart"/>
            <w:r w:rsidRPr="00912F7B">
              <w:rPr>
                <w:rFonts w:ascii="Times New Roman" w:eastAsia="Times New Roman" w:hAnsi="Times New Roman" w:cs="Times New Roman"/>
                <w:color w:val="000000"/>
                <w:sz w:val="24"/>
                <w:szCs w:val="24"/>
                <w:lang w:eastAsia="en-GB"/>
              </w:rPr>
              <w:t>Gompertz</w:t>
            </w:r>
            <w:proofErr w:type="spellEnd"/>
            <w:r w:rsidRPr="00912F7B">
              <w:rPr>
                <w:rFonts w:ascii="Times New Roman" w:eastAsia="Times New Roman" w:hAnsi="Times New Roman" w:cs="Times New Roman"/>
                <w:color w:val="000000"/>
                <w:sz w:val="24"/>
                <w:szCs w:val="24"/>
                <w:lang w:eastAsia="en-GB"/>
              </w:rPr>
              <w:t xml:space="preserve"> model, </w:t>
            </w:r>
            <m:oMath>
              <m:r>
                <w:rPr>
                  <w:rFonts w:ascii="Cambria Math" w:eastAsia="Times New Roman" w:hAnsi="Cambria Math" w:cs="Times New Roman"/>
                  <w:color w:val="000000"/>
                  <w:sz w:val="24"/>
                  <w:szCs w:val="24"/>
                  <w:lang w:eastAsia="en-GB"/>
                </w:rPr>
                <m:t>H=a×</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(-b×</m:t>
              </m:r>
              <m:func>
                <m:funcPr>
                  <m:ctrlPr>
                    <w:rPr>
                      <w:rFonts w:ascii="Cambria Math" w:eastAsia="Times New Roman" w:hAnsi="Cambria Math" w:cs="Times New Roman"/>
                      <w:color w:val="000000"/>
                      <w:sz w:val="24"/>
                      <w:szCs w:val="24"/>
                      <w:lang w:eastAsia="en-GB"/>
                    </w:rPr>
                  </m:ctrlPr>
                </m:funcPr>
                <m:fName>
                  <m:r>
                    <m:rPr>
                      <m:sty m:val="p"/>
                    </m:rPr>
                    <w:rPr>
                      <w:rFonts w:ascii="Cambria Math" w:eastAsia="Times New Roman" w:hAnsi="Cambria Math" w:cs="Times New Roman"/>
                      <w:color w:val="000000"/>
                      <w:sz w:val="24"/>
                      <w:szCs w:val="24"/>
                      <w:lang w:eastAsia="en-GB"/>
                    </w:rPr>
                    <m:t>exp</m:t>
                  </m:r>
                  <m:ctrlPr>
                    <w:rPr>
                      <w:rFonts w:ascii="Cambria Math" w:eastAsia="Times New Roman" w:hAnsi="Cambria Math" w:cs="Times New Roman"/>
                      <w:i/>
                      <w:color w:val="000000"/>
                      <w:sz w:val="24"/>
                      <w:szCs w:val="24"/>
                      <w:lang w:eastAsia="en-GB"/>
                    </w:rPr>
                  </m:ctrlPr>
                </m:fName>
                <m:e>
                  <m:d>
                    <m:dPr>
                      <m:ctrlPr>
                        <w:rPr>
                          <w:rFonts w:ascii="Cambria Math" w:eastAsia="Times New Roman" w:hAnsi="Cambria Math" w:cs="Times New Roman"/>
                          <w:i/>
                          <w:color w:val="000000"/>
                          <w:sz w:val="24"/>
                          <w:szCs w:val="24"/>
                          <w:lang w:eastAsia="en-GB"/>
                        </w:rPr>
                      </m:ctrlPr>
                    </m:dPr>
                    <m:e>
                      <m:r>
                        <w:rPr>
                          <w:rFonts w:ascii="Cambria Math" w:eastAsia="Times New Roman" w:hAnsi="Cambria Math" w:cs="Times New Roman"/>
                          <w:color w:val="000000"/>
                          <w:sz w:val="24"/>
                          <w:szCs w:val="24"/>
                          <w:lang w:eastAsia="en-GB"/>
                        </w:rPr>
                        <m:t>-c×D</m:t>
                      </m:r>
                    </m:e>
                  </m:d>
                </m:e>
              </m:func>
              <m:r>
                <w:rPr>
                  <w:rFonts w:ascii="Cambria Math" w:eastAsia="Times New Roman" w:hAnsi="Cambria Math" w:cs="Times New Roman"/>
                  <w:color w:val="000000"/>
                  <w:sz w:val="24"/>
                  <w:szCs w:val="24"/>
                  <w:lang w:eastAsia="en-GB"/>
                </w:rPr>
                <m:t>)</m:t>
              </m:r>
            </m:oMath>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822.2</w:t>
            </w: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6.04</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48</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1.83</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0.0325</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881.4</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5.93</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52.8</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1.67</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0.0295</w:t>
            </w:r>
          </w:p>
        </w:tc>
      </w:tr>
      <w:tr w:rsidR="00476525" w:rsidRPr="00912F7B" w:rsidTr="00F20057">
        <w:trPr>
          <w:trHeight w:val="300"/>
        </w:trPr>
        <w:tc>
          <w:tcPr>
            <w:tcW w:w="5353" w:type="dxa"/>
            <w:tcBorders>
              <w:top w:val="nil"/>
              <w:left w:val="nil"/>
              <w:bottom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 xml:space="preserve">Weibull model, </w:t>
            </w:r>
            <m:oMath>
              <m:r>
                <w:rPr>
                  <w:rFonts w:ascii="Cambria Math" w:eastAsia="Times New Roman" w:hAnsi="Cambria Math" w:cs="Times New Roman"/>
                  <w:color w:val="000000"/>
                  <w:sz w:val="24"/>
                  <w:szCs w:val="24"/>
                  <w:lang w:eastAsia="en-GB"/>
                </w:rPr>
                <m:t>H=a×(1-</m:t>
              </m:r>
              <m:func>
                <m:funcPr>
                  <m:ctrlPr>
                    <w:rPr>
                      <w:rFonts w:ascii="Cambria Math" w:eastAsia="Times New Roman" w:hAnsi="Cambria Math" w:cs="Times New Roman"/>
                      <w:color w:val="000000"/>
                      <w:sz w:val="24"/>
                      <w:szCs w:val="24"/>
                      <w:lang w:eastAsia="en-GB"/>
                    </w:rPr>
                  </m:ctrlPr>
                </m:funcPr>
                <m:fName>
                  <m:r>
                    <m:rPr>
                      <m:sty m:val="p"/>
                    </m:rPr>
                    <w:rPr>
                      <w:rFonts w:ascii="Cambria Math" w:eastAsia="Times New Roman" w:hAnsi="Cambria Math" w:cs="Times New Roman"/>
                      <w:color w:val="000000"/>
                      <w:sz w:val="24"/>
                      <w:szCs w:val="24"/>
                      <w:lang w:eastAsia="en-GB"/>
                    </w:rPr>
                    <m:t>exp</m:t>
                  </m:r>
                  <m:ctrlPr>
                    <w:rPr>
                      <w:rFonts w:ascii="Cambria Math" w:eastAsia="Times New Roman" w:hAnsi="Cambria Math" w:cs="Times New Roman"/>
                      <w:i/>
                      <w:color w:val="000000"/>
                      <w:sz w:val="24"/>
                      <w:szCs w:val="24"/>
                      <w:lang w:eastAsia="en-GB"/>
                    </w:rPr>
                  </m:ctrlPr>
                </m:fName>
                <m:e>
                  <m:d>
                    <m:dPr>
                      <m:ctrlPr>
                        <w:rPr>
                          <w:rFonts w:ascii="Cambria Math" w:eastAsia="Times New Roman" w:hAnsi="Cambria Math" w:cs="Times New Roman"/>
                          <w:i/>
                          <w:color w:val="000000"/>
                          <w:sz w:val="24"/>
                          <w:szCs w:val="24"/>
                          <w:lang w:eastAsia="en-GB"/>
                        </w:rPr>
                      </m:ctrlPr>
                    </m:dPr>
                    <m:e>
                      <m:r>
                        <w:rPr>
                          <w:rFonts w:ascii="Cambria Math" w:eastAsia="Times New Roman" w:hAnsi="Cambria Math" w:cs="Times New Roman"/>
                          <w:color w:val="000000"/>
                          <w:sz w:val="24"/>
                          <w:szCs w:val="24"/>
                          <w:lang w:eastAsia="en-GB"/>
                        </w:rPr>
                        <m:t>-b×</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D</m:t>
                          </m:r>
                        </m:e>
                        <m:sup>
                          <m:r>
                            <w:rPr>
                              <w:rFonts w:ascii="Cambria Math" w:eastAsia="Times New Roman" w:hAnsi="Cambria Math" w:cs="Times New Roman"/>
                              <w:color w:val="000000"/>
                              <w:sz w:val="24"/>
                              <w:szCs w:val="24"/>
                              <w:lang w:eastAsia="en-GB"/>
                            </w:rPr>
                            <m:t>c</m:t>
                          </m:r>
                        </m:sup>
                      </m:sSup>
                    </m:e>
                  </m:d>
                </m:e>
              </m:func>
              <m:r>
                <w:rPr>
                  <w:rFonts w:ascii="Cambria Math" w:eastAsia="Times New Roman" w:hAnsi="Cambria Math" w:cs="Times New Roman"/>
                  <w:color w:val="000000"/>
                  <w:sz w:val="24"/>
                  <w:szCs w:val="24"/>
                  <w:lang w:eastAsia="en-GB"/>
                </w:rPr>
                <m:t>)</m:t>
              </m:r>
            </m:oMath>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819.2</w:t>
            </w:r>
          </w:p>
        </w:tc>
        <w:tc>
          <w:tcPr>
            <w:tcW w:w="850"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5.97</w:t>
            </w:r>
          </w:p>
        </w:tc>
        <w:tc>
          <w:tcPr>
            <w:tcW w:w="851"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60.4</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0.032</w:t>
            </w:r>
          </w:p>
        </w:tc>
        <w:tc>
          <w:tcPr>
            <w:tcW w:w="992" w:type="dxa"/>
            <w:tcBorders>
              <w:top w:val="nil"/>
              <w:left w:val="nil"/>
              <w:bottom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0.821</w:t>
            </w:r>
          </w:p>
        </w:tc>
        <w:tc>
          <w:tcPr>
            <w:tcW w:w="28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
        </w:tc>
        <w:tc>
          <w:tcPr>
            <w:tcW w:w="850"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878.3</w:t>
            </w:r>
          </w:p>
        </w:tc>
        <w:tc>
          <w:tcPr>
            <w:tcW w:w="667"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5.86</w:t>
            </w:r>
          </w:p>
        </w:tc>
        <w:tc>
          <w:tcPr>
            <w:tcW w:w="926"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66.4</w:t>
            </w:r>
          </w:p>
        </w:tc>
        <w:tc>
          <w:tcPr>
            <w:tcW w:w="851"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0.0385</w:t>
            </w:r>
          </w:p>
        </w:tc>
        <w:tc>
          <w:tcPr>
            <w:tcW w:w="1134" w:type="dxa"/>
            <w:tcBorders>
              <w:top w:val="nil"/>
              <w:left w:val="nil"/>
              <w:bottom w:val="nil"/>
              <w:right w:val="nil"/>
            </w:tcBorders>
            <w:vAlign w:val="center"/>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r w:rsidRPr="00912F7B">
              <w:rPr>
                <w:rFonts w:ascii="Times New Roman" w:eastAsia="Times New Roman" w:hAnsi="Times New Roman" w:cs="Times New Roman"/>
                <w:color w:val="000000"/>
                <w:sz w:val="24"/>
                <w:szCs w:val="24"/>
                <w:lang w:eastAsia="en-GB"/>
              </w:rPr>
              <w:t>0.768</w:t>
            </w:r>
          </w:p>
        </w:tc>
      </w:tr>
      <w:tr w:rsidR="00476525" w:rsidRPr="00912F7B" w:rsidTr="00F20057">
        <w:trPr>
          <w:trHeight w:val="300"/>
        </w:trPr>
        <w:tc>
          <w:tcPr>
            <w:tcW w:w="5353" w:type="dxa"/>
            <w:tcBorders>
              <w:top w:val="nil"/>
              <w:left w:val="nil"/>
              <w:right w:val="nil"/>
            </w:tcBorders>
            <w:shd w:val="clear" w:color="auto" w:fill="auto"/>
            <w:noWrap/>
            <w:vAlign w:val="center"/>
            <w:hideMark/>
          </w:tcPr>
          <w:p w:rsidR="00476525" w:rsidRPr="00912F7B" w:rsidRDefault="00476525" w:rsidP="00F20057">
            <w:pPr>
              <w:spacing w:after="0" w:line="480" w:lineRule="auto"/>
              <w:rPr>
                <w:rFonts w:ascii="Times New Roman" w:eastAsia="Times New Roman" w:hAnsi="Times New Roman" w:cs="Times New Roman"/>
                <w:color w:val="000000"/>
                <w:sz w:val="24"/>
                <w:szCs w:val="24"/>
                <w:lang w:eastAsia="en-GB"/>
              </w:rPr>
            </w:pPr>
            <w:proofErr w:type="spellStart"/>
            <w:r w:rsidRPr="00912F7B">
              <w:rPr>
                <w:rFonts w:ascii="Times New Roman" w:eastAsia="Times New Roman" w:hAnsi="Times New Roman" w:cs="Times New Roman"/>
                <w:color w:val="000000"/>
                <w:sz w:val="24"/>
                <w:szCs w:val="24"/>
                <w:lang w:eastAsia="en-GB"/>
              </w:rPr>
              <w:t>Michaelis-Menten</w:t>
            </w:r>
            <w:proofErr w:type="spellEnd"/>
            <w:r w:rsidRPr="00912F7B">
              <w:rPr>
                <w:rFonts w:ascii="Times New Roman" w:eastAsia="Times New Roman" w:hAnsi="Times New Roman" w:cs="Times New Roman"/>
                <w:color w:val="000000"/>
                <w:sz w:val="24"/>
                <w:szCs w:val="24"/>
                <w:lang w:eastAsia="en-GB"/>
              </w:rPr>
              <w:t xml:space="preserve"> model, </w:t>
            </w:r>
            <m:oMath>
              <m:r>
                <w:rPr>
                  <w:rFonts w:ascii="Cambria Math" w:eastAsia="Times New Roman" w:hAnsi="Cambria Math" w:cs="Times New Roman"/>
                  <w:color w:val="000000"/>
                  <w:sz w:val="24"/>
                  <w:szCs w:val="24"/>
                  <w:lang w:eastAsia="en-GB"/>
                </w:rPr>
                <m:t>H=a×D/(b+D)</m:t>
              </m:r>
            </m:oMath>
          </w:p>
        </w:tc>
        <w:tc>
          <w:tcPr>
            <w:tcW w:w="851" w:type="dxa"/>
            <w:tcBorders>
              <w:top w:val="nil"/>
              <w:left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817</w:t>
            </w:r>
          </w:p>
        </w:tc>
        <w:tc>
          <w:tcPr>
            <w:tcW w:w="850" w:type="dxa"/>
            <w:tcBorders>
              <w:top w:val="nil"/>
              <w:left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5.94</w:t>
            </w:r>
          </w:p>
        </w:tc>
        <w:tc>
          <w:tcPr>
            <w:tcW w:w="851" w:type="dxa"/>
            <w:tcBorders>
              <w:top w:val="nil"/>
              <w:left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70.1</w:t>
            </w:r>
          </w:p>
        </w:tc>
        <w:tc>
          <w:tcPr>
            <w:tcW w:w="992" w:type="dxa"/>
            <w:tcBorders>
              <w:top w:val="nil"/>
              <w:left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55.2</w:t>
            </w:r>
          </w:p>
        </w:tc>
        <w:tc>
          <w:tcPr>
            <w:tcW w:w="992" w:type="dxa"/>
            <w:tcBorders>
              <w:top w:val="nil"/>
              <w:left w:val="nil"/>
              <w:right w:val="nil"/>
            </w:tcBorders>
            <w:shd w:val="clear" w:color="auto" w:fill="auto"/>
            <w:noWrap/>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NA</w:t>
            </w:r>
          </w:p>
        </w:tc>
        <w:tc>
          <w:tcPr>
            <w:tcW w:w="284" w:type="dxa"/>
            <w:tcBorders>
              <w:top w:val="nil"/>
              <w:left w:val="nil"/>
              <w:right w:val="nil"/>
            </w:tcBorders>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p>
        </w:tc>
        <w:tc>
          <w:tcPr>
            <w:tcW w:w="850" w:type="dxa"/>
            <w:tcBorders>
              <w:top w:val="nil"/>
              <w:left w:val="nil"/>
              <w:right w:val="nil"/>
            </w:tcBorders>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876.7</w:t>
            </w:r>
          </w:p>
        </w:tc>
        <w:tc>
          <w:tcPr>
            <w:tcW w:w="667" w:type="dxa"/>
            <w:tcBorders>
              <w:top w:val="nil"/>
              <w:left w:val="nil"/>
              <w:right w:val="nil"/>
            </w:tcBorders>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5.85</w:t>
            </w:r>
          </w:p>
        </w:tc>
        <w:tc>
          <w:tcPr>
            <w:tcW w:w="926" w:type="dxa"/>
            <w:tcBorders>
              <w:top w:val="nil"/>
              <w:left w:val="nil"/>
              <w:right w:val="nil"/>
            </w:tcBorders>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71.9</w:t>
            </w:r>
          </w:p>
        </w:tc>
        <w:tc>
          <w:tcPr>
            <w:tcW w:w="851" w:type="dxa"/>
            <w:tcBorders>
              <w:top w:val="nil"/>
              <w:left w:val="nil"/>
              <w:right w:val="nil"/>
            </w:tcBorders>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49.1</w:t>
            </w:r>
          </w:p>
        </w:tc>
        <w:tc>
          <w:tcPr>
            <w:tcW w:w="1134" w:type="dxa"/>
            <w:tcBorders>
              <w:top w:val="nil"/>
              <w:left w:val="nil"/>
              <w:right w:val="nil"/>
            </w:tcBorders>
            <w:vAlign w:val="center"/>
          </w:tcPr>
          <w:p w:rsidR="00476525" w:rsidRPr="00912F7B" w:rsidRDefault="00476525" w:rsidP="00F20057">
            <w:pPr>
              <w:spacing w:after="0" w:line="480" w:lineRule="auto"/>
              <w:rPr>
                <w:rFonts w:ascii="Times New Roman" w:eastAsia="Times New Roman" w:hAnsi="Times New Roman" w:cs="Times New Roman"/>
                <w:b/>
                <w:bCs/>
                <w:color w:val="000000"/>
                <w:sz w:val="24"/>
                <w:szCs w:val="24"/>
                <w:lang w:eastAsia="en-GB"/>
              </w:rPr>
            </w:pPr>
            <w:r w:rsidRPr="00912F7B">
              <w:rPr>
                <w:rFonts w:ascii="Times New Roman" w:eastAsia="Times New Roman" w:hAnsi="Times New Roman" w:cs="Times New Roman"/>
                <w:b/>
                <w:bCs/>
                <w:color w:val="000000"/>
                <w:sz w:val="24"/>
                <w:szCs w:val="24"/>
                <w:lang w:eastAsia="en-GB"/>
              </w:rPr>
              <w:t>NA</w:t>
            </w:r>
          </w:p>
        </w:tc>
      </w:tr>
    </w:tbl>
    <w:p w:rsidR="00476525"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bCs/>
          <w:sz w:val="24"/>
          <w:szCs w:val="24"/>
          <w:lang w:eastAsia="en-GB"/>
        </w:rPr>
      </w:pPr>
    </w:p>
    <w:p w:rsidR="00476525"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bCs/>
          <w:sz w:val="24"/>
          <w:szCs w:val="24"/>
          <w:lang w:eastAsia="en-GB"/>
        </w:rPr>
      </w:pPr>
    </w:p>
    <w:p w:rsidR="00476525"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bCs/>
          <w:sz w:val="24"/>
          <w:szCs w:val="24"/>
          <w:lang w:eastAsia="en-GB"/>
        </w:rPr>
      </w:pPr>
    </w:p>
    <w:p w:rsidR="00476525"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bCs/>
          <w:sz w:val="24"/>
          <w:szCs w:val="24"/>
          <w:lang w:eastAsia="en-GB"/>
        </w:rPr>
      </w:pPr>
    </w:p>
    <w:p w:rsidR="00476525"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bCs/>
          <w:sz w:val="24"/>
          <w:szCs w:val="24"/>
          <w:lang w:eastAsia="en-GB"/>
        </w:rPr>
      </w:pPr>
    </w:p>
    <w:p w:rsidR="00476525" w:rsidRPr="008B4F80"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lastRenderedPageBreak/>
        <w:t>Table S2</w:t>
      </w:r>
      <w:r w:rsidRPr="008B4F80">
        <w:rPr>
          <w:rFonts w:ascii="Times New Roman" w:eastAsia="Times New Roman" w:hAnsi="Times New Roman" w:cs="Times New Roman"/>
          <w:bCs/>
          <w:sz w:val="24"/>
          <w:szCs w:val="24"/>
          <w:lang w:eastAsia="en-GB"/>
        </w:rPr>
        <w:t xml:space="preserve">. </w:t>
      </w:r>
      <w:proofErr w:type="gramStart"/>
      <w:r w:rsidRPr="008B4F80">
        <w:rPr>
          <w:rFonts w:ascii="Times New Roman" w:eastAsia="Times New Roman" w:hAnsi="Times New Roman" w:cs="Times New Roman"/>
          <w:bCs/>
          <w:sz w:val="24"/>
          <w:szCs w:val="24"/>
          <w:lang w:eastAsia="en-GB"/>
        </w:rPr>
        <w:t xml:space="preserve">Literature equations to predict </w:t>
      </w:r>
      <w:r>
        <w:rPr>
          <w:rFonts w:ascii="Times New Roman" w:eastAsia="Times New Roman" w:hAnsi="Times New Roman" w:cs="Times New Roman"/>
          <w:bCs/>
          <w:sz w:val="24"/>
          <w:szCs w:val="24"/>
          <w:lang w:eastAsia="en-GB"/>
        </w:rPr>
        <w:t xml:space="preserve">tree </w:t>
      </w:r>
      <w:r w:rsidRPr="008B4F80">
        <w:rPr>
          <w:rFonts w:ascii="Times New Roman" w:eastAsia="Times New Roman" w:hAnsi="Times New Roman" w:cs="Times New Roman"/>
          <w:bCs/>
          <w:sz w:val="24"/>
          <w:szCs w:val="24"/>
          <w:lang w:eastAsia="en-GB"/>
        </w:rPr>
        <w:t xml:space="preserve">height </w:t>
      </w:r>
      <w:r>
        <w:rPr>
          <w:rFonts w:ascii="Times New Roman" w:eastAsia="Times New Roman" w:hAnsi="Times New Roman" w:cs="Times New Roman"/>
          <w:bCs/>
          <w:sz w:val="24"/>
          <w:szCs w:val="24"/>
          <w:lang w:eastAsia="en-GB"/>
        </w:rPr>
        <w:t xml:space="preserve">(H) </w:t>
      </w:r>
      <w:r w:rsidRPr="008B4F80">
        <w:rPr>
          <w:rFonts w:ascii="Times New Roman" w:eastAsia="Times New Roman" w:hAnsi="Times New Roman" w:cs="Times New Roman"/>
          <w:bCs/>
          <w:sz w:val="24"/>
          <w:szCs w:val="24"/>
          <w:lang w:eastAsia="en-GB"/>
        </w:rPr>
        <w:t xml:space="preserve">as function of tree diameter </w:t>
      </w:r>
      <w:r>
        <w:rPr>
          <w:rFonts w:ascii="Times New Roman" w:eastAsia="Times New Roman" w:hAnsi="Times New Roman" w:cs="Times New Roman"/>
          <w:bCs/>
          <w:sz w:val="24"/>
          <w:szCs w:val="24"/>
          <w:lang w:eastAsia="en-GB"/>
        </w:rPr>
        <w:t xml:space="preserve">(D) </w:t>
      </w:r>
      <w:r w:rsidRPr="008B4F80">
        <w:rPr>
          <w:rFonts w:ascii="Times New Roman" w:eastAsia="Times New Roman" w:hAnsi="Times New Roman" w:cs="Times New Roman"/>
          <w:bCs/>
          <w:sz w:val="24"/>
          <w:szCs w:val="24"/>
          <w:lang w:eastAsia="en-GB"/>
        </w:rPr>
        <w:t>used in this study.</w:t>
      </w:r>
      <w:proofErr w:type="gramEnd"/>
    </w:p>
    <w:p w:rsidR="00476525" w:rsidRPr="008B4F80" w:rsidRDefault="00476525" w:rsidP="00476525">
      <w:pPr>
        <w:widowControl w:val="0"/>
        <w:autoSpaceDE w:val="0"/>
        <w:autoSpaceDN w:val="0"/>
        <w:adjustRightInd w:val="0"/>
        <w:spacing w:line="480" w:lineRule="auto"/>
        <w:ind w:left="480" w:hanging="480"/>
        <w:rPr>
          <w:rFonts w:ascii="Times New Roman" w:eastAsia="Times New Roman" w:hAnsi="Times New Roman" w:cs="Times New Roman"/>
          <w:sz w:val="24"/>
          <w:szCs w:val="24"/>
          <w:lang w:eastAsia="en-GB"/>
        </w:rPr>
      </w:pPr>
    </w:p>
    <w:tbl>
      <w:tblPr>
        <w:tblW w:w="13954" w:type="dxa"/>
        <w:jc w:val="center"/>
        <w:tblInd w:w="-2743" w:type="dxa"/>
        <w:tblLook w:val="04A0" w:firstRow="1" w:lastRow="0" w:firstColumn="1" w:lastColumn="0" w:noHBand="0" w:noVBand="1"/>
      </w:tblPr>
      <w:tblGrid>
        <w:gridCol w:w="4142"/>
        <w:gridCol w:w="2835"/>
        <w:gridCol w:w="2072"/>
        <w:gridCol w:w="4338"/>
        <w:gridCol w:w="567"/>
      </w:tblGrid>
      <w:tr w:rsidR="00B27B32" w:rsidRPr="008B4F80" w:rsidTr="00B27B32">
        <w:trPr>
          <w:trHeight w:val="300"/>
          <w:jc w:val="center"/>
        </w:trPr>
        <w:tc>
          <w:tcPr>
            <w:tcW w:w="4142" w:type="dxa"/>
            <w:tcBorders>
              <w:top w:val="single" w:sz="4" w:space="0" w:color="auto"/>
              <w:left w:val="nil"/>
              <w:bottom w:val="single" w:sz="4" w:space="0" w:color="auto"/>
              <w:right w:val="nil"/>
            </w:tcBorders>
            <w:shd w:val="clear" w:color="auto" w:fill="auto"/>
            <w:noWrap/>
            <w:vAlign w:val="bottom"/>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Source</w:t>
            </w:r>
          </w:p>
        </w:tc>
        <w:tc>
          <w:tcPr>
            <w:tcW w:w="2835" w:type="dxa"/>
            <w:tcBorders>
              <w:top w:val="single" w:sz="4" w:space="0" w:color="auto"/>
              <w:left w:val="nil"/>
              <w:bottom w:val="single" w:sz="4" w:space="0" w:color="auto"/>
              <w:right w:val="nil"/>
            </w:tcBorders>
            <w:shd w:val="clear" w:color="auto" w:fill="auto"/>
            <w:noWrap/>
            <w:vAlign w:val="bottom"/>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Location</w:t>
            </w:r>
          </w:p>
        </w:tc>
        <w:tc>
          <w:tcPr>
            <w:tcW w:w="2072" w:type="dxa"/>
            <w:tcBorders>
              <w:top w:val="single" w:sz="4" w:space="0" w:color="auto"/>
              <w:left w:val="nil"/>
              <w:bottom w:val="single" w:sz="4" w:space="0" w:color="auto"/>
              <w:right w:val="nil"/>
            </w:tcBorders>
            <w:shd w:val="clear" w:color="auto" w:fill="auto"/>
            <w:noWrap/>
            <w:vAlign w:val="bottom"/>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Type function</w:t>
            </w:r>
          </w:p>
        </w:tc>
        <w:tc>
          <w:tcPr>
            <w:tcW w:w="4338" w:type="dxa"/>
            <w:tcBorders>
              <w:top w:val="single" w:sz="4" w:space="0" w:color="auto"/>
              <w:left w:val="nil"/>
              <w:bottom w:val="single" w:sz="4" w:space="0" w:color="auto"/>
              <w:right w:val="nil"/>
            </w:tcBorders>
            <w:shd w:val="clear" w:color="auto" w:fill="auto"/>
            <w:noWrap/>
            <w:vAlign w:val="bottom"/>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Equation</w:t>
            </w:r>
          </w:p>
        </w:tc>
        <w:tc>
          <w:tcPr>
            <w:tcW w:w="567" w:type="dxa"/>
            <w:tcBorders>
              <w:top w:val="single" w:sz="4" w:space="0" w:color="auto"/>
              <w:left w:val="nil"/>
              <w:bottom w:val="single" w:sz="4" w:space="0" w:color="auto"/>
              <w:right w:val="nil"/>
            </w:tcBorders>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p>
        </w:tc>
      </w:tr>
      <w:tr w:rsidR="00B27B32" w:rsidRPr="008B4F80" w:rsidTr="00B27B32">
        <w:trPr>
          <w:trHeight w:val="300"/>
          <w:jc w:val="center"/>
        </w:trPr>
        <w:tc>
          <w:tcPr>
            <w:tcW w:w="414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Pr>
                <w:rFonts w:ascii="Times New Roman" w:eastAsia="Times New Roman" w:hAnsi="Times New Roman" w:cs="Times New Roman"/>
                <w:color w:val="000000"/>
                <w:sz w:val="24"/>
                <w:szCs w:val="24"/>
                <w:lang w:eastAsia="en-GB"/>
              </w:rPr>
              <w:instrText>ADDIN CSL_CITATION {"citationItems":[{"id":"ITEM-1","itemData":{"DOI":"10.1111/j.1466-8238.2012.00778.x","ISSN":"1466822X","author":[{"dropping-particle":"","family":"Banin","given":"L.","non-dropping-particle":"","parse-names":false,"suffix":""},{"dropping-particle":"","family":"Feldpausch","given":"T. R.","non-dropping-particle":"","parse-names":false,"suffix":""},{"dropping-particle":"","family":"Phillips","given":"O. L.","non-dropping-particle":"","parse-names":false,"suffix":""},{"dropping-particle":"","family":"Baker","given":"T. R.","non-dropping-particle":"","parse-names":false,"suffix":""},{"dropping-particle":"","family":"Lloyd","given":"J.","non-dropping-particle":"","parse-names":false,"suffix":""},{"dropping-particle":"","family":"Affum-Baffoe","given":"K.","non-dropping-particle":"","parse-names":false,"suffix":""},{"dropping-particle":"","family":"Arets","given":"E. J. M. M.","non-dropping-particle":"","parse-names":false,"suffix":""},{"dropping-particle":"","family":"Berry","given":"N. J.","non-dropping-particle":"","parse-names":false,"suffix":""},{"dropping-particle":"","family":"Bradford","given":"M.","non-dropping-particle":"","parse-names":false,"suffix":""},{"dropping-particle":"","family":"Brienen","given":"R. J. W.","non-dropping-particle":"","parse-names":false,"suffix":""},{"dropping-particle":"","family":"Davies","given":"S.","non-dropping-particle":"","parse-names":false,"suffix":""},{"dropping-particle":"","family":"Drescher","given":"M.","non-dropping-particle":"","parse-names":false,"suffix":""},{"dropping-particle":"","family":"Higuchi","given":"N.","non-dropping-particle":"","parse-names":false,"suffix":""},{"dropping-particle":"","family":"Hilbert","given":"D. W.","non-dropping-particle":"","parse-names":false,"suffix":""},{"dropping-particle":"","family":"Hladik","given":"A.","non-dropping-particle":"","parse-names":false,"suffix":""},{"dropping-particle":"","family":"Iida","given":"Y.","non-dropping-particle":"","parse-names":false,"suffix":""},{"dropping-particle":"","family":"Salim","given":"K. Abu","non-dropping-particle":"","parse-names":false,"suffix":""},{"dropping-particle":"","family":"Kassim","given":"A. R.","non-dropping-particle":"","parse-names":false,"suffix":""},{"dropping-particle":"","family":"King","given":"D. A.","non-dropping-particle":"","parse-names":false,"suffix":""},{"dropping-particle":"","family":"Lopez-Gonzalez","given":"G.","non-dropping-particle":"","parse-names":false,"suffix":""},{"dropping-particle":"","family":"Metcalfe","given":"D.","non-dropping-particle":"","parse-names":false,"suffix":""},{"dropping-particle":"","family":"Nilus","given":"R.","non-dropping-particle":"","parse-names":false,"suffix":""},{"dropping-particle":"","family":"Peh","given":"K. S.-H.","non-dropping-particle":"","parse-names":false,"suffix":""},{"dropping-particle":"","family":"Reitsma","given":"J. M.","non-dropping-particle":"","parse-names":false,"suffix":""},{"dropping-particle":"","family":"Sonké","given":"B.","non-dropping-particle":"","parse-names":false,"suffix":""},{"dropping-particle":"","family":"Taedoumg","given":"H.","non-dropping-particle":"","parse-names":false,"suffix":""},{"dropping-particle":"","family":"Tan","given":"S.","non-dropping-particle":"","parse-names":false,"suffix":""},{"dropping-particle":"","family":"White","given":"L.","non-dropping-particle":"","parse-names":false,"suffix":""},{"dropping-particle":"","family":"Wöll","given":"H.","non-dropping-particle":"","parse-names":false,"suffix":""},{"dropping-particle":"","family":"Lewis","given":"S. L.","non-dropping-particle":"","parse-names":false,"suffix":""}],"container-title":"Global Ecology and Biogeography","id":"ITEM-1","issue":"12","issued":{"date-parts":[["2012","12","20"]]},"page":"1179-1190","title":"What controls tropical forest architecture? Testing environmental, structural and floristic drivers","type":"article-journal","volume":"21"},"uris":["http://www.mendeley.com/documents/?uuid=780c9ebb-6e50-4d01-9a7b-a141a9583f9f"]}],"mendeley":{"formattedCitation":"(Banin et al. 2012)","manualFormatting":"Banin et al. (2012)","plainTextFormattedCitation":"(Banin et al. 2012)","previouslyFormattedCitation":"(Banin et al. 2012)"},"properties":{"noteIndex":0},"schema":"https://github.com/citation-style-language/schema/raw/master/csl-citation.json"}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Banin et al. (2012)</w:t>
            </w:r>
            <w:r w:rsidRPr="008B4F80">
              <w:rPr>
                <w:rStyle w:val="Appelnotedebasdep"/>
                <w:rFonts w:ascii="Times New Roman" w:eastAsia="Times New Roman" w:hAnsi="Times New Roman" w:cs="Times New Roman"/>
                <w:color w:val="000000"/>
                <w:sz w:val="24"/>
                <w:szCs w:val="24"/>
                <w:lang w:eastAsia="en-GB"/>
              </w:rPr>
              <w:fldChar w:fldCharType="end"/>
            </w:r>
          </w:p>
        </w:tc>
        <w:tc>
          <w:tcPr>
            <w:tcW w:w="2835"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Africa</w:t>
            </w:r>
          </w:p>
        </w:tc>
        <w:tc>
          <w:tcPr>
            <w:tcW w:w="207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Exponential</w:t>
            </w:r>
          </w:p>
        </w:tc>
        <w:tc>
          <w:tcPr>
            <w:tcW w:w="4338"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H=45.1-42.8×</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(-0.025×D)</m:t>
                </m:r>
              </m:oMath>
            </m:oMathPara>
          </w:p>
        </w:tc>
        <w:tc>
          <w:tcPr>
            <w:tcW w:w="567" w:type="dxa"/>
            <w:tcBorders>
              <w:top w:val="nil"/>
              <w:left w:val="nil"/>
              <w:bottom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w:t>
            </w:r>
          </w:p>
        </w:tc>
      </w:tr>
      <w:tr w:rsidR="00B27B32" w:rsidRPr="008B4F80" w:rsidTr="00B27B32">
        <w:trPr>
          <w:trHeight w:val="300"/>
          <w:jc w:val="center"/>
        </w:trPr>
        <w:tc>
          <w:tcPr>
            <w:tcW w:w="414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sidRPr="008B4F80">
              <w:rPr>
                <w:rFonts w:ascii="Times New Roman" w:eastAsia="Times New Roman" w:hAnsi="Times New Roman" w:cs="Times New Roman"/>
                <w:color w:val="000000"/>
                <w:sz w:val="24"/>
                <w:szCs w:val="24"/>
                <w:lang w:eastAsia="en-GB"/>
              </w:rPr>
              <w:instrText>ADDIN CSL_CITATION {"citationItems":[{"id":"ITEM-1","itemData":{"DOI":"10.1016/j.foreco.2016.04.033","ISSN":"03781127","abstract":"Accurate height-diameter allometry is crucial for the estimation of forest biomass and carbon stocks. Tree height measurements over a large range of diameters and species are urgently needed in the tropics, specifically in central Africa, for the development of locally derived height-diameter allometric equations and the conversion of forest inventory data into biomass estimates, and for the validation of remotely sensed canopy height that mostly rely on a few specific field sites. In this study, we aimed to identify the variation in height-diameter allometry of tropical trees between forest types and among species in central Africa, and we examined the consequences for biomass estimation. Height and diameter were measured for a total of 521 trees over a large range of diameters in two forest types in southern Cameroon, 10–240 cm in the evergreen forest and 11–182 cm in the semi-deciduous forest. A total of ten allometric models including asymptotic and non-asymptotic models were fitted to the height-diameter data. Measured tree diameters, grouped into 10 cm wide diameter classes up to 150, from commercial forest inventory data (0.5 ha plots, n = 2101 and n = 5152, respectively in the evergreen and in the semi-deciduous forests) were converted into biomass estimates using general allometric models with and without including our site-specific height-diameter allometry. Though debated in the literature, our results supported a saturation of tree height with tree diameter both at site and species level, with asymptotic models better depicting the height-diameter allometry. Height-diameter allometry significantly differed between forest types and these local height-diameter equations also differed from published equations. For a given diameter, trees tended to be taller in the semi-deciduous forest than in the evergreen forest, as already reported between moist and wet forests in pantropical studies. Similar trends were reported within species for the three species shared by both forest types, suggesting an environmental control of tree allometry. Because of the low performance of the bioclimatic stress variable to predict tree height and of the slight soil differences between the two forest types, the environmental determinants of height-diameter allometry remain to be explored. In addition to tree allometry variation, structural differences (basal area and density) were also identified between the two forest types using commercial forest inventory data at…","author":[{"dropping-particle":"","family":"Fayolle","given":"Adeline","non-dropping-particle":"","parse-names":false,"suffix":""},{"dropping-particle":"","family":"Loubota Panzou","given":"Grace Jopaul","non-dropping-particle":"","parse-names":false,"suffix":""},{"dropping-particle":"","family":"Drouet","given":"Thomas","non-dropping-particle":"","parse-names":false,"suffix":""},{"dropping-particle":"","family":"Swaine","given":"Michael D.","non-dropping-particle":"","parse-names":false,"suffix":""},{"dropping-particle":"","family":"Bauwens","given":"Sébastien","non-dropping-particle":"","parse-names":false,"suffix":""},{"dropping-particle":"","family":"Vleminckx","given":"Jason","non-dropping-particle":"","parse-names":false,"suffix":""},{"dropping-particle":"","family":"Biwole","given":"Achille","non-dropping-particle":"","parse-names":false,"suffix":""},{"dropping-particle":"","family":"Lejeune","given":"Philippe","non-dropping-particle":"","parse-names":false,"suffix":""},{"dropping-particle":"","family":"Doucet","given":"Jean Louis","non-dropping-particle":"","parse-names":false,"suffix":""}],"container-title":"Forest Ecology and Management","id":"ITEM-1","issued":{"date-parts":[["2016"]]},"page":"42-50","publisher":"Elsevier B.V.","title":"Taller trees, denser stands and greater biomass in semi-deciduous than in evergreen lowland central African forests","type":"article-journal","volume":"374"},"uris":["http://www.mendeley.com/documents/?uuid=bcb58ff2-de94-4a44-b6aa-0d21e517b84b"]}],"mendeley":{"formattedCitation":"(Fayolle et al. 2016)","manualFormatting":"Fayolle et al. (2016)","plainTextFormattedCitation":"(Fayolle et al. 2016)","previouslyFormattedCitation":"(Fayolle et al. 2016)"},"properties":{"noteIndex":0},"schema":"https://github.com/citation-style-language/schema/raw/master/csl-citation.json"}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Fayolle et al. (2016)</w:t>
            </w:r>
            <w:r w:rsidRPr="008B4F80">
              <w:rPr>
                <w:rStyle w:val="Appelnotedebasdep"/>
                <w:rFonts w:ascii="Times New Roman" w:eastAsia="Times New Roman" w:hAnsi="Times New Roman" w:cs="Times New Roman"/>
                <w:color w:val="000000"/>
                <w:sz w:val="24"/>
                <w:szCs w:val="24"/>
                <w:lang w:eastAsia="en-GB"/>
              </w:rPr>
              <w:fldChar w:fldCharType="end"/>
            </w:r>
          </w:p>
        </w:tc>
        <w:tc>
          <w:tcPr>
            <w:tcW w:w="2835"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Local (Cameroon)</w:t>
            </w:r>
          </w:p>
        </w:tc>
        <w:tc>
          <w:tcPr>
            <w:tcW w:w="207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proofErr w:type="spellStart"/>
            <w:r w:rsidRPr="008B4F80">
              <w:rPr>
                <w:rFonts w:ascii="Times New Roman" w:eastAsia="Times New Roman" w:hAnsi="Times New Roman" w:cs="Times New Roman"/>
                <w:color w:val="000000"/>
                <w:sz w:val="24"/>
                <w:szCs w:val="24"/>
                <w:lang w:eastAsia="en-GB"/>
              </w:rPr>
              <w:t>Michaelis-Menten</w:t>
            </w:r>
            <w:proofErr w:type="spellEnd"/>
            <w:r w:rsidRPr="008B4F80">
              <w:rPr>
                <w:rFonts w:ascii="Times New Roman" w:eastAsia="Times New Roman" w:hAnsi="Times New Roman" w:cs="Times New Roman"/>
                <w:color w:val="000000"/>
                <w:sz w:val="24"/>
                <w:szCs w:val="24"/>
                <w:lang w:eastAsia="en-GB"/>
              </w:rPr>
              <w:t xml:space="preserve"> </w:t>
            </w:r>
          </w:p>
        </w:tc>
        <w:tc>
          <w:tcPr>
            <w:tcW w:w="4338"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H=55.2×D/(38.2+D)</m:t>
                </m:r>
              </m:oMath>
            </m:oMathPara>
          </w:p>
        </w:tc>
        <w:tc>
          <w:tcPr>
            <w:tcW w:w="567" w:type="dxa"/>
            <w:tcBorders>
              <w:top w:val="nil"/>
              <w:left w:val="nil"/>
              <w:bottom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w:t>
            </w:r>
          </w:p>
        </w:tc>
      </w:tr>
      <w:tr w:rsidR="00B27B32" w:rsidRPr="008B4F80" w:rsidTr="00B27B32">
        <w:trPr>
          <w:trHeight w:val="300"/>
          <w:jc w:val="center"/>
        </w:trPr>
        <w:tc>
          <w:tcPr>
            <w:tcW w:w="414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Pr>
                <w:rFonts w:ascii="Times New Roman" w:eastAsia="Times New Roman" w:hAnsi="Times New Roman" w:cs="Times New Roman"/>
                <w:color w:val="000000"/>
                <w:sz w:val="24"/>
                <w:szCs w:val="24"/>
                <w:lang w:eastAsia="en-GB"/>
              </w:rPr>
              <w:instrText>ADDIN CSL_CITATION {"citationItems":[{"id":"ITEM-1","itemData":{"DOI":"10.5194/bg-8-1081-2011","ISSN":"1726-4189","author":[{"dropping-particle":"","family":"Feldpausch","given":"T. R.","non-dropping-particle":"","parse-names":false,"suffix":""},{"dropping-particle":"","family":"Banin","given":"L.","non-dropping-particle":"","parse-names":false,"suffix":""},{"dropping-particle":"","family":"Phillips","given":"O. L.","non-dropping-particle":"","parse-names":false,"suffix":""},{"dropping-particle":"","family":"Baker","given":"T. R.","non-dropping-particle":"","parse-names":false,"suffix":""},{"dropping-particle":"","family":"Lewis","given":"S. L.","non-dropping-particle":"","parse-names":false,"suffix":""},{"dropping-particle":"","family":"Quesada","given":"C. A.","non-dropping-particle":"","parse-names":false,"suffix":""},{"dropping-particle":"","family":"Affum-Baffoe","given":"K.","non-dropping-particle":"","parse-names":false,"suffix":""},{"dropping-particle":"","family":"Arets","given":"E. J. M. M.","non-dropping-particle":"","parse-names":false,"suffix":""},{"dropping-particle":"","family":"Berry","given":"N. J.","non-dropping-particle":"","parse-names":false,"suffix":""},{"dropping-particle":"","family":"Bird","given":"M.","non-dropping-particle":"","parse-names":false,"suffix":""},{"dropping-particle":"","family":"Brondizio","given":"E. S.","non-dropping-particle":"","parse-names":false,"suffix":""},{"dropping-particle":"","family":"Camargo","given":"P.","non-dropping-particle":"de","parse-names":false,"suffix":""},{"dropping-particle":"","family":"Chave","given":"J.","non-dropping-particle":"","parse-names":false,"suffix":""},{"dropping-particle":"","family":"Djagbletey","given":"G.","non-dropping-particle":"","parse-names":false,"suffix":""},{"dropping-particle":"","family":"Domingues","given":"T. F.","non-dropping-particle":"","parse-names":false,"suffix":""},{"dropping-particle":"","family":"Drescher","given":"M.","non-dropping-particle":"","parse-names":false,"suffix":""},{"dropping-particle":"","family":"Fearnside","given":"P. M.","non-dropping-particle":"","parse-names":false,"suffix":""},{"dropping-particle":"","family":"França","given":"M. B.","non-dropping-particle":"","parse-names":false,"suffix":""},{"dropping-particle":"","family":"Fyllas","given":"N. M.","non-dropping-particle":"","parse-names":false,"suffix":""},{"dropping-particle":"","family":"Lopez-Gonzalez","given":"G.","non-dropping-particle":"","parse-names":false,"suffix":""},{"dropping-particle":"","family":"Hladik","given":"A.","non-dropping-particle":"","parse-names":false,"suffix":""},{"dropping-particle":"","family":"Higuchi","given":"N.","non-dropping-particle":"","parse-names":false,"suffix":""},{"dropping-particle":"","family":"Hunter","given":"M. O.","non-dropping-particle":"","parse-names":false,"suffix":""},{"dropping-particle":"","family":"Iida","given":"Y.","non-dropping-particle":"","parse-names":false,"suffix":""},{"dropping-particle":"","family":"Salim","given":"K. A.","non-dropping-particle":"","parse-names":false,"suffix":""},{"dropping-particle":"","family":"Kassim","given":"A. R.","non-dropping-particle":"","parse-names":false,"suffix":""},{"dropping-particle":"","family":"Keller","given":"M.","non-dropping-particle":"","parse-names":false,"suffix":""},{"dropping-particle":"","family":"Kemp","given":"J.","non-dropping-particle":"","parse-names":false,"suffix":""},{"dropping-particle":"","family":"King","given":"D. A.","non-dropping-particle":"","parse-names":false,"suffix":""},{"dropping-particle":"","family":"Lovett","given":"J. C.","non-dropping-particle":"","parse-names":false,"suffix":""},{"dropping-particle":"","family":"Marimon","given":"B. S.","non-dropping-particle":"","parse-names":false,"suffix":""},{"dropping-particle":"","family":"Marimon-Junior","given":"B. H.","non-dropping-particle":"","parse-names":false,"suffix":""},{"dropping-particle":"","family":"Lenza","given":"E.","non-dropping-particle":"","parse-names":false,"suffix":""},{"dropping-particle":"","family":"Marshall","given":"A. R.","non-dropping-particle":"","parse-names":false,"suffix":""},{"dropping-particle":"","family":"Metcalfe","given":"D. J.","non-dropping-particle":"","parse-names":false,"suffix":""},{"dropping-particle":"","family":"Mitchard","given":"E. T. A.","non-dropping-particle":"","parse-names":false,"suffix":""},{"dropping-particle":"","family":"Moran","given":"E. F.","non-dropping-particle":"","parse-names":false,"suffix":""},{"dropping-particle":"","family":"Nelson","given":"B. W.","non-dropping-particle":"","parse-names":false,"suffix":""},{"dropping-particle":"","family":"Nilus","given":"R.","non-dropping-particle":"","parse-names":false,"suffix":""},{"dropping-particle":"","family":"Nogueira","given":"E. M.","non-dropping-particle":"","parse-names":false,"suffix":""},{"dropping-particle":"","family":"Palace","given":"M.","non-dropping-particle":"","parse-names":false,"suffix":""},{"dropping-particle":"","family":"Patiño","given":"S.","non-dropping-particle":"","parse-names":false,"suffix":""},{"dropping-particle":"","family":"Peh","given":"K. S.-H.","non-dropping-particle":"","parse-names":false,"suffix":""},{"dropping-particle":"","family":"Raventos","given":"M. T.","non-dropping-particle":"","parse-names":false,"suffix":""},{"dropping-particle":"","family":"Reitsma","given":"J. M.","non-dropping-particle":"","parse-names":false,"suffix":""},{"dropping-particle":"","family":"Saiz","given":"G.","non-dropping-particle":"","parse-names":false,"suffix":""},{"dropping-particle":"","family":"Schrodt","given":"F.","non-dropping-particle":"","parse-names":false,"suffix":""},{"dropping-particle":"","family":"Sonké","given":"B.","non-dropping-particle":"","parse-names":false,"suffix":""},{"dropping-particle":"","family":"Taedoumg","given":"H. E.","non-dropping-particle":"","parse-names":false,"suffix":""},{"dropping-particle":"","family":"Tan","given":"S.","non-dropping-particle":"","parse-names":false,"suffix":""},{"dropping-particle":"","family":"White","given":"L.","non-dropping-particle":"","parse-names":false,"suffix":""},{"dropping-particle":"","family":"Wöll","given":"H.","non-dropping-particle":"","parse-names":false,"suffix":""},{"dropping-particle":"","family":"Lloyd","given":"J.","non-dropping-particle":"","parse-names":false,"suffix":""}],"container-title":"Biogeosciences","id":"ITEM-1","issue":"5","issued":{"date-parts":[["2011","5","5"]]},"page":"1081-1106","title":"Height-diameter allometry of tropical forest trees","type":"article-journal","volume":"8"},"uris":["http://www.mendeley.com/documents/?uuid=f8abcff5-c43a-431a-8388-efa7779eb2ab"]}],"mendeley":{"formattedCitation":"(Feldpausch et al. 2011)","manualFormatting":"Feldpausch et al. (2011)","plainTextFormattedCitation":"(Feldpausch et al. 2011)","previouslyFormattedCitation":"(Feldpausch et al. 2011)"},"properties":{"noteIndex":0},"schema":"https://github.com/citation-style-language/schema/raw/master/csl-citation.json"}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Feldpausch et al. (2011)</w:t>
            </w:r>
            <w:r w:rsidRPr="008B4F80">
              <w:rPr>
                <w:rStyle w:val="Appelnotedebasdep"/>
                <w:rFonts w:ascii="Times New Roman" w:eastAsia="Times New Roman" w:hAnsi="Times New Roman" w:cs="Times New Roman"/>
                <w:color w:val="000000"/>
                <w:sz w:val="24"/>
                <w:szCs w:val="24"/>
                <w:lang w:eastAsia="en-GB"/>
              </w:rPr>
              <w:fldChar w:fldCharType="end"/>
            </w:r>
          </w:p>
        </w:tc>
        <w:tc>
          <w:tcPr>
            <w:tcW w:w="2835"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Central Africa</w:t>
            </w:r>
          </w:p>
        </w:tc>
        <w:tc>
          <w:tcPr>
            <w:tcW w:w="207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Power</w:t>
            </w:r>
          </w:p>
        </w:tc>
        <w:tc>
          <w:tcPr>
            <w:tcW w:w="4338"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func>
                  <m:funcPr>
                    <m:ctrlPr>
                      <w:rPr>
                        <w:rFonts w:ascii="Cambria Math" w:eastAsia="Times New Roman" w:hAnsi="Cambria Math" w:cs="Times New Roman"/>
                        <w:color w:val="000000"/>
                        <w:sz w:val="24"/>
                        <w:szCs w:val="24"/>
                        <w:lang w:eastAsia="en-GB"/>
                      </w:rPr>
                    </m:ctrlPr>
                  </m:funcPr>
                  <m:fName>
                    <m:r>
                      <m:rPr>
                        <m:sty m:val="p"/>
                      </m:rPr>
                      <w:rPr>
                        <w:rFonts w:ascii="Cambria Math" w:eastAsia="Times New Roman" w:hAnsi="Cambria Math" w:cs="Times New Roman"/>
                        <w:color w:val="000000"/>
                        <w:sz w:val="24"/>
                        <w:szCs w:val="24"/>
                        <w:lang w:eastAsia="en-GB"/>
                      </w:rPr>
                      <m:t>log</m:t>
                    </m:r>
                  </m:fName>
                  <m:e>
                    <m:d>
                      <m:dPr>
                        <m:ctrlPr>
                          <w:rPr>
                            <w:rFonts w:ascii="Cambria Math" w:eastAsia="Times New Roman" w:hAnsi="Cambria Math" w:cs="Times New Roman"/>
                            <w:i/>
                            <w:color w:val="000000"/>
                            <w:sz w:val="24"/>
                            <w:szCs w:val="24"/>
                            <w:lang w:eastAsia="en-GB"/>
                          </w:rPr>
                        </m:ctrlPr>
                      </m:dPr>
                      <m:e>
                        <m:r>
                          <w:rPr>
                            <w:rFonts w:ascii="Cambria Math" w:eastAsia="Times New Roman" w:hAnsi="Cambria Math" w:cs="Times New Roman"/>
                            <w:color w:val="000000"/>
                            <w:sz w:val="24"/>
                            <w:szCs w:val="24"/>
                            <w:lang w:eastAsia="en-GB"/>
                          </w:rPr>
                          <m:t>H</m:t>
                        </m:r>
                      </m:e>
                    </m:d>
                  </m:e>
                </m:func>
                <m:r>
                  <w:rPr>
                    <w:rFonts w:ascii="Cambria Math" w:eastAsia="Times New Roman" w:hAnsi="Cambria Math" w:cs="Times New Roman"/>
                    <w:color w:val="000000"/>
                    <w:sz w:val="24"/>
                    <w:szCs w:val="24"/>
                    <w:lang w:eastAsia="en-GB"/>
                  </w:rPr>
                  <m:t>=1.15+0.55×</m:t>
                </m:r>
                <m:r>
                  <m:rPr>
                    <m:sty m:val="p"/>
                  </m:rPr>
                  <w:rPr>
                    <w:rFonts w:ascii="Cambria Math" w:eastAsia="Times New Roman" w:hAnsi="Cambria Math" w:cs="Times New Roman"/>
                    <w:color w:val="000000"/>
                    <w:sz w:val="24"/>
                    <w:szCs w:val="24"/>
                    <w:lang w:eastAsia="en-GB"/>
                  </w:rPr>
                  <m:t>log⁡</m:t>
                </m:r>
                <m:r>
                  <w:rPr>
                    <w:rFonts w:ascii="Cambria Math" w:eastAsia="Times New Roman" w:hAnsi="Cambria Math" w:cs="Times New Roman"/>
                    <w:color w:val="000000"/>
                    <w:sz w:val="24"/>
                    <w:szCs w:val="24"/>
                    <w:lang w:eastAsia="en-GB"/>
                  </w:rPr>
                  <m:t>(D)</m:t>
                </m:r>
              </m:oMath>
            </m:oMathPara>
          </w:p>
        </w:tc>
        <w:tc>
          <w:tcPr>
            <w:tcW w:w="567" w:type="dxa"/>
            <w:tcBorders>
              <w:top w:val="nil"/>
              <w:left w:val="nil"/>
              <w:bottom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w:t>
            </w:r>
          </w:p>
        </w:tc>
      </w:tr>
      <w:tr w:rsidR="00B27B32" w:rsidRPr="008B4F80" w:rsidTr="00B27B32">
        <w:trPr>
          <w:trHeight w:val="300"/>
          <w:jc w:val="center"/>
        </w:trPr>
        <w:tc>
          <w:tcPr>
            <w:tcW w:w="414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sidRPr="008B4F80">
              <w:rPr>
                <w:rFonts w:ascii="Times New Roman" w:eastAsia="Times New Roman" w:hAnsi="Times New Roman" w:cs="Times New Roman"/>
                <w:color w:val="000000"/>
                <w:sz w:val="24"/>
                <w:szCs w:val="24"/>
                <w:lang w:eastAsia="en-GB"/>
              </w:rPr>
              <w:instrText>ADDIN CSL_CITATION {"citationItems":[{"id":"ITEM-1","itemData":{"DOI":"10.5194/bg-9-3381-2012","ISSN":"17264170","abstract":"Above-ground tropical tree biomass and carbon storage estimates commonly ignore tree height. We estimate the effect of incorporating height (H) on forest biomass estimates using 37 625 concomitant H and diameter measurements (n = 327 plots) and 1816 harvested trees (n = 21 plots) tropics-wide to answer the following questions:\\r\\n\\r\\n1. For trees of known biomass (from destructive harvests) which H-model form and geographic scale (plot, region, and continent) most reduces biomass estimate uncertainty?\\r\\n\\r\\n2. How much does including H relationship estimates derived in (1) reduce uncertainty in biomass estimates across 327 plots spanning four continents?\\r\\n\\r\\n3. What effect does the inclusion of H in biomass estimates have on plot- and continental-scale forest biomass estimates?\\r\\n\\r\\nThe mean relative error in biomass estimates of the destructively harvested trees was half (mean 0.06) when including H, compared to excluding H (mean 0.13). The power- and Weibull-H asymptotic model provided the greatest reduction in uncertainty, with the regional Weibull-H model preferred because it reduces uncertainty in smaller-diameter classes that contain the bulk of biomass per hectare in most forests. Propagating the relationships from destructively harvested tree biomass to each of the 327 plots from across the tropics shows errors are reduced from 41.8 Mg ha−1 (range 6.6 to 112.4) to 8.0 Mg ha−1 (−2.5 to 23.0) when including $H$. For all plots, above-ground live biomass was 52.2±17.3 Mg ha−1 lower when including H estimates (13%), with the greatest reductions in estimated biomass in Brazilian Shield forests and relatively no change in the Guyana Shield, central Africa and southeast Asia. We show fundamentally different stand structure across the four forested tropical continents, which affects biomass reductions due to $H$. African forests store a greater portion of total biomass in large-diameter trees and trees are on average larger in diameter. This contrasts to forests on all other continents where smaller-diameter trees contain the greatest fractions of total biomass. After accounting for variation in $H$, total biomass per hectare is greatest in Australia, the Guyana Shield, and Asia and lowest in W. Africa, W. Amazonia, and the Brazilian Shield (descending order). Thus, if closed canopy tropical forests span 1668 million km2 and store 285 Pg C, then the overestimate is 35 Pg C if H is ignored, and the sampled plots are an unbiased statistical represent…","author":[{"dropping-particle":"","family":"Feldpausch","given":"T. R.","non-dropping-particle":"","parse-names":false,"suffix":""},{"dropping-particle":"","family":"Lloyd","given":"J.","non-dropping-particle":"","parse-names":false,"suffix":""},{"dropping-particle":"","family":"Lewis","given":"S. L.","non-dropping-particle":"","parse-names":false,"suffix":""},{"dropping-particle":"","family":"Brienen","given":"R. J.W.","non-dropping-particle":"","parse-names":false,"suffix":""},{"dropping-particle":"","family":"Gloor","given":"M.","non-dropping-particle":"","parse-names":false,"suffix":""},{"dropping-particle":"","family":"Monteagudo Mendoza","given":"A.","non-dropping-particle":"","parse-names":false,"suffix":""},{"dropping-particle":"","family":"Lopez-Gonzalez","given":"G.","non-dropping-particle":"","parse-names":false,"suffix":""},{"dropping-particle":"","family":"Banin","given":"L.","non-dropping-particle":"","parse-names":false,"suffix":""},{"dropping-particle":"","family":"Abu Salim","given":"K.","non-dropping-particle":"","parse-names":false,"suffix":""},{"dropping-particle":"","family":"Affum-Baffoe","given":"K.","non-dropping-particle":"","parse-names":false,"suffix":""},{"dropping-particle":"","family":"Alexiades","given":"M.","non-dropping-particle":"","parse-names":false,"suffix":""},{"dropping-particle":"","family":"Almeida","given":"S.","non-dropping-particle":"","parse-names":false,"suffix":""},{"dropping-particle":"","family":"Amaral","given":"I.","non-dropping-particle":"","parse-names":false,"suffix":""},{"dropping-particle":"","family":"Andrade","given":"A.","non-dropping-particle":"","parse-names":false,"suffix":""},{"dropping-particle":"","family":"Aragão","given":"L. E.O.C.","non-dropping-particle":"","parse-names":false,"suffix":""},{"dropping-particle":"","family":"Araujo Murakami","given":"A.","non-dropping-particle":"","parse-names":false,"suffix":""},{"dropping-particle":"","family":"Arets","given":"E. J.M.","non-dropping-particle":"","parse-names":false,"suffix":""},{"dropping-particle":"","family":"Arroyo","given":"L.","non-dropping-particle":"","parse-names":false,"suffix":""},{"dropping-particle":"","family":"Aymard C.","given":"G. A.","non-dropping-particle":"","parse-names":false,"suffix":""},{"dropping-particle":"","family":"Baker","given":"T. R.","non-dropping-particle":"","parse-names":false,"suffix":""},{"dropping-particle":"","family":"Bánki","given":"O. S.","non-dropping-particle":"","parse-names":false,"suffix":""},{"dropping-particle":"","family":"Berry","given":"N. J.","non-dropping-particle":"","parse-names":false,"suffix":""},{"dropping-particle":"","family":"Cardozo","given":"N.","non-dropping-particle":"","parse-names":false,"suffix":""},{"dropping-particle":"","family":"Chave","given":"J.","non-dropping-particle":"","parse-names":false,"suffix":""},{"dropping-particle":"","family":"Comiskey","given":"J. A.","non-dropping-particle":"","parse-names":false,"suffix":""},{"dropping-particle":"","family":"Alvarez","given":"E.","non-dropping-particle":"","parse-names":false,"suffix":""},{"dropping-particle":"","family":"Oliveira","given":"A.","non-dropping-particle":"De","parse-names":false,"suffix":""},{"dropping-particle":"","family":"Fiore","given":"A.","non-dropping-particle":"Di","parse-names":false,"suffix":""},{"dropping-particle":"","family":"Djagbletey","given":"G.","non-dropping-particle":"","parse-names":false,"suffix":""},{"dropping-particle":"","family":"Domingues","given":"T. F.","non-dropping-particle":"","parse-names":false,"suffix":""},{"dropping-particle":"","family":"Erwin","given":"T. L.","non-dropping-particle":"","parse-names":false,"suffix":""},{"dropping-particle":"","family":"Fearnside","given":"P. M.","non-dropping-particle":"","parse-names":false,"suffix":""},{"dropping-particle":"","family":"França","given":"M. B.","non-dropping-particle":"","parse-names":false,"suffix":""},{"dropping-particle":"","family":"Freitas","given":"M. A.","non-dropping-particle":"","parse-names":false,"suffix":""},{"dropping-particle":"","family":"Higuchi","given":"N.","non-dropping-particle":"","parse-names":false,"suffix":""},{"dropping-particle":"","family":"Honorio C.","given":"E.","non-dropping-particle":"","parse-names":false,"suffix":""},{"dropping-particle":"","family":"Iida","given":"Y.","non-dropping-particle":"","parse-names":false,"suffix":""},{"dropping-particle":"","family":"Jiménez","given":"E.","non-dropping-particle":"","parse-names":false,"suffix":""},{"dropping-particle":"","family":"Kassim","given":"A. R.","non-dropping-particle":"","parse-names":false,"suffix":""},{"dropping-particle":"","family":"Killeen","given":"T. J.","non-dropping-particle":"","parse-names":false,"suffix":""},{"dropping-particle":"","family":"Laurance","given":"W. F.","non-dropping-particle":"","parse-names":false,"suffix":""},{"dropping-particle":"","family":"Lovett","given":"J. C.","non-dropping-particle":"","parse-names":false,"suffix":""},{"dropping-particle":"","family":"Malhi","given":"Y.","non-dropping-particle":"","parse-names":false,"suffix":""},{"dropping-particle":"","family":"Marimon","given":"B. S.","non-dropping-particle":"","parse-names":false,"suffix":""},{"dropping-particle":"","family":"Marimon-Junior","given":"B. H.","non-dropping-particle":"","parse-names":false,"suffix":""},{"dropping-particle":"","family":"Lenza","given":"E.","non-dropping-particle":"","parse-names":false,"suffix":""},{"dropping-particle":"","family":"Marshall","given":"A. R.","non-dropping-particle":"","parse-names":false,"suffix":""},{"dropping-particle":"","family":"Mendoza","given":"C.","non-dropping-particle":"","parse-names":false,"suffix":""},{"dropping-particle":"","family":"Metcalfe","given":"D. J.","non-dropping-particle":"","parse-names":false,"suffix":""},{"dropping-particle":"","family":"Mitchard","given":"E. T.A.","non-dropping-particle":"","parse-names":false,"suffix":""},{"dropping-particle":"","family":"Neill","given":"D. A.","non-dropping-particle":"","parse-names":false,"suffix":""},{"dropping-particle":"","family":"Nelson","given":"B. W.","non-dropping-particle":"","parse-names":false,"suffix":""},{"dropping-particle":"","family":"Nilus","given":"R.","non-dropping-particle":"","parse-names":false,"suffix":""},{"dropping-particle":"","family":"Nogueira","given":"E. M.","non-dropping-particle":"","parse-names":false,"suffix":""},{"dropping-particle":"","family":"Parada","given":"A.","non-dropping-particle":"","parse-names":false,"suffix":""},{"dropping-particle":"","family":"S.-H. Peh","given":"K.","non-dropping-particle":"","parse-names":false,"suffix":""},{"dropping-particle":"","family":"Pena Cruz","given":"A.","non-dropping-particle":"","parse-names":false,"suffix":""},{"dropping-particle":"","family":"Peñuela","given":"M. C.","non-dropping-particle":"","parse-names":false,"suffix":""},{"dropping-particle":"","family":"Pitman","given":"N. C.A.","non-dropping-particle":"","parse-names":false,"suffix":""},{"dropping-particle":"","family":"Prieto","given":"A.","non-dropping-particle":"","parse-names":false,"suffix":""},{"dropping-particle":"","family":"Quesada","given":"C. A.","non-dropping-particle":"","parse-names":false,"suffix":""},{"dropping-particle":"","family":"Ramírez","given":"F.","non-dropping-particle":"","parse-names":false,"suffix":""},{"dropping-particle":"","family":"Ramírez-Angulo","given":"H.","non-dropping-particle":"","parse-names":false,"suffix":""},{"dropping-particle":"","family":"Reitsma","given":"J. M.","non-dropping-particle":"","parse-names":false,"suffix":""},{"dropping-particle":"","family":"Rudas","given":"A.","non-dropping-particle":"","parse-names":false,"suffix":""},{"dropping-particle":"","family":"Saiz","given":"G.","non-dropping-particle":"","parse-names":false,"suffix":""},{"dropping-particle":"","family":"Salomão","given":"R. P.","non-dropping-particle":"","parse-names":false,"suffix":""},{"dropping-particle":"","family":"Schwarz","given":"M.","non-dropping-particle":"","parse-names":false,"suffix":""},{"dropping-particle":"","family":"Silva","given":"N.","non-dropping-particle":"","parse-names":false,"suffix":""},{"dropping-particle":"","family":"Silva-Espejo","given":"J. E.","non-dropping-particle":"","parse-names":false,"suffix":""},{"dropping-particle":"","family":"Silveira","given":"M.","non-dropping-particle":"","parse-names":false,"suffix":""},{"dropping-particle":"","family":"Sonké","given":"B.","non-dropping-particle":"","parse-names":false,"suffix":""},{"dropping-particle":"","family":"Stropp","given":"J.","non-dropping-particle":"","parse-names":false,"suffix":""},{"dropping-particle":"","family":"Taedoumg","given":"H. E.","non-dropping-particle":"","parse-names":false,"suffix":""},{"dropping-particle":"","family":"Tan","given":"S.","non-dropping-particle":"","parse-names":false,"suffix":""},{"dropping-particle":"","family":"Steege","given":"H.","non-dropping-particle":"Ter","parse-names":false,"suffix":""},{"dropping-particle":"","family":"Terborgh","given":"J.","non-dropping-particle":"","parse-names":false,"suffix":""},{"dropping-particle":"","family":"Torello-Raventos","given":"M.","non-dropping-particle":"","parse-names":false,"suffix":""},{"dropping-particle":"","family":"Heijden","given":"G. M.F.","non-dropping-particle":"Van Der","parse-names":false,"suffix":""},{"dropping-particle":"","family":"Vásquez","given":"R.","non-dropping-particle":"","parse-names":false,"suffix":""},{"dropping-particle":"","family":"Vilanova","given":"E.","non-dropping-particle":"","parse-names":false,"suffix":""},{"dropping-particle":"","family":"Vos","given":"V. A.","non-dropping-particle":"","parse-names":false,"suffix":""},{"dropping-particle":"","family":"White","given":"L.","non-dropping-particle":"","parse-names":false,"suffix":""},{"dropping-particle":"","family":"Willcock","given":"S.","non-dropping-particle":"","parse-names":false,"suffix":""},{"dropping-particle":"","family":"Woell","given":"H.","non-dropping-particle":"","parse-names":false,"suffix":""},{"dropping-particle":"","family":"Phillips","given":"O. L.","non-dropping-particle":"","parse-names":false,"suffix":""}],"container-title":"Biogeosciences","id":"ITEM-1","issue":"8","issued":{"date-parts":[["2012"]]},"page":"3381-3403","title":"Tree height integrated into pantropical forest biomass estimates","type":"article-journal","volume":"9"},"uris":["http://www.mendeley.com/documents/?uuid=4bf6a6b5-fb34-4402-ac24-a1621df5a5ca"]}],"mendeley":{"formattedCitation":"(Feldpausch et al. 2012)","manualFormatting":"Feldpausch et al. (2012)","plainTextFormattedCitation":"(Feldpausch et al. 2012)","previouslyFormattedCitation":"(Feldpausch et al. 2012)"},"properties":{"noteIndex":0},"schema":"https://github.com/citation-style-language/schema/raw/master/csl-citation.json"}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Feldpausch et al. (2012)</w:t>
            </w:r>
            <w:r w:rsidRPr="008B4F80">
              <w:rPr>
                <w:rStyle w:val="Appelnotedebasdep"/>
                <w:rFonts w:ascii="Times New Roman" w:eastAsia="Times New Roman" w:hAnsi="Times New Roman" w:cs="Times New Roman"/>
                <w:color w:val="000000"/>
                <w:sz w:val="24"/>
                <w:szCs w:val="24"/>
                <w:lang w:eastAsia="en-GB"/>
              </w:rPr>
              <w:fldChar w:fldCharType="end"/>
            </w:r>
          </w:p>
        </w:tc>
        <w:tc>
          <w:tcPr>
            <w:tcW w:w="2835"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Central Africa</w:t>
            </w:r>
          </w:p>
        </w:tc>
        <w:tc>
          <w:tcPr>
            <w:tcW w:w="207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Weibull</w:t>
            </w:r>
          </w:p>
        </w:tc>
        <w:tc>
          <w:tcPr>
            <w:tcW w:w="4338"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H=50.45×(1-</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(-0.047×</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D</m:t>
                    </m:r>
                  </m:e>
                  <m:sup>
                    <m:r>
                      <w:rPr>
                        <w:rFonts w:ascii="Cambria Math" w:eastAsia="Times New Roman" w:hAnsi="Cambria Math" w:cs="Times New Roman"/>
                        <w:color w:val="000000"/>
                        <w:sz w:val="24"/>
                        <w:szCs w:val="24"/>
                        <w:lang w:eastAsia="en-GB"/>
                      </w:rPr>
                      <m:t>0.812</m:t>
                    </m:r>
                  </m:sup>
                </m:sSup>
                <m:r>
                  <w:rPr>
                    <w:rFonts w:ascii="Cambria Math" w:eastAsia="Times New Roman" w:hAnsi="Cambria Math" w:cs="Times New Roman"/>
                    <w:color w:val="000000"/>
                    <w:sz w:val="24"/>
                    <w:szCs w:val="24"/>
                    <w:lang w:eastAsia="en-GB"/>
                  </w:rPr>
                  <m:t>)</m:t>
                </m:r>
              </m:oMath>
            </m:oMathPara>
          </w:p>
        </w:tc>
        <w:tc>
          <w:tcPr>
            <w:tcW w:w="567" w:type="dxa"/>
            <w:tcBorders>
              <w:top w:val="nil"/>
              <w:left w:val="nil"/>
              <w:bottom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w:t>
            </w:r>
          </w:p>
        </w:tc>
      </w:tr>
      <w:tr w:rsidR="00B27B32" w:rsidRPr="008B4F80" w:rsidTr="00B27B32">
        <w:trPr>
          <w:trHeight w:val="300"/>
          <w:jc w:val="center"/>
        </w:trPr>
        <w:tc>
          <w:tcPr>
            <w:tcW w:w="414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sidRPr="008B4F80">
              <w:rPr>
                <w:rFonts w:ascii="Times New Roman" w:eastAsia="Times New Roman" w:hAnsi="Times New Roman" w:cs="Times New Roman"/>
                <w:color w:val="000000"/>
                <w:sz w:val="24"/>
                <w:szCs w:val="24"/>
                <w:lang w:eastAsia="en-GB"/>
              </w:rPr>
              <w:instrText>ADDIN CSL_CITATION {"citationItems":[{"id":"ITEM-1","itemData":{"DOI":"10.1038/ncomms3269","ISSN":"2041-1723","PMID":"23912554","abstract":"Policies to reduce emissions from deforestation and forest degradation largely depend on accurate estimates of tropical forest carbon stocks. Here we present the first field-based carbon stock data for the Central Congo Basin in Yangambi, Democratic Republic of Congo. We find an average aboveground carbon stock of 162 ± 20  Mg  C  ha(-1) for intact old-growth forest, which is significantly lower than stocks recorded in the outer regions of the Congo Basin. The best available tree height-diameter relationships derived for Central Africa do not render accurate canopy height estimates for our study area. Aboveground carbon stocks would be overestimated by 24% if these inaccurate relationships were used. The studied forests have a lower stature compared with forests in the outer regions of the basin, which confirms remotely sensed patterns. Additionally, we find an average soil carbon stock of 111 ± 24  Mg  C  ha(-1), slightly influenced by the current land-use change.","author":[{"dropping-particle":"","family":"Kearsley","given":"Elizabeth","non-dropping-particle":"","parse-names":false,"suffix":""},{"dropping-particle":"","family":"Haulleville","given":"Thales","non-dropping-particle":"de","parse-names":false,"suffix":""},{"dropping-particle":"","family":"Hufkens","given":"Koen","non-dropping-particle":"","parse-names":false,"suffix":""},{"dropping-particle":"","family":"Kidimbu","given":"Alidé","non-dropping-particle":"","parse-names":false,"suffix":""},{"dropping-particle":"","family":"Toirambe","given":"Benjamin","non-dropping-particle":"","parse-names":false,"suffix":""},{"dropping-particle":"","family":"Baert","given":"Geert","non-dropping-particle":"","parse-names":false,"suffix":""},{"dropping-particle":"","family":"Huygens","given":"Dries","non-dropping-particle":"","parse-names":false,"suffix":""},{"dropping-particle":"","family":"Kebede","given":"Yodit","non-dropping-particle":"","parse-names":false,"suffix":""},{"dropping-particle":"","family":"Defourny","given":"Pierre","non-dropping-particle":"","parse-names":false,"suffix":""},{"dropping-particle":"","family":"Bogaert","given":"Jan","non-dropping-particle":"","parse-names":false,"suffix":""},{"dropping-particle":"","family":"Beeckman","given":"Hans","non-dropping-particle":"","parse-names":false,"suffix":""},{"dropping-particle":"","family":"Steppe","given":"Kathy","non-dropping-particle":"","parse-names":false,"suffix":""},{"dropping-particle":"","family":"Boeckx","given":"Pascal","non-dropping-particle":"","parse-names":false,"suffix":""},{"dropping-particle":"","family":"Verbeeck","given":"Hans","non-dropping-particle":"","parse-names":false,"suffix":""}],"container-title":"Nature communications","id":"ITEM-1","issued":{"date-parts":[["2013","1"]]},"page":"2269","title":"Conventional tree height-diameter relationships significantly overestimate aboveground carbon stocks in the Central Congo Basin.","type":"article-journal","volume":"4"},"uris":["http://www.mendeley.com/documents/?uuid=61adde84-9f1a-4432-8c11-13d4e19d4f59"]}],"mendeley":{"formattedCitation":"(Kearsley et al. 2013)","manualFormatting":"Kearsley et al. (2013)","plainTextFormattedCitation":"(Kearsley et al. 2013)","previouslyFormattedCitation":"(Kearsley et al. 2013)"},"properties":{"noteIndex":0},"schema":"https://github.com/citation-style-language/schema/raw/master/csl-citation.json"}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Kearsley et al. (2013)</w:t>
            </w:r>
            <w:r w:rsidRPr="008B4F80">
              <w:rPr>
                <w:rStyle w:val="Appelnotedebasdep"/>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Mixed</w:t>
            </w:r>
          </w:p>
        </w:tc>
        <w:tc>
          <w:tcPr>
            <w:tcW w:w="2835"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Local (DRC)</w:t>
            </w:r>
          </w:p>
        </w:tc>
        <w:tc>
          <w:tcPr>
            <w:tcW w:w="2072"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Exponential</w:t>
            </w:r>
          </w:p>
        </w:tc>
        <w:tc>
          <w:tcPr>
            <w:tcW w:w="4338" w:type="dxa"/>
            <w:tcBorders>
              <w:top w:val="nil"/>
              <w:left w:val="nil"/>
              <w:bottom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H=36.35-31.6×</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(-0.022×D)</m:t>
                </m:r>
              </m:oMath>
            </m:oMathPara>
          </w:p>
        </w:tc>
        <w:tc>
          <w:tcPr>
            <w:tcW w:w="567" w:type="dxa"/>
            <w:tcBorders>
              <w:top w:val="nil"/>
              <w:left w:val="nil"/>
              <w:bottom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E</w:t>
            </w:r>
          </w:p>
        </w:tc>
        <w:bookmarkStart w:id="0" w:name="_GoBack"/>
        <w:bookmarkEnd w:id="0"/>
      </w:tr>
      <w:tr w:rsidR="00B27B32" w:rsidRPr="008B4F80" w:rsidTr="00B27B32">
        <w:trPr>
          <w:trHeight w:val="300"/>
          <w:jc w:val="center"/>
        </w:trPr>
        <w:tc>
          <w:tcPr>
            <w:tcW w:w="4142" w:type="dxa"/>
            <w:tcBorders>
              <w:top w:val="nil"/>
              <w:left w:val="nil"/>
              <w:bottom w:val="nil"/>
              <w:right w:val="nil"/>
            </w:tcBorders>
            <w:shd w:val="clear" w:color="auto" w:fill="auto"/>
            <w:noWrap/>
            <w:vAlign w:val="center"/>
            <w:hideMark/>
          </w:tcPr>
          <w:p w:rsidR="00B27B32" w:rsidRPr="008B4F80" w:rsidRDefault="00B27B32" w:rsidP="006C1290">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sidRPr="008B4F80">
              <w:rPr>
                <w:rFonts w:ascii="Times New Roman" w:eastAsia="Times New Roman" w:hAnsi="Times New Roman" w:cs="Times New Roman"/>
                <w:color w:val="000000"/>
                <w:sz w:val="24"/>
                <w:szCs w:val="24"/>
                <w:lang w:eastAsia="en-GB"/>
              </w:rPr>
              <w:instrText>ADDIN CSL_CITATION {"citationItems":[{"id":"ITEM-1","itemData":{"DOI":"10.1038/ncomms3269","ISSN":"2041-1723","PMID":"23912554","abstract":"Policies to reduce emissions from deforestation and forest degradation largely depend on accurate estimates of tropical forest carbon stocks. Here we present the first field-based carbon stock data for the Central Congo Basin in Yangambi, Democratic Republic of Congo. We find an average aboveground carbon stock of 162 ± 20  Mg  C  ha(-1) for intact old-growth forest, which is significantly lower than stocks recorded in the outer regions of the Congo Basin. The best available tree height-diameter relationships derived for Central Africa do not render accurate canopy height estimates for our study area. Aboveground carbon stocks would be overestimated by 24% if these inaccurate relationships were used. The studied forests have a lower stature compared with forests in the outer regions of the basin, which confirms remotely sensed patterns. Additionally, we find an average soil carbon stock of 111 ± 24  Mg  C  ha(-1), slightly influenced by the current land-use change.","author":[{"dropping-particle":"","family":"Kearsley","given":"Elizabeth","non-dropping-particle":"","parse-names":false,"suffix":""},{"dropping-particle":"","family":"Haulleville","given":"Thales","non-dropping-particle":"de","parse-names":false,"suffix":""},{"dropping-particle":"","family":"Hufkens","given":"Koen","non-dropping-particle":"","parse-names":false,"suffix":""},{"dropping-particle":"","family":"Kidimbu","given":"Alidé","non-dropping-particle":"","parse-names":false,"suffix":""},{"dropping-particle":"","family":"Toirambe","given":"Benjamin","non-dropping-particle":"","parse-names":false,"suffix":""},{"dropping-particle":"","family":"Baert","given":"Geert","non-dropping-particle":"","parse-names":false,"suffix":""},{"dropping-particle":"","family":"Huygens","given":"Dries","non-dropping-particle":"","parse-names":false,"suffix":""},{"dropping-particle":"","family":"Kebede","given":"Yodit","non-dropping-particle":"","parse-names":false,"suffix":""},{"dropping-particle":"","family":"Defourny","given":"Pierre","non-dropping-particle":"","parse-names":false,"suffix":""},{"dropping-particle":"","family":"Bogaert","given":"Jan","non-dropping-particle":"","parse-names":false,"suffix":""},{"dropping-particle":"","family":"Beeckman","given":"Hans","non-dropping-particle":"","parse-names":false,"suffix":""},{"dropping-particle":"","family":"Steppe","given":"Kathy","non-dropping-particle":"","parse-names":false,"suffix":""},{"dropping-particle":"","family":"Boeckx","given":"Pascal","non-dropping-particle":"","parse-names":false,"suffix":""},{"dropping-particle":"","family":"Verbeeck","given":"Hans","non-dropping-particle":"","parse-names":false,"suffix":""}],"container-title":"Nature communications","id":"ITEM-1","issued":{"date-parts":[["2013","1"]]},"page":"2269","title":"Conventional tree height-diameter relationships significantly overestimate aboveground carbon stocks in the Central Congo Basin.","type":"article-journal","volume":"4"},"uris":["http://www.mendeley.com/documents/?uuid=61adde84-9f1a-4432-8c11-13d4e19d4f59"]}],"mendeley":{"formattedCitation":"(Kearsley et al. 2013)","manualFormatting":"Kearsley et al. (2013)","plainTextFormattedCitation":"(Kearsley et al. 2013)","previouslyFormattedCitation":"(Kearsley et al. 2013)"},"properties":{"noteIndex":0},"schema":"https://github.com/citation-style-language/schema/raw/master/csl-citation.json"}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Kearsley et al. (2013)</w:t>
            </w:r>
            <w:r w:rsidRPr="008B4F80">
              <w:rPr>
                <w:rStyle w:val="Appelnotedebasdep"/>
                <w:rFonts w:ascii="Times New Roman" w:eastAsia="Times New Roman" w:hAnsi="Times New Roman" w:cs="Times New Roman"/>
                <w:color w:val="000000"/>
                <w:sz w:val="24"/>
                <w:szCs w:val="24"/>
                <w:lang w:eastAsia="en-GB"/>
              </w:rPr>
              <w:fldChar w:fldCharType="end"/>
            </w:r>
            <w:r>
              <w:rPr>
                <w:rFonts w:ascii="Times New Roman" w:eastAsia="Times New Roman" w:hAnsi="Times New Roman" w:cs="Times New Roman"/>
                <w:color w:val="000000"/>
                <w:sz w:val="24"/>
                <w:szCs w:val="24"/>
                <w:lang w:eastAsia="en-GB"/>
              </w:rPr>
              <w:t>- Monodominant</w:t>
            </w:r>
          </w:p>
        </w:tc>
        <w:tc>
          <w:tcPr>
            <w:tcW w:w="2835" w:type="dxa"/>
            <w:tcBorders>
              <w:top w:val="nil"/>
              <w:left w:val="nil"/>
              <w:bottom w:val="nil"/>
              <w:right w:val="nil"/>
            </w:tcBorders>
            <w:shd w:val="clear" w:color="auto" w:fill="auto"/>
            <w:noWrap/>
            <w:vAlign w:val="center"/>
            <w:hideMark/>
          </w:tcPr>
          <w:p w:rsidR="00B27B32" w:rsidRPr="008B4F80" w:rsidRDefault="00B27B32" w:rsidP="006C1290">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Local (DRC)</w:t>
            </w:r>
          </w:p>
        </w:tc>
        <w:tc>
          <w:tcPr>
            <w:tcW w:w="2072" w:type="dxa"/>
            <w:tcBorders>
              <w:top w:val="nil"/>
              <w:left w:val="nil"/>
              <w:bottom w:val="nil"/>
              <w:right w:val="nil"/>
            </w:tcBorders>
            <w:shd w:val="clear" w:color="auto" w:fill="auto"/>
            <w:noWrap/>
            <w:vAlign w:val="center"/>
            <w:hideMark/>
          </w:tcPr>
          <w:p w:rsidR="00B27B32" w:rsidRPr="008B4F80" w:rsidRDefault="00B27B32" w:rsidP="006C1290">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Exponential</w:t>
            </w:r>
          </w:p>
        </w:tc>
        <w:tc>
          <w:tcPr>
            <w:tcW w:w="4338" w:type="dxa"/>
            <w:tcBorders>
              <w:top w:val="nil"/>
              <w:left w:val="nil"/>
              <w:bottom w:val="nil"/>
              <w:right w:val="nil"/>
            </w:tcBorders>
            <w:shd w:val="clear" w:color="auto" w:fill="auto"/>
            <w:noWrap/>
            <w:vAlign w:val="center"/>
            <w:hideMark/>
          </w:tcPr>
          <w:p w:rsidR="00B27B32" w:rsidRPr="008B4F80" w:rsidRDefault="00B27B32" w:rsidP="006C1290">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H=35.04-30.4×</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(-0.024×D)</m:t>
                </m:r>
              </m:oMath>
            </m:oMathPara>
          </w:p>
        </w:tc>
        <w:tc>
          <w:tcPr>
            <w:tcW w:w="567" w:type="dxa"/>
            <w:tcBorders>
              <w:top w:val="nil"/>
              <w:left w:val="nil"/>
              <w:bottom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w:t>
            </w:r>
          </w:p>
        </w:tc>
      </w:tr>
      <w:tr w:rsidR="00B27B32" w:rsidRPr="008B4F80" w:rsidTr="00B27B32">
        <w:trPr>
          <w:trHeight w:val="300"/>
          <w:jc w:val="center"/>
        </w:trPr>
        <w:tc>
          <w:tcPr>
            <w:tcW w:w="4142" w:type="dxa"/>
            <w:tcBorders>
              <w:top w:val="nil"/>
              <w:left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sidRPr="008B4F80">
              <w:rPr>
                <w:rFonts w:ascii="Times New Roman" w:eastAsia="Times New Roman" w:hAnsi="Times New Roman" w:cs="Times New Roman"/>
                <w:color w:val="000000"/>
                <w:sz w:val="24"/>
                <w:szCs w:val="24"/>
                <w:lang w:eastAsia="en-GB"/>
              </w:rPr>
              <w:instrText>ADDIN CSL_CITATION {"citationItems":[{"id":"ITEM-1","itemData":{"author":[{"dropping-particle":"","family":"Lewis","given":"S.L.","non-dropping-particle":"","parse-names":false,"suffix":""},{"dropping-particle":"","family":"Lopez-Gonzalez","given":"G.","non-dropping-particle":"","parse-names":false,"suffix":""},{"dropping-particle":"","family":"Sonké","given":"B.","non-dropping-particle":"","parse-names":false,"suffix":""},{"dropping-particle":"","family":"Affum-Baffoe","given":"K.","non-dropping-particle":"","parse-names":false,"suffix":""},{"dropping-particle":"","family":"Baker","given":"T.R.","non-dropping-particle":"","parse-names":false,"suffix":""},{"dropping-particle":"","family":"Ojo","given":"L.O.","non-dropping-particle":"","parse-names":false,"suffix":""},{"dropping-particle":"","family":"Phillips","given":"O.L.","non-dropping-particle":"","parse-names":false,"suffix":""},{"dropping-particle":"","family":"Reitsma","given":"J.M.","non-dropping-particle":"","parse-names":false,"suffix":""},{"dropping-particle":"","family":"White","given":"L.","non-dropping-particle":"","parse-names":false,"suffix":""},{"dropping-particle":"","family":"Comiskey","given":"J.A.","non-dropping-particle":"","parse-names":false,"suffix":""}],"container-title":"Nature","id":"ITEM-1","issued":{"date-parts":[["2009"]]},"page":"1003–1006","title":"Increasing carbon storage in intact African tropical forests","type":"article-journal","volume":"457"},"uris":["http://www.mendeley.com/documents/?uuid=0bef51ef-ea24-44a5-98e7-f1b1a985a57c"]}],"mendeley":{"formattedCitation":"(Lewis et al. 2009)","manualFormatting":"Lewis et al. (2009)","plainTextFormattedCitation":"(Lewis et al. 2009)","previouslyFormattedCitation":"(Lewis et al. 2009)"},"properties":{"noteIndex":0},"schema":"https://github.com/citation-style-language/schema/raw/master/csl-citation.json"}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8B4F80">
              <w:rPr>
                <w:rFonts w:ascii="Times New Roman" w:eastAsia="Times New Roman" w:hAnsi="Times New Roman" w:cs="Times New Roman"/>
                <w:noProof/>
                <w:color w:val="000000"/>
                <w:sz w:val="24"/>
                <w:szCs w:val="24"/>
                <w:lang w:eastAsia="en-GB"/>
              </w:rPr>
              <w:t>Lewis et al. (2009)</w:t>
            </w:r>
            <w:r w:rsidRPr="008B4F80">
              <w:rPr>
                <w:rStyle w:val="Appelnotedebasdep"/>
                <w:rFonts w:ascii="Times New Roman" w:eastAsia="Times New Roman" w:hAnsi="Times New Roman" w:cs="Times New Roman"/>
                <w:color w:val="000000"/>
                <w:sz w:val="24"/>
                <w:szCs w:val="24"/>
                <w:lang w:eastAsia="en-GB"/>
              </w:rPr>
              <w:fldChar w:fldCharType="end"/>
            </w:r>
          </w:p>
        </w:tc>
        <w:tc>
          <w:tcPr>
            <w:tcW w:w="2835" w:type="dxa"/>
            <w:tcBorders>
              <w:top w:val="nil"/>
              <w:left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Africa</w:t>
            </w:r>
          </w:p>
        </w:tc>
        <w:tc>
          <w:tcPr>
            <w:tcW w:w="2072" w:type="dxa"/>
            <w:tcBorders>
              <w:top w:val="nil"/>
              <w:left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Weibull</w:t>
            </w:r>
          </w:p>
        </w:tc>
        <w:tc>
          <w:tcPr>
            <w:tcW w:w="4338" w:type="dxa"/>
            <w:tcBorders>
              <w:top w:val="nil"/>
              <w:left w:val="nil"/>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H=54.01×(1-</m:t>
                </m:r>
                <m:r>
                  <m:rPr>
                    <m:sty m:val="p"/>
                  </m:rPr>
                  <w:rPr>
                    <w:rFonts w:ascii="Cambria Math" w:eastAsia="Times New Roman" w:hAnsi="Cambria Math" w:cs="Times New Roman"/>
                    <w:color w:val="000000"/>
                    <w:sz w:val="24"/>
                    <w:szCs w:val="24"/>
                    <w:lang w:eastAsia="en-GB"/>
                  </w:rPr>
                  <m:t>exp⁡</m:t>
                </m:r>
                <m:r>
                  <w:rPr>
                    <w:rFonts w:ascii="Cambria Math" w:eastAsia="Times New Roman" w:hAnsi="Cambria Math" w:cs="Times New Roman"/>
                    <w:color w:val="000000"/>
                    <w:sz w:val="24"/>
                    <w:szCs w:val="24"/>
                    <w:lang w:eastAsia="en-GB"/>
                  </w:rPr>
                  <m:t>(-0.053×</m:t>
                </m:r>
                <m:sSup>
                  <m:sSupPr>
                    <m:ctrlPr>
                      <w:rPr>
                        <w:rFonts w:ascii="Cambria Math" w:eastAsia="Times New Roman" w:hAnsi="Cambria Math" w:cs="Times New Roman"/>
                        <w:i/>
                        <w:color w:val="000000"/>
                        <w:sz w:val="24"/>
                        <w:szCs w:val="24"/>
                        <w:lang w:eastAsia="en-GB"/>
                      </w:rPr>
                    </m:ctrlPr>
                  </m:sSupPr>
                  <m:e>
                    <m:r>
                      <w:rPr>
                        <w:rFonts w:ascii="Cambria Math" w:eastAsia="Times New Roman" w:hAnsi="Cambria Math" w:cs="Times New Roman"/>
                        <w:color w:val="000000"/>
                        <w:sz w:val="24"/>
                        <w:szCs w:val="24"/>
                        <w:lang w:eastAsia="en-GB"/>
                      </w:rPr>
                      <m:t>D</m:t>
                    </m:r>
                  </m:e>
                  <m:sup>
                    <m:r>
                      <w:rPr>
                        <w:rFonts w:ascii="Cambria Math" w:eastAsia="Times New Roman" w:hAnsi="Cambria Math" w:cs="Times New Roman"/>
                        <w:color w:val="000000"/>
                        <w:sz w:val="24"/>
                        <w:szCs w:val="24"/>
                        <w:lang w:eastAsia="en-GB"/>
                      </w:rPr>
                      <m:t>0.759</m:t>
                    </m:r>
                  </m:sup>
                </m:sSup>
                <m:r>
                  <w:rPr>
                    <w:rFonts w:ascii="Cambria Math" w:eastAsia="Times New Roman" w:hAnsi="Cambria Math" w:cs="Times New Roman"/>
                    <w:color w:val="000000"/>
                    <w:sz w:val="24"/>
                    <w:szCs w:val="24"/>
                    <w:lang w:eastAsia="en-GB"/>
                  </w:rPr>
                  <m:t>)</m:t>
                </m:r>
              </m:oMath>
            </m:oMathPara>
          </w:p>
        </w:tc>
        <w:tc>
          <w:tcPr>
            <w:tcW w:w="567" w:type="dxa"/>
            <w:tcBorders>
              <w:top w:val="nil"/>
              <w:left w:val="nil"/>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G</w:t>
            </w:r>
          </w:p>
        </w:tc>
      </w:tr>
      <w:tr w:rsidR="00B27B32" w:rsidRPr="008B4F80" w:rsidTr="00B27B32">
        <w:trPr>
          <w:trHeight w:val="300"/>
          <w:jc w:val="center"/>
        </w:trPr>
        <w:tc>
          <w:tcPr>
            <w:tcW w:w="4142" w:type="dxa"/>
            <w:tcBorders>
              <w:top w:val="nil"/>
              <w:left w:val="nil"/>
              <w:bottom w:val="single" w:sz="4" w:space="0" w:color="auto"/>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Style w:val="Appelnotedebasdep"/>
                <w:rFonts w:ascii="Times New Roman" w:eastAsia="Times New Roman" w:hAnsi="Times New Roman" w:cs="Times New Roman"/>
                <w:color w:val="000000"/>
                <w:sz w:val="24"/>
                <w:szCs w:val="24"/>
                <w:lang w:eastAsia="en-GB"/>
              </w:rPr>
              <w:fldChar w:fldCharType="begin" w:fldLock="1"/>
            </w:r>
            <w:r>
              <w:rPr>
                <w:rFonts w:ascii="Times New Roman" w:eastAsia="Times New Roman" w:hAnsi="Times New Roman" w:cs="Times New Roman"/>
                <w:color w:val="000000"/>
                <w:sz w:val="24"/>
                <w:szCs w:val="24"/>
                <w:lang w:eastAsia="en-GB"/>
              </w:rPr>
              <w:instrText>ADDIN CSL_CITATION {"citationItems":[{"id":"ITEM-1","itemData":{"DOI":"10.1016/j.foreco.2018.07.056","ISSN":"03781127","abstract":"Tropical forests play a key role in regulating the terrestrial carbon cycle and climate change by storing a large amount of carbon. Yet, there is considerable uncertainty about the amount and spatial variation of aboveground biomass (AGB), especially in the relatively less studied African tropical forests. In this study, we explore the local-scale variation and determinants of plot-level AGB, between and within two types of forests, the Celtis and Manilkara forests, growing under the same climate but on different geological substrates in the northern Republic of Congo. In each forest site, all trees ≥10 cm diameter were censured in 36 × 1-ha plots and we measured tree height and crown size using a subsample of 18 × 1-ha of these plots. We developed height-diameter and crown-diameter allometric relationships and tested whether they differed between the two sites. For each 1-ha plot, we further estimated the AGB and calculated structural attributes (stem density and basal area), composition attributes (wood density) and architectural attributes (tree height and crown size), the latter being derived from site-specific allometric relationships. We found strong between-site differences in height-diameter and crown-diameter allometries. For a given diameter, trees were taller in the Celtis forest while they had larger crown in the Manilkara forest. Similar trends were found for the sixteen species present in both forest sites, suggesting an environmental control of tree allometry. Although there were some between-site differences in forest structure, composition and architecture, we did not detect any significant difference in mean AGB between the Celtis and the Manilkara forests. The AGB variation was related to the heterogeneous distribution of large trees, and influenced by basal area, height and crown dimensions, and to a lesser extent wood density. These forest attributes have strong practical implications on emerging remote-sensing technologies for carbon monitoring in tropical forests.","author":[{"dropping-particle":"","family":"Loubota Panzou","given":"Grace Jopaul","non-dropping-particle":"","parse-names":false,"suffix":""},{"dropping-particle":"","family":"Fayolle","given":"Adeline","non-dropping-particle":"","parse-names":false,"suffix":""},{"dropping-particle":"","family":"Feldpausch","given":"Ted R.","non-dropping-particle":"","parse-names":false,"suffix":""},{"dropping-particle":"","family":"Ligot","given":"Gauthier","non-dropping-particle":"","parse-names":false,"suffix":""},{"dropping-particle":"","family":"Doucet","given":"Jean Louis","non-dropping-particle":"","parse-names":false,"suffix":""},{"dropping-particle":"","family":"Forni","given":"Eric","non-dropping-particle":"","parse-names":false,"suffix":""},{"dropping-particle":"","family":"Zombo","given":"Isaac","non-dropping-particle":"","parse-names":false,"suffix":""},{"dropping-particle":"","family":"Mazengue","given":"Mathurin","non-dropping-particle":"","parse-names":false,"suffix":""},{"dropping-particle":"","family":"Loumeto","given":"Jean Joël","non-dropping-particle":"","parse-names":false,"suffix":""},{"dropping-particle":"","family":"Gourlet-Fleury","given":"Sylvie","non-dropping-particle":"","parse-names":false,"suffix":""}],"container-title":"Forest Ecology and Management","id":"ITEM-1","issue":"July","issued":{"date-parts":[["2018"]]},"page":"570-578","publisher":"Elsevier","title":"What controls local-scale aboveground biomass variation in central Africa? Testing structural, composition and architectural attributes","type":"article-journal","volume":"429"},"uris":["http://www.mendeley.com/documents/?uuid=b886c231-2f69-4f78-9c37-fda52bdb854b"]}],"mendeley":{"formattedCitation":"(Loubota Panzou et al. 2018a)","manualFormatting":"Loubota Panzou et al. (2018a)","plainTextFormattedCitation":"(Loubota Panzou et al. 2018a)","previouslyFormattedCitation":"(Loubota Panzou et al. 2018a)"},"properties":{"noteIndex":0},"schema":"https://github.com/citation-style-language/schema/raw/master/csl-citation.json"}</w:instrText>
            </w:r>
            <w:r w:rsidRPr="008B4F80">
              <w:rPr>
                <w:rStyle w:val="Appelnotedebasdep"/>
                <w:rFonts w:ascii="Times New Roman" w:eastAsia="Times New Roman" w:hAnsi="Times New Roman" w:cs="Times New Roman"/>
                <w:color w:val="000000"/>
                <w:sz w:val="24"/>
                <w:szCs w:val="24"/>
                <w:lang w:eastAsia="en-GB"/>
              </w:rPr>
              <w:fldChar w:fldCharType="separate"/>
            </w:r>
            <w:r w:rsidRPr="00912F7B">
              <w:rPr>
                <w:rFonts w:ascii="Times New Roman" w:eastAsia="Times New Roman" w:hAnsi="Times New Roman" w:cs="Times New Roman"/>
                <w:noProof/>
                <w:color w:val="000000"/>
                <w:sz w:val="24"/>
                <w:szCs w:val="24"/>
                <w:lang w:eastAsia="en-GB"/>
              </w:rPr>
              <w:t xml:space="preserve">Loubota Panzou et al. </w:t>
            </w:r>
            <w:r>
              <w:rPr>
                <w:rFonts w:ascii="Times New Roman" w:eastAsia="Times New Roman" w:hAnsi="Times New Roman" w:cs="Times New Roman"/>
                <w:noProof/>
                <w:color w:val="000000"/>
                <w:sz w:val="24"/>
                <w:szCs w:val="24"/>
                <w:lang w:eastAsia="en-GB"/>
              </w:rPr>
              <w:t>(</w:t>
            </w:r>
            <w:r w:rsidRPr="00912F7B">
              <w:rPr>
                <w:rFonts w:ascii="Times New Roman" w:eastAsia="Times New Roman" w:hAnsi="Times New Roman" w:cs="Times New Roman"/>
                <w:noProof/>
                <w:color w:val="000000"/>
                <w:sz w:val="24"/>
                <w:szCs w:val="24"/>
                <w:lang w:eastAsia="en-GB"/>
              </w:rPr>
              <w:t>2018a)</w:t>
            </w:r>
            <w:r w:rsidRPr="008B4F80">
              <w:rPr>
                <w:rStyle w:val="Appelnotedebasdep"/>
                <w:rFonts w:ascii="Times New Roman" w:eastAsia="Times New Roman" w:hAnsi="Times New Roman" w:cs="Times New Roman"/>
                <w:color w:val="000000"/>
                <w:sz w:val="24"/>
                <w:szCs w:val="24"/>
                <w:lang w:eastAsia="en-GB"/>
              </w:rPr>
              <w:fldChar w:fldCharType="end"/>
            </w:r>
          </w:p>
        </w:tc>
        <w:tc>
          <w:tcPr>
            <w:tcW w:w="2835" w:type="dxa"/>
            <w:tcBorders>
              <w:top w:val="nil"/>
              <w:left w:val="nil"/>
              <w:bottom w:val="single" w:sz="4" w:space="0" w:color="auto"/>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r w:rsidRPr="008B4F80">
              <w:rPr>
                <w:rFonts w:ascii="Times New Roman" w:eastAsia="Times New Roman" w:hAnsi="Times New Roman" w:cs="Times New Roman"/>
                <w:color w:val="000000"/>
                <w:sz w:val="24"/>
                <w:szCs w:val="24"/>
                <w:lang w:eastAsia="en-GB"/>
              </w:rPr>
              <w:t>Local (Republic of Congo)</w:t>
            </w:r>
          </w:p>
        </w:tc>
        <w:tc>
          <w:tcPr>
            <w:tcW w:w="2072" w:type="dxa"/>
            <w:tcBorders>
              <w:top w:val="nil"/>
              <w:left w:val="nil"/>
              <w:bottom w:val="single" w:sz="4" w:space="0" w:color="auto"/>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w:proofErr w:type="spellStart"/>
            <w:r w:rsidRPr="008B4F80">
              <w:rPr>
                <w:rFonts w:ascii="Times New Roman" w:eastAsia="Times New Roman" w:hAnsi="Times New Roman" w:cs="Times New Roman"/>
                <w:color w:val="000000"/>
                <w:sz w:val="24"/>
                <w:szCs w:val="24"/>
                <w:lang w:eastAsia="en-GB"/>
              </w:rPr>
              <w:t>Michaelis-Menten</w:t>
            </w:r>
            <w:proofErr w:type="spellEnd"/>
          </w:p>
        </w:tc>
        <w:tc>
          <w:tcPr>
            <w:tcW w:w="4338" w:type="dxa"/>
            <w:tcBorders>
              <w:top w:val="nil"/>
              <w:left w:val="nil"/>
              <w:bottom w:val="single" w:sz="4" w:space="0" w:color="auto"/>
              <w:right w:val="nil"/>
            </w:tcBorders>
            <w:shd w:val="clear" w:color="auto" w:fill="auto"/>
            <w:noWrap/>
            <w:vAlign w:val="center"/>
            <w:hideMark/>
          </w:tcPr>
          <w:p w:rsidR="00B27B32" w:rsidRPr="008B4F80" w:rsidRDefault="00B27B32" w:rsidP="00F20057">
            <w:pPr>
              <w:spacing w:after="0" w:line="480" w:lineRule="auto"/>
              <w:rPr>
                <w:rFonts w:ascii="Times New Roman" w:eastAsia="Times New Roman" w:hAnsi="Times New Roman" w:cs="Times New Roman"/>
                <w:color w:val="000000"/>
                <w:sz w:val="24"/>
                <w:szCs w:val="24"/>
                <w:lang w:eastAsia="en-GB"/>
              </w:rPr>
            </w:pPr>
            <m:oMathPara>
              <m:oMathParaPr>
                <m:jc m:val="left"/>
              </m:oMathParaPr>
              <m:oMath>
                <m:r>
                  <w:rPr>
                    <w:rFonts w:ascii="Cambria Math" w:eastAsia="Times New Roman" w:hAnsi="Cambria Math" w:cs="Times New Roman"/>
                    <w:color w:val="000000"/>
                    <w:sz w:val="24"/>
                    <w:szCs w:val="24"/>
                    <w:lang w:eastAsia="en-GB"/>
                  </w:rPr>
                  <m:t>H=55.38×D/(43.31+D)</m:t>
                </m:r>
              </m:oMath>
            </m:oMathPara>
          </w:p>
        </w:tc>
        <w:tc>
          <w:tcPr>
            <w:tcW w:w="567" w:type="dxa"/>
            <w:tcBorders>
              <w:top w:val="nil"/>
              <w:left w:val="nil"/>
              <w:bottom w:val="single" w:sz="4" w:space="0" w:color="auto"/>
              <w:right w:val="nil"/>
            </w:tcBorders>
            <w:vAlign w:val="center"/>
          </w:tcPr>
          <w:p w:rsidR="00B27B32" w:rsidRDefault="00B27B32" w:rsidP="00B27B32">
            <w:pPr>
              <w:spacing w:after="0" w:line="48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w:t>
            </w:r>
          </w:p>
        </w:tc>
      </w:tr>
    </w:tbl>
    <w:p w:rsidR="00476525" w:rsidRDefault="00476525" w:rsidP="00476525">
      <w:pPr>
        <w:spacing w:line="480" w:lineRule="auto"/>
      </w:pPr>
      <w:r w:rsidRPr="008B4F80">
        <w:rPr>
          <w:rFonts w:ascii="Times New Roman" w:eastAsia="Times New Roman" w:hAnsi="Times New Roman" w:cs="Times New Roman"/>
          <w:color w:val="000000"/>
          <w:sz w:val="24"/>
          <w:szCs w:val="24"/>
          <w:lang w:eastAsia="en-GB"/>
        </w:rPr>
        <w:t>DRC: Democratic Republic of Congo</w:t>
      </w:r>
    </w:p>
    <w:p w:rsidR="00476525" w:rsidRPr="00065E08" w:rsidRDefault="00476525" w:rsidP="00476525">
      <w:pPr>
        <w:spacing w:line="480" w:lineRule="auto"/>
        <w:rPr>
          <w:rFonts w:ascii="Times New Roman" w:hAnsi="Times New Roman" w:cs="Times New Roman"/>
          <w:noProof/>
          <w:sz w:val="24"/>
          <w:szCs w:val="24"/>
          <w:lang w:eastAsia="en-GB"/>
        </w:rPr>
      </w:pPr>
    </w:p>
    <w:p w:rsidR="00961F5A" w:rsidRDefault="005B38CB"/>
    <w:sectPr w:rsidR="00961F5A" w:rsidSect="00ED3DAC">
      <w:headerReference w:type="default" r:id="rId7"/>
      <w:pgSz w:w="16838" w:h="11906" w:orient="landscape"/>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CB" w:rsidRDefault="005B38CB">
      <w:pPr>
        <w:spacing w:after="0" w:line="240" w:lineRule="auto"/>
      </w:pPr>
      <w:r>
        <w:separator/>
      </w:r>
    </w:p>
  </w:endnote>
  <w:endnote w:type="continuationSeparator" w:id="0">
    <w:p w:rsidR="005B38CB" w:rsidRDefault="005B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CB" w:rsidRDefault="005B38CB">
      <w:pPr>
        <w:spacing w:after="0" w:line="240" w:lineRule="auto"/>
      </w:pPr>
      <w:r>
        <w:separator/>
      </w:r>
    </w:p>
  </w:footnote>
  <w:footnote w:type="continuationSeparator" w:id="0">
    <w:p w:rsidR="005B38CB" w:rsidRDefault="005B3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A5" w:rsidRDefault="005B38C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25"/>
    <w:rsid w:val="00476525"/>
    <w:rsid w:val="005B38CB"/>
    <w:rsid w:val="00882678"/>
    <w:rsid w:val="00910588"/>
    <w:rsid w:val="009326CA"/>
    <w:rsid w:val="00B106FB"/>
    <w:rsid w:val="00B13EFF"/>
    <w:rsid w:val="00B27B32"/>
    <w:rsid w:val="00E10378"/>
    <w:rsid w:val="00E26CA8"/>
    <w:rsid w:val="00E30E33"/>
    <w:rsid w:val="00EB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476525"/>
    <w:rPr>
      <w:vertAlign w:val="superscript"/>
    </w:rPr>
  </w:style>
  <w:style w:type="paragraph" w:styleId="En-tte">
    <w:name w:val="header"/>
    <w:basedOn w:val="Normal"/>
    <w:link w:val="En-tteCar"/>
    <w:uiPriority w:val="99"/>
    <w:unhideWhenUsed/>
    <w:rsid w:val="00476525"/>
    <w:pPr>
      <w:tabs>
        <w:tab w:val="center" w:pos="4536"/>
        <w:tab w:val="right" w:pos="9072"/>
      </w:tabs>
      <w:spacing w:after="0" w:line="240" w:lineRule="auto"/>
    </w:pPr>
  </w:style>
  <w:style w:type="character" w:customStyle="1" w:styleId="En-tteCar">
    <w:name w:val="En-tête Car"/>
    <w:basedOn w:val="Policepardfaut"/>
    <w:link w:val="En-tte"/>
    <w:uiPriority w:val="99"/>
    <w:rsid w:val="00476525"/>
  </w:style>
  <w:style w:type="paragraph" w:styleId="Textedebulles">
    <w:name w:val="Balloon Text"/>
    <w:basedOn w:val="Normal"/>
    <w:link w:val="TextedebullesCar"/>
    <w:uiPriority w:val="99"/>
    <w:semiHidden/>
    <w:unhideWhenUsed/>
    <w:rsid w:val="004765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6525"/>
    <w:rPr>
      <w:rFonts w:ascii="Tahoma" w:hAnsi="Tahoma" w:cs="Tahoma"/>
      <w:sz w:val="16"/>
      <w:szCs w:val="16"/>
    </w:rPr>
  </w:style>
  <w:style w:type="character" w:styleId="Numrodeligne">
    <w:name w:val="line number"/>
    <w:basedOn w:val="Policepardfaut"/>
    <w:uiPriority w:val="99"/>
    <w:semiHidden/>
    <w:unhideWhenUsed/>
    <w:rsid w:val="00476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476525"/>
    <w:rPr>
      <w:vertAlign w:val="superscript"/>
    </w:rPr>
  </w:style>
  <w:style w:type="paragraph" w:styleId="En-tte">
    <w:name w:val="header"/>
    <w:basedOn w:val="Normal"/>
    <w:link w:val="En-tteCar"/>
    <w:uiPriority w:val="99"/>
    <w:unhideWhenUsed/>
    <w:rsid w:val="00476525"/>
    <w:pPr>
      <w:tabs>
        <w:tab w:val="center" w:pos="4536"/>
        <w:tab w:val="right" w:pos="9072"/>
      </w:tabs>
      <w:spacing w:after="0" w:line="240" w:lineRule="auto"/>
    </w:pPr>
  </w:style>
  <w:style w:type="character" w:customStyle="1" w:styleId="En-tteCar">
    <w:name w:val="En-tête Car"/>
    <w:basedOn w:val="Policepardfaut"/>
    <w:link w:val="En-tte"/>
    <w:uiPriority w:val="99"/>
    <w:rsid w:val="00476525"/>
  </w:style>
  <w:style w:type="paragraph" w:styleId="Textedebulles">
    <w:name w:val="Balloon Text"/>
    <w:basedOn w:val="Normal"/>
    <w:link w:val="TextedebullesCar"/>
    <w:uiPriority w:val="99"/>
    <w:semiHidden/>
    <w:unhideWhenUsed/>
    <w:rsid w:val="004765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6525"/>
    <w:rPr>
      <w:rFonts w:ascii="Tahoma" w:hAnsi="Tahoma" w:cs="Tahoma"/>
      <w:sz w:val="16"/>
      <w:szCs w:val="16"/>
    </w:rPr>
  </w:style>
  <w:style w:type="character" w:styleId="Numrodeligne">
    <w:name w:val="line number"/>
    <w:basedOn w:val="Policepardfaut"/>
    <w:uiPriority w:val="99"/>
    <w:semiHidden/>
    <w:unhideWhenUsed/>
    <w:rsid w:val="0047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6694</Words>
  <Characters>38160</Characters>
  <Application>Microsoft Office Word</Application>
  <DocSecurity>0</DocSecurity>
  <Lines>318</Lines>
  <Paragraphs>89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Reviseur 1-2</dc:creator>
  <cp:lastModifiedBy>Reviseur 1-2</cp:lastModifiedBy>
  <cp:revision>5</cp:revision>
  <dcterms:created xsi:type="dcterms:W3CDTF">2020-02-12T10:00:00Z</dcterms:created>
  <dcterms:modified xsi:type="dcterms:W3CDTF">2021-05-17T23:09:00Z</dcterms:modified>
</cp:coreProperties>
</file>