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AAA4" w14:textId="77777777" w:rsidR="00E84D11" w:rsidRPr="00C51260" w:rsidRDefault="00E84D11" w:rsidP="00E84D11">
      <w:pPr>
        <w:shd w:val="clear" w:color="auto" w:fill="FFFFFF"/>
        <w:spacing w:line="480" w:lineRule="auto"/>
        <w:rPr>
          <w:b/>
          <w:bCs/>
          <w:color w:val="000000" w:themeColor="text1"/>
        </w:rPr>
      </w:pPr>
      <w:r w:rsidRPr="00C51260">
        <w:rPr>
          <w:b/>
          <w:bCs/>
          <w:color w:val="000000" w:themeColor="text1"/>
        </w:rPr>
        <w:t>Appendix S1</w:t>
      </w:r>
    </w:p>
    <w:p w14:paraId="419A0EC0" w14:textId="77777777" w:rsidR="00E84D11" w:rsidRPr="00C51260" w:rsidRDefault="00E84D11" w:rsidP="00E84D11">
      <w:pPr>
        <w:shd w:val="clear" w:color="auto" w:fill="FFFFFF"/>
        <w:spacing w:line="480" w:lineRule="auto"/>
        <w:rPr>
          <w:i/>
          <w:iCs/>
          <w:color w:val="000000" w:themeColor="text1"/>
        </w:rPr>
      </w:pPr>
      <w:r w:rsidRPr="00C51260">
        <w:rPr>
          <w:i/>
          <w:iCs/>
          <w:color w:val="000000" w:themeColor="text1"/>
        </w:rPr>
        <w:t>Vegetation Comparison</w:t>
      </w:r>
    </w:p>
    <w:p w14:paraId="4E34A5EE" w14:textId="360C83CE" w:rsidR="00E84D11" w:rsidRPr="00E25A99" w:rsidRDefault="00E84D11" w:rsidP="00E84D11">
      <w:pPr>
        <w:shd w:val="clear" w:color="auto" w:fill="FFFFFF"/>
        <w:spacing w:line="480" w:lineRule="auto"/>
        <w:rPr>
          <w:color w:val="000000" w:themeColor="text1"/>
        </w:rPr>
      </w:pPr>
      <w:r w:rsidRPr="00C51260">
        <w:rPr>
          <w:color w:val="000000" w:themeColor="text1"/>
        </w:rPr>
        <w:tab/>
      </w:r>
      <w:r w:rsidRPr="00E25A99">
        <w:rPr>
          <w:color w:val="000000" w:themeColor="text1"/>
        </w:rPr>
        <w:t>We used data collected by one of the authors from one hectare vegetation plots at each site. In these plots, we identified all trees, palms, and lianas with a diameter at breast height greater than 10 cm to the species level when possible, and if not, to the genus level</w:t>
      </w:r>
      <w:r w:rsidR="00EC3CE6">
        <w:rPr>
          <w:color w:val="000000" w:themeColor="text1"/>
        </w:rPr>
        <w:t xml:space="preserve"> (</w:t>
      </w:r>
      <w:r w:rsidR="004425E4">
        <w:rPr>
          <w:color w:val="000000" w:themeColor="text1"/>
        </w:rPr>
        <w:t>S</w:t>
      </w:r>
      <w:r w:rsidR="00EC3CE6">
        <w:rPr>
          <w:color w:val="000000" w:themeColor="text1"/>
        </w:rPr>
        <w:t>upplementary data set 3)</w:t>
      </w:r>
      <w:r w:rsidRPr="00E25A99">
        <w:rPr>
          <w:color w:val="000000" w:themeColor="text1"/>
        </w:rPr>
        <w:t xml:space="preserve">. To compare the vegetative composition of Santa Rosa and Rey Zamuro, we calculated the Jaccard Index (number of shared genera/total number of genera; Janson </w:t>
      </w:r>
      <w:r w:rsidR="00A804AA">
        <w:rPr>
          <w:color w:val="000000" w:themeColor="text1"/>
        </w:rPr>
        <w:t>&amp;</w:t>
      </w:r>
      <w:r w:rsidRPr="00E25A99">
        <w:rPr>
          <w:color w:val="000000" w:themeColor="text1"/>
        </w:rPr>
        <w:t xml:space="preserve"> Vegelius 1981). Additionally, we used the data from this project, Tinigua National Park (Meta, Colombia), online herbarium specimens from the Field Museum, Missouri Botanical Garden, and Kew, and literature values from a Google Scholar search of “’species name’ AND seed” to determine the seed width of all the species dispersed by endozoochory. We used a Fligner-Policello test to determine whether the median seed width available at the two sites differed. There was no difference in the median seed width of trees, palms, and lianas dispersed by endozoochory at the two sites (FP Test: U = -0.292, p = 0.773).</w:t>
      </w:r>
    </w:p>
    <w:p w14:paraId="54CE6E8E" w14:textId="77777777" w:rsidR="00E84D11" w:rsidRPr="00E25A99" w:rsidRDefault="00E84D11" w:rsidP="00E84D11">
      <w:pPr>
        <w:shd w:val="clear" w:color="auto" w:fill="FFFFFF"/>
        <w:spacing w:line="480" w:lineRule="auto"/>
        <w:rPr>
          <w:color w:val="000000" w:themeColor="text1"/>
        </w:rPr>
      </w:pPr>
    </w:p>
    <w:p w14:paraId="0E74284A" w14:textId="77777777" w:rsidR="00E84D11" w:rsidRPr="00E25A99" w:rsidRDefault="00E84D11" w:rsidP="00E84D11">
      <w:pPr>
        <w:spacing w:line="480" w:lineRule="auto"/>
        <w:rPr>
          <w:b/>
          <w:bCs/>
          <w:color w:val="000000" w:themeColor="text1"/>
        </w:rPr>
      </w:pPr>
      <w:r w:rsidRPr="00E25A99">
        <w:rPr>
          <w:b/>
          <w:bCs/>
          <w:color w:val="000000" w:themeColor="text1"/>
        </w:rPr>
        <w:t>Appendix S2</w:t>
      </w:r>
    </w:p>
    <w:p w14:paraId="193A452D" w14:textId="77777777" w:rsidR="00E84D11" w:rsidRPr="00C51260" w:rsidRDefault="00E84D11" w:rsidP="00E84D11">
      <w:pPr>
        <w:spacing w:line="480" w:lineRule="auto"/>
        <w:rPr>
          <w:i/>
          <w:iCs/>
          <w:color w:val="000000" w:themeColor="text1"/>
        </w:rPr>
      </w:pPr>
      <w:r w:rsidRPr="00C51260">
        <w:rPr>
          <w:i/>
          <w:iCs/>
          <w:color w:val="000000" w:themeColor="text1"/>
        </w:rPr>
        <w:t xml:space="preserve">Permutation Test for Equal Variances </w:t>
      </w:r>
    </w:p>
    <w:p w14:paraId="6B7C7BDA" w14:textId="77777777" w:rsidR="00E84D11" w:rsidRPr="003D7C43" w:rsidRDefault="00E84D11" w:rsidP="00E84D11">
      <w:pPr>
        <w:spacing w:line="480" w:lineRule="auto"/>
        <w:rPr>
          <w:color w:val="000000" w:themeColor="text1"/>
        </w:rPr>
      </w:pPr>
      <w:r w:rsidRPr="00C51260">
        <w:rPr>
          <w:color w:val="000000" w:themeColor="text1"/>
        </w:rPr>
        <w:tab/>
      </w:r>
      <w:r w:rsidRPr="003D7C43">
        <w:rPr>
          <w:color w:val="000000" w:themeColor="text1"/>
        </w:rPr>
        <w:t xml:space="preserve">We used a permutation test to determine whether the distribution of sizes of seeds dispersed by each species had equal variance. This is an assumption by the Wilcoxon-Mann-Whitney test to compare medians. For each pair of primate species, we first calculated the actual differences in variance between the two species. Then, we permuted which seeds were dispersed by which species and recalculated the difference between variances 10,000 times. We next calculated the proportion of those permutations that were more extreme, on either tail, than the </w:t>
      </w:r>
      <w:r w:rsidRPr="003D7C43">
        <w:rPr>
          <w:color w:val="000000" w:themeColor="text1"/>
        </w:rPr>
        <w:lastRenderedPageBreak/>
        <w:t>actual difference in variance between the two species. If this proportion was less than 0.05, we considered the species to have unequal variances.</w:t>
      </w:r>
    </w:p>
    <w:p w14:paraId="21A8565B" w14:textId="77777777" w:rsidR="00E84D11" w:rsidRPr="003D7C43" w:rsidRDefault="00E84D11" w:rsidP="00E84D11">
      <w:pPr>
        <w:spacing w:line="480" w:lineRule="auto"/>
        <w:rPr>
          <w:color w:val="000000" w:themeColor="text1"/>
        </w:rPr>
      </w:pPr>
    </w:p>
    <w:p w14:paraId="520593C9" w14:textId="77777777" w:rsidR="00E84D11" w:rsidRDefault="00E84D11" w:rsidP="00E84D11">
      <w:pPr>
        <w:spacing w:line="480" w:lineRule="auto"/>
        <w:rPr>
          <w:color w:val="000000" w:themeColor="text1"/>
        </w:rPr>
      </w:pPr>
      <w:r w:rsidRPr="003D7C43">
        <w:rPr>
          <w:b/>
          <w:bCs/>
          <w:color w:val="000000" w:themeColor="text1"/>
        </w:rPr>
        <w:t xml:space="preserve">Table S1. </w:t>
      </w:r>
      <w:r w:rsidRPr="003D7C43">
        <w:rPr>
          <w:color w:val="000000" w:themeColor="text1"/>
        </w:rPr>
        <w:t xml:space="preserve">Results of two-tailed permutation tests (n=10,000) for differences in variance in the </w:t>
      </w:r>
      <w:r w:rsidRPr="00C51260">
        <w:rPr>
          <w:color w:val="000000" w:themeColor="text1"/>
        </w:rPr>
        <w:t xml:space="preserve">distribution of seed sizes dispersed by each species, </w:t>
      </w:r>
      <w:r w:rsidRPr="00C51260">
        <w:rPr>
          <w:i/>
          <w:iCs/>
          <w:color w:val="000000" w:themeColor="text1"/>
        </w:rPr>
        <w:t xml:space="preserve">Lagothrix lagothricha, Alouatta seniculus, </w:t>
      </w:r>
      <w:r w:rsidRPr="00C51260">
        <w:rPr>
          <w:color w:val="000000" w:themeColor="text1"/>
        </w:rPr>
        <w:t xml:space="preserve">and </w:t>
      </w:r>
      <w:r w:rsidRPr="00C51260">
        <w:rPr>
          <w:i/>
          <w:iCs/>
          <w:color w:val="000000" w:themeColor="text1"/>
        </w:rPr>
        <w:t>Sapajus apella</w:t>
      </w:r>
      <w:r w:rsidRPr="00C51260">
        <w:rPr>
          <w:color w:val="000000" w:themeColor="text1"/>
        </w:rPr>
        <w:t>. Results with p-values less than 0.05 indicate a statistically significant difference in variance.</w:t>
      </w:r>
    </w:p>
    <w:p w14:paraId="04440841" w14:textId="77777777" w:rsidR="00E84D11" w:rsidRPr="00C51260" w:rsidRDefault="00E84D11" w:rsidP="00E84D11">
      <w:pPr>
        <w:spacing w:line="480" w:lineRule="auto"/>
        <w:rPr>
          <w:color w:val="000000" w:themeColor="text1"/>
        </w:rPr>
      </w:pPr>
    </w:p>
    <w:tbl>
      <w:tblPr>
        <w:tblStyle w:val="TableGrid"/>
        <w:tblW w:w="0" w:type="auto"/>
        <w:tblLook w:val="04A0" w:firstRow="1" w:lastRow="0" w:firstColumn="1" w:lastColumn="0" w:noHBand="0" w:noVBand="1"/>
      </w:tblPr>
      <w:tblGrid>
        <w:gridCol w:w="5485"/>
        <w:gridCol w:w="3865"/>
      </w:tblGrid>
      <w:tr w:rsidR="00E84D11" w:rsidRPr="00C51260" w14:paraId="3F6B5815" w14:textId="77777777" w:rsidTr="000237E8">
        <w:tc>
          <w:tcPr>
            <w:tcW w:w="5485" w:type="dxa"/>
            <w:tcBorders>
              <w:top w:val="nil"/>
              <w:left w:val="nil"/>
              <w:bottom w:val="single" w:sz="4" w:space="0" w:color="auto"/>
              <w:right w:val="nil"/>
            </w:tcBorders>
          </w:tcPr>
          <w:p w14:paraId="40FD47DB" w14:textId="77777777" w:rsidR="00E84D11" w:rsidRPr="00C51260" w:rsidRDefault="00E84D11" w:rsidP="000237E8">
            <w:pPr>
              <w:rPr>
                <w:rFonts w:ascii="Arial" w:hAnsi="Arial" w:cs="Arial"/>
                <w:b/>
                <w:bCs/>
                <w:color w:val="000000" w:themeColor="text1"/>
                <w:sz w:val="20"/>
                <w:szCs w:val="20"/>
              </w:rPr>
            </w:pPr>
            <w:r w:rsidRPr="00C51260">
              <w:rPr>
                <w:rFonts w:ascii="Arial" w:hAnsi="Arial" w:cs="Arial"/>
                <w:b/>
                <w:bCs/>
                <w:color w:val="000000" w:themeColor="text1"/>
                <w:sz w:val="20"/>
                <w:szCs w:val="20"/>
              </w:rPr>
              <w:t>Comparison</w:t>
            </w:r>
          </w:p>
        </w:tc>
        <w:tc>
          <w:tcPr>
            <w:tcW w:w="3865" w:type="dxa"/>
            <w:tcBorders>
              <w:top w:val="nil"/>
              <w:left w:val="nil"/>
              <w:bottom w:val="single" w:sz="4" w:space="0" w:color="auto"/>
              <w:right w:val="nil"/>
            </w:tcBorders>
          </w:tcPr>
          <w:p w14:paraId="4FBA76C6" w14:textId="77777777" w:rsidR="00E84D11" w:rsidRPr="00C51260" w:rsidRDefault="00E84D11" w:rsidP="000237E8">
            <w:pPr>
              <w:jc w:val="center"/>
              <w:rPr>
                <w:rFonts w:ascii="Arial" w:hAnsi="Arial" w:cs="Arial"/>
                <w:b/>
                <w:bCs/>
                <w:color w:val="000000" w:themeColor="text1"/>
                <w:sz w:val="20"/>
                <w:szCs w:val="20"/>
              </w:rPr>
            </w:pPr>
            <w:r w:rsidRPr="00C51260">
              <w:rPr>
                <w:rFonts w:ascii="Arial" w:hAnsi="Arial" w:cs="Arial"/>
                <w:b/>
                <w:bCs/>
                <w:color w:val="000000" w:themeColor="text1"/>
                <w:sz w:val="20"/>
                <w:szCs w:val="20"/>
              </w:rPr>
              <w:t>p-value</w:t>
            </w:r>
          </w:p>
        </w:tc>
      </w:tr>
      <w:tr w:rsidR="00E84D11" w:rsidRPr="00C51260" w14:paraId="6541C7F7" w14:textId="77777777" w:rsidTr="000237E8">
        <w:tc>
          <w:tcPr>
            <w:tcW w:w="5485" w:type="dxa"/>
            <w:tcBorders>
              <w:left w:val="nil"/>
              <w:bottom w:val="nil"/>
              <w:right w:val="nil"/>
            </w:tcBorders>
          </w:tcPr>
          <w:p w14:paraId="141EE26B" w14:textId="77777777" w:rsidR="00E84D11" w:rsidRPr="00C51260" w:rsidRDefault="00E84D11" w:rsidP="000237E8">
            <w:pPr>
              <w:rPr>
                <w:rFonts w:ascii="Arial" w:hAnsi="Arial" w:cs="Arial"/>
                <w:i/>
                <w:iCs/>
                <w:color w:val="000000" w:themeColor="text1"/>
                <w:sz w:val="20"/>
                <w:szCs w:val="20"/>
              </w:rPr>
            </w:pPr>
            <w:r w:rsidRPr="00C51260">
              <w:rPr>
                <w:rFonts w:ascii="Arial" w:hAnsi="Arial" w:cs="Arial"/>
                <w:i/>
                <w:iCs/>
                <w:color w:val="000000" w:themeColor="text1"/>
                <w:sz w:val="20"/>
                <w:szCs w:val="20"/>
              </w:rPr>
              <w:t>Lagothrix lagothricha</w:t>
            </w:r>
            <w:r w:rsidRPr="00C51260">
              <w:rPr>
                <w:rFonts w:ascii="Arial" w:hAnsi="Arial" w:cs="Arial"/>
                <w:color w:val="000000" w:themeColor="text1"/>
                <w:sz w:val="20"/>
                <w:szCs w:val="20"/>
              </w:rPr>
              <w:t xml:space="preserve"> vs. </w:t>
            </w:r>
            <w:r w:rsidRPr="00C51260">
              <w:rPr>
                <w:rFonts w:ascii="Arial" w:hAnsi="Arial" w:cs="Arial"/>
                <w:i/>
                <w:iCs/>
                <w:color w:val="000000" w:themeColor="text1"/>
                <w:sz w:val="20"/>
                <w:szCs w:val="20"/>
              </w:rPr>
              <w:t>Alouatta seniculus</w:t>
            </w:r>
          </w:p>
        </w:tc>
        <w:tc>
          <w:tcPr>
            <w:tcW w:w="3865" w:type="dxa"/>
            <w:tcBorders>
              <w:left w:val="nil"/>
              <w:bottom w:val="nil"/>
              <w:right w:val="nil"/>
            </w:tcBorders>
          </w:tcPr>
          <w:p w14:paraId="7FE0CC9A" w14:textId="77777777" w:rsidR="00E84D11" w:rsidRPr="00C51260" w:rsidRDefault="00E84D11" w:rsidP="000237E8">
            <w:pPr>
              <w:jc w:val="center"/>
              <w:rPr>
                <w:rFonts w:ascii="Arial" w:hAnsi="Arial" w:cs="Arial"/>
                <w:color w:val="000000" w:themeColor="text1"/>
                <w:sz w:val="20"/>
                <w:szCs w:val="20"/>
              </w:rPr>
            </w:pPr>
            <w:r w:rsidRPr="00C51260">
              <w:rPr>
                <w:rFonts w:ascii="Arial" w:hAnsi="Arial" w:cs="Arial"/>
                <w:color w:val="000000" w:themeColor="text1"/>
                <w:sz w:val="20"/>
                <w:szCs w:val="20"/>
              </w:rPr>
              <w:t>&lt; 0.001</w:t>
            </w:r>
          </w:p>
          <w:p w14:paraId="6E1636D0" w14:textId="77777777" w:rsidR="00E84D11" w:rsidRPr="00C51260" w:rsidRDefault="00E84D11" w:rsidP="000237E8">
            <w:pPr>
              <w:jc w:val="center"/>
              <w:rPr>
                <w:rFonts w:ascii="Arial" w:hAnsi="Arial" w:cs="Arial"/>
                <w:color w:val="000000" w:themeColor="text1"/>
                <w:sz w:val="20"/>
                <w:szCs w:val="20"/>
              </w:rPr>
            </w:pPr>
          </w:p>
        </w:tc>
      </w:tr>
      <w:tr w:rsidR="00E84D11" w:rsidRPr="00C51260" w14:paraId="21F00323" w14:textId="77777777" w:rsidTr="000237E8">
        <w:tc>
          <w:tcPr>
            <w:tcW w:w="5485" w:type="dxa"/>
            <w:tcBorders>
              <w:top w:val="nil"/>
              <w:left w:val="nil"/>
              <w:bottom w:val="nil"/>
              <w:right w:val="nil"/>
            </w:tcBorders>
          </w:tcPr>
          <w:p w14:paraId="27A1390E" w14:textId="77777777" w:rsidR="00E84D11" w:rsidRPr="00C51260" w:rsidRDefault="00E84D11" w:rsidP="000237E8">
            <w:pPr>
              <w:rPr>
                <w:rFonts w:ascii="Arial" w:hAnsi="Arial" w:cs="Arial"/>
                <w:i/>
                <w:iCs/>
                <w:color w:val="000000" w:themeColor="text1"/>
                <w:sz w:val="20"/>
                <w:szCs w:val="20"/>
                <w:lang w:val="es-ES"/>
              </w:rPr>
            </w:pPr>
            <w:r w:rsidRPr="00C51260">
              <w:rPr>
                <w:rFonts w:ascii="Arial" w:hAnsi="Arial" w:cs="Arial"/>
                <w:i/>
                <w:iCs/>
                <w:color w:val="000000" w:themeColor="text1"/>
                <w:sz w:val="20"/>
                <w:szCs w:val="20"/>
                <w:lang w:val="es-ES"/>
              </w:rPr>
              <w:t xml:space="preserve">Lagothrix lagothricha </w:t>
            </w:r>
            <w:r w:rsidRPr="00C51260">
              <w:rPr>
                <w:rFonts w:ascii="Arial" w:hAnsi="Arial" w:cs="Arial"/>
                <w:color w:val="000000" w:themeColor="text1"/>
                <w:sz w:val="20"/>
                <w:szCs w:val="20"/>
                <w:lang w:val="es-ES"/>
              </w:rPr>
              <w:t xml:space="preserve">vs. </w:t>
            </w:r>
            <w:r w:rsidRPr="00C51260">
              <w:rPr>
                <w:rFonts w:ascii="Arial" w:hAnsi="Arial" w:cs="Arial"/>
                <w:i/>
                <w:iCs/>
                <w:color w:val="000000" w:themeColor="text1"/>
                <w:sz w:val="20"/>
                <w:szCs w:val="20"/>
                <w:lang w:val="es-ES"/>
              </w:rPr>
              <w:t>Sapajus apella</w:t>
            </w:r>
          </w:p>
        </w:tc>
        <w:tc>
          <w:tcPr>
            <w:tcW w:w="3865" w:type="dxa"/>
            <w:tcBorders>
              <w:top w:val="nil"/>
              <w:left w:val="nil"/>
              <w:bottom w:val="nil"/>
              <w:right w:val="nil"/>
            </w:tcBorders>
          </w:tcPr>
          <w:p w14:paraId="6F169E42" w14:textId="77777777" w:rsidR="00E84D11" w:rsidRPr="00C51260" w:rsidRDefault="00E84D11" w:rsidP="000237E8">
            <w:pPr>
              <w:jc w:val="center"/>
              <w:rPr>
                <w:rFonts w:ascii="Arial" w:hAnsi="Arial" w:cs="Arial"/>
                <w:color w:val="000000" w:themeColor="text1"/>
                <w:sz w:val="20"/>
                <w:szCs w:val="20"/>
              </w:rPr>
            </w:pPr>
            <w:r w:rsidRPr="00C51260">
              <w:rPr>
                <w:rFonts w:ascii="Arial" w:hAnsi="Arial" w:cs="Arial"/>
                <w:color w:val="000000" w:themeColor="text1"/>
                <w:sz w:val="20"/>
                <w:szCs w:val="20"/>
              </w:rPr>
              <w:t>&lt;0.001</w:t>
            </w:r>
          </w:p>
          <w:p w14:paraId="51C23174" w14:textId="77777777" w:rsidR="00E84D11" w:rsidRPr="00C51260" w:rsidRDefault="00E84D11" w:rsidP="000237E8">
            <w:pPr>
              <w:jc w:val="center"/>
              <w:rPr>
                <w:rFonts w:ascii="Arial" w:hAnsi="Arial" w:cs="Arial"/>
                <w:color w:val="000000" w:themeColor="text1"/>
                <w:sz w:val="20"/>
                <w:szCs w:val="20"/>
              </w:rPr>
            </w:pPr>
          </w:p>
        </w:tc>
      </w:tr>
      <w:tr w:rsidR="00E84D11" w:rsidRPr="00C51260" w14:paraId="08C701D6" w14:textId="77777777" w:rsidTr="000237E8">
        <w:tc>
          <w:tcPr>
            <w:tcW w:w="5485" w:type="dxa"/>
            <w:tcBorders>
              <w:top w:val="nil"/>
              <w:left w:val="nil"/>
              <w:right w:val="nil"/>
            </w:tcBorders>
          </w:tcPr>
          <w:p w14:paraId="0FB520F2" w14:textId="77777777" w:rsidR="00E84D11" w:rsidRPr="00C51260" w:rsidRDefault="00E84D11" w:rsidP="000237E8">
            <w:pPr>
              <w:rPr>
                <w:rFonts w:ascii="Arial" w:hAnsi="Arial" w:cs="Arial"/>
                <w:i/>
                <w:iCs/>
                <w:color w:val="000000" w:themeColor="text1"/>
                <w:sz w:val="20"/>
                <w:szCs w:val="20"/>
                <w:lang w:val="es-ES"/>
              </w:rPr>
            </w:pPr>
            <w:r w:rsidRPr="00C51260">
              <w:rPr>
                <w:rFonts w:ascii="Arial" w:hAnsi="Arial" w:cs="Arial"/>
                <w:i/>
                <w:iCs/>
                <w:color w:val="000000" w:themeColor="text1"/>
                <w:sz w:val="20"/>
                <w:szCs w:val="20"/>
                <w:lang w:val="es-ES"/>
              </w:rPr>
              <w:t xml:space="preserve">Alouatta seniculus </w:t>
            </w:r>
            <w:r w:rsidRPr="00C51260">
              <w:rPr>
                <w:rFonts w:ascii="Arial" w:hAnsi="Arial" w:cs="Arial"/>
                <w:color w:val="000000" w:themeColor="text1"/>
                <w:sz w:val="20"/>
                <w:szCs w:val="20"/>
                <w:lang w:val="es-ES"/>
              </w:rPr>
              <w:t xml:space="preserve">vs. </w:t>
            </w:r>
            <w:r w:rsidRPr="00C51260">
              <w:rPr>
                <w:rFonts w:ascii="Arial" w:hAnsi="Arial" w:cs="Arial"/>
                <w:i/>
                <w:iCs/>
                <w:color w:val="000000" w:themeColor="text1"/>
                <w:sz w:val="20"/>
                <w:szCs w:val="20"/>
                <w:lang w:val="es-ES"/>
              </w:rPr>
              <w:t>Sapajus apella</w:t>
            </w:r>
          </w:p>
        </w:tc>
        <w:tc>
          <w:tcPr>
            <w:tcW w:w="3865" w:type="dxa"/>
            <w:tcBorders>
              <w:top w:val="nil"/>
              <w:left w:val="nil"/>
              <w:right w:val="nil"/>
            </w:tcBorders>
          </w:tcPr>
          <w:p w14:paraId="32BDA57A" w14:textId="77777777" w:rsidR="00E84D11" w:rsidRPr="00C51260" w:rsidRDefault="00E84D11" w:rsidP="000237E8">
            <w:pPr>
              <w:jc w:val="center"/>
              <w:rPr>
                <w:rFonts w:ascii="Arial" w:hAnsi="Arial" w:cs="Arial"/>
                <w:color w:val="000000" w:themeColor="text1"/>
                <w:sz w:val="20"/>
                <w:szCs w:val="20"/>
              </w:rPr>
            </w:pPr>
            <w:r w:rsidRPr="00C32C01">
              <w:rPr>
                <w:rFonts w:ascii="Arial" w:hAnsi="Arial" w:cs="Arial"/>
                <w:color w:val="000000" w:themeColor="text1"/>
                <w:sz w:val="20"/>
                <w:szCs w:val="20"/>
                <w:lang w:val="es-ES"/>
              </w:rPr>
              <w:t xml:space="preserve">  </w:t>
            </w:r>
            <w:r>
              <w:rPr>
                <w:rFonts w:ascii="Arial" w:hAnsi="Arial" w:cs="Arial"/>
                <w:color w:val="000000" w:themeColor="text1"/>
                <w:sz w:val="20"/>
                <w:szCs w:val="20"/>
              </w:rPr>
              <w:t>0.010</w:t>
            </w:r>
          </w:p>
          <w:p w14:paraId="308210B0" w14:textId="77777777" w:rsidR="00E84D11" w:rsidRPr="00C51260" w:rsidRDefault="00E84D11" w:rsidP="000237E8">
            <w:pPr>
              <w:jc w:val="center"/>
              <w:rPr>
                <w:rFonts w:ascii="Arial" w:hAnsi="Arial" w:cs="Arial"/>
                <w:color w:val="000000" w:themeColor="text1"/>
                <w:sz w:val="20"/>
                <w:szCs w:val="20"/>
              </w:rPr>
            </w:pPr>
          </w:p>
        </w:tc>
      </w:tr>
    </w:tbl>
    <w:p w14:paraId="559E36AC" w14:textId="77777777" w:rsidR="00E84D11" w:rsidRPr="00C51260" w:rsidRDefault="00E84D11" w:rsidP="00E84D11">
      <w:pPr>
        <w:spacing w:line="480" w:lineRule="auto"/>
        <w:rPr>
          <w:color w:val="000000" w:themeColor="text1"/>
        </w:rPr>
      </w:pPr>
    </w:p>
    <w:p w14:paraId="31A44CB6" w14:textId="77777777" w:rsidR="00E84D11" w:rsidRPr="00C51260" w:rsidRDefault="00E84D11" w:rsidP="00E84D11">
      <w:pPr>
        <w:spacing w:line="480" w:lineRule="auto"/>
        <w:rPr>
          <w:color w:val="000000" w:themeColor="text1"/>
        </w:rPr>
      </w:pPr>
      <w:r w:rsidRPr="00C51260">
        <w:rPr>
          <w:color w:val="000000" w:themeColor="text1"/>
        </w:rPr>
        <w:tab/>
        <w:t>The variance in the size of seeds dispersed by each species was not equal</w:t>
      </w:r>
      <w:r>
        <w:rPr>
          <w:color w:val="000000" w:themeColor="text1"/>
        </w:rPr>
        <w:t xml:space="preserve">, except for between </w:t>
      </w:r>
      <w:r>
        <w:rPr>
          <w:i/>
          <w:iCs/>
          <w:color w:val="000000" w:themeColor="text1"/>
        </w:rPr>
        <w:t xml:space="preserve">Alouatta seniculus </w:t>
      </w:r>
      <w:r>
        <w:rPr>
          <w:color w:val="000000" w:themeColor="text1"/>
        </w:rPr>
        <w:t xml:space="preserve">and </w:t>
      </w:r>
      <w:r>
        <w:rPr>
          <w:i/>
          <w:iCs/>
          <w:color w:val="000000" w:themeColor="text1"/>
        </w:rPr>
        <w:t>Sapajus apella</w:t>
      </w:r>
      <w:r w:rsidRPr="00C51260">
        <w:rPr>
          <w:color w:val="000000" w:themeColor="text1"/>
        </w:rPr>
        <w:t>. Therefore, we use the Fligner-Policello test to relax the assumption of equal variances when comparing the median seed size dispersed by each group.</w:t>
      </w:r>
    </w:p>
    <w:p w14:paraId="071FAEFF" w14:textId="77777777" w:rsidR="00E84D11" w:rsidRDefault="00E84D11" w:rsidP="00E84D11">
      <w:pPr>
        <w:shd w:val="clear" w:color="auto" w:fill="FFFFFF"/>
        <w:spacing w:line="480" w:lineRule="auto"/>
        <w:rPr>
          <w:color w:val="000000" w:themeColor="text1"/>
        </w:rPr>
      </w:pPr>
    </w:p>
    <w:p w14:paraId="65892E0C" w14:textId="77777777" w:rsidR="00E84D11" w:rsidRDefault="00E84D11" w:rsidP="00E84D11">
      <w:pPr>
        <w:shd w:val="clear" w:color="auto" w:fill="FFFFFF"/>
        <w:spacing w:line="480" w:lineRule="auto"/>
        <w:rPr>
          <w:b/>
          <w:bCs/>
          <w:color w:val="000000" w:themeColor="text1"/>
        </w:rPr>
      </w:pPr>
      <w:r>
        <w:rPr>
          <w:b/>
          <w:bCs/>
          <w:color w:val="000000" w:themeColor="text1"/>
        </w:rPr>
        <w:t>Appendix S3</w:t>
      </w:r>
    </w:p>
    <w:p w14:paraId="5AB87227" w14:textId="77777777" w:rsidR="00E84D11" w:rsidRDefault="00E84D11" w:rsidP="00E84D11">
      <w:pPr>
        <w:shd w:val="clear" w:color="auto" w:fill="FFFFFF"/>
        <w:spacing w:line="480" w:lineRule="auto"/>
        <w:rPr>
          <w:i/>
          <w:iCs/>
          <w:color w:val="000000" w:themeColor="text1"/>
        </w:rPr>
      </w:pPr>
      <w:r>
        <w:rPr>
          <w:i/>
          <w:iCs/>
          <w:color w:val="000000" w:themeColor="text1"/>
        </w:rPr>
        <w:t>Overall Seed Dispersal without Seeds &lt; 1.1 mm</w:t>
      </w:r>
    </w:p>
    <w:p w14:paraId="71001C4E" w14:textId="77777777" w:rsidR="00E84D11" w:rsidRDefault="00E84D11" w:rsidP="00E84D11">
      <w:pPr>
        <w:shd w:val="clear" w:color="auto" w:fill="FFFFFF"/>
        <w:spacing w:line="480" w:lineRule="auto"/>
        <w:rPr>
          <w:color w:val="000000" w:themeColor="text1"/>
        </w:rPr>
      </w:pPr>
      <w:r>
        <w:rPr>
          <w:color w:val="000000" w:themeColor="text1"/>
        </w:rPr>
        <w:tab/>
      </w:r>
      <w:r w:rsidRPr="003D7C43">
        <w:rPr>
          <w:i/>
          <w:iCs/>
          <w:color w:val="000000" w:themeColor="text1"/>
        </w:rPr>
        <w:t xml:space="preserve">Lagothrix lagothricha </w:t>
      </w:r>
      <w:r w:rsidRPr="003D7C43">
        <w:rPr>
          <w:color w:val="000000" w:themeColor="text1"/>
        </w:rPr>
        <w:t xml:space="preserve">and </w:t>
      </w:r>
      <w:r w:rsidRPr="003D7C43">
        <w:rPr>
          <w:i/>
          <w:iCs/>
          <w:color w:val="000000" w:themeColor="text1"/>
        </w:rPr>
        <w:t xml:space="preserve">Sapajus apella </w:t>
      </w:r>
      <w:r w:rsidRPr="003D7C43">
        <w:rPr>
          <w:color w:val="000000" w:themeColor="text1"/>
        </w:rPr>
        <w:t xml:space="preserve">consumed </w:t>
      </w:r>
      <w:r w:rsidRPr="003D7C43">
        <w:rPr>
          <w:i/>
          <w:iCs/>
          <w:color w:val="000000" w:themeColor="text1"/>
        </w:rPr>
        <w:t xml:space="preserve">Miconia ternatifolia </w:t>
      </w:r>
      <w:r w:rsidRPr="003D7C43">
        <w:rPr>
          <w:color w:val="000000" w:themeColor="text1"/>
        </w:rPr>
        <w:t xml:space="preserve">(width = 0.8 mm) and </w:t>
      </w:r>
      <w:r w:rsidRPr="003D7C43">
        <w:rPr>
          <w:i/>
          <w:iCs/>
          <w:color w:val="000000" w:themeColor="text1"/>
        </w:rPr>
        <w:t xml:space="preserve">Ficus </w:t>
      </w:r>
      <w:r w:rsidRPr="003D7C43">
        <w:rPr>
          <w:color w:val="000000" w:themeColor="text1"/>
        </w:rPr>
        <w:t xml:space="preserve">sp. (width = 1 mm) in quantities in the hundreds to thousands, while </w:t>
      </w:r>
      <w:r w:rsidRPr="003D7C43">
        <w:rPr>
          <w:i/>
          <w:iCs/>
          <w:color w:val="000000" w:themeColor="text1"/>
        </w:rPr>
        <w:t xml:space="preserve">Alouatta seniculus </w:t>
      </w:r>
      <w:r w:rsidRPr="003D7C43">
        <w:rPr>
          <w:color w:val="000000" w:themeColor="text1"/>
        </w:rPr>
        <w:t xml:space="preserve">did not consume them at all. As mentioned in the Discussion, the large quantity of these seeds in the fecal samples may inhibit successful recruitment of these species in the absence of secondary dispersal. Thus, to account for this and to better visualize the dispersal of </w:t>
      </w:r>
      <w:r w:rsidRPr="003D7C43">
        <w:rPr>
          <w:color w:val="000000" w:themeColor="text1"/>
        </w:rPr>
        <w:lastRenderedPageBreak/>
        <w:t xml:space="preserve">medium and large seeds of </w:t>
      </w:r>
      <w:r w:rsidRPr="003D7C43">
        <w:rPr>
          <w:i/>
          <w:iCs/>
          <w:color w:val="000000" w:themeColor="text1"/>
        </w:rPr>
        <w:t xml:space="preserve">L. lagothricha </w:t>
      </w:r>
      <w:r w:rsidRPr="003D7C43">
        <w:rPr>
          <w:color w:val="000000" w:themeColor="text1"/>
        </w:rPr>
        <w:t xml:space="preserve">and </w:t>
      </w:r>
      <w:r w:rsidRPr="003D7C43">
        <w:rPr>
          <w:i/>
          <w:iCs/>
          <w:color w:val="000000" w:themeColor="text1"/>
        </w:rPr>
        <w:t>S. apella</w:t>
      </w:r>
      <w:r w:rsidRPr="003D7C43">
        <w:rPr>
          <w:color w:val="000000" w:themeColor="text1"/>
        </w:rPr>
        <w:t xml:space="preserve">, we perform the analysis of median seed size dispersed without </w:t>
      </w:r>
      <w:r w:rsidRPr="003D7C43">
        <w:rPr>
          <w:i/>
          <w:iCs/>
          <w:color w:val="000000" w:themeColor="text1"/>
        </w:rPr>
        <w:t xml:space="preserve">M. ternatifolia </w:t>
      </w:r>
      <w:r w:rsidRPr="003D7C43">
        <w:rPr>
          <w:color w:val="000000" w:themeColor="text1"/>
        </w:rPr>
        <w:t xml:space="preserve">and </w:t>
      </w:r>
      <w:r w:rsidRPr="003D7C43">
        <w:rPr>
          <w:i/>
          <w:iCs/>
          <w:color w:val="000000" w:themeColor="text1"/>
        </w:rPr>
        <w:t xml:space="preserve">Ficus </w:t>
      </w:r>
      <w:r w:rsidRPr="003D7C43">
        <w:rPr>
          <w:color w:val="000000" w:themeColor="text1"/>
        </w:rPr>
        <w:t xml:space="preserve">sp. </w:t>
      </w:r>
    </w:p>
    <w:p w14:paraId="2C4AC9E2" w14:textId="77777777" w:rsidR="00E84D11" w:rsidRPr="003D7C43" w:rsidRDefault="00E84D11" w:rsidP="00E84D11">
      <w:pPr>
        <w:shd w:val="clear" w:color="auto" w:fill="FFFFFF"/>
        <w:spacing w:line="480" w:lineRule="auto"/>
        <w:rPr>
          <w:color w:val="000000" w:themeColor="text1"/>
        </w:rPr>
      </w:pPr>
    </w:p>
    <w:p w14:paraId="4C2FAC28" w14:textId="373F45F4" w:rsidR="00E84D11" w:rsidRPr="00886B43" w:rsidRDefault="00E84D11" w:rsidP="00E84D11">
      <w:pPr>
        <w:spacing w:line="480" w:lineRule="auto"/>
        <w:rPr>
          <w:rFonts w:eastAsiaTheme="minorEastAsia"/>
        </w:rPr>
      </w:pPr>
      <w:r w:rsidRPr="00886B43">
        <w:rPr>
          <w:b/>
          <w:bCs/>
        </w:rPr>
        <w:t xml:space="preserve">Table </w:t>
      </w:r>
      <w:r>
        <w:rPr>
          <w:b/>
          <w:bCs/>
        </w:rPr>
        <w:t>S2</w:t>
      </w:r>
      <w:r w:rsidRPr="00886B43">
        <w:rPr>
          <w:b/>
          <w:bCs/>
        </w:rPr>
        <w:t xml:space="preserve">. </w:t>
      </w:r>
      <w:r w:rsidRPr="00886B43">
        <w:rPr>
          <w:rFonts w:eastAsiaTheme="minorEastAsia"/>
        </w:rPr>
        <w:t xml:space="preserve">Comparisons in the median seed width dispersed by </w:t>
      </w:r>
      <w:r w:rsidRPr="00886B43">
        <w:rPr>
          <w:rFonts w:eastAsiaTheme="minorEastAsia"/>
          <w:i/>
          <w:iCs/>
        </w:rPr>
        <w:t xml:space="preserve">Lagothrix lagothricha </w:t>
      </w:r>
      <w:r w:rsidRPr="00886B43">
        <w:rPr>
          <w:rFonts w:eastAsiaTheme="minorEastAsia"/>
        </w:rPr>
        <w:t xml:space="preserve">(Ll), </w:t>
      </w:r>
      <w:r w:rsidRPr="00886B43">
        <w:rPr>
          <w:rFonts w:eastAsiaTheme="minorEastAsia"/>
          <w:i/>
          <w:iCs/>
        </w:rPr>
        <w:t xml:space="preserve">Alouatta seniculus </w:t>
      </w:r>
      <w:r w:rsidRPr="00886B43">
        <w:rPr>
          <w:rFonts w:eastAsiaTheme="minorEastAsia"/>
        </w:rPr>
        <w:t xml:space="preserve">(As), and </w:t>
      </w:r>
      <w:r w:rsidRPr="00886B43">
        <w:rPr>
          <w:rFonts w:eastAsiaTheme="minorEastAsia"/>
          <w:i/>
          <w:iCs/>
        </w:rPr>
        <w:t xml:space="preserve">Sapajus apella </w:t>
      </w:r>
      <w:r w:rsidRPr="00886B43">
        <w:rPr>
          <w:rFonts w:eastAsiaTheme="minorEastAsia"/>
        </w:rPr>
        <w:t>(Sa), within species among adult males (M), adult females (F), and juveniles (J), and post-hoc comparisons</w:t>
      </w:r>
      <w:r>
        <w:rPr>
          <w:rFonts w:eastAsiaTheme="minorEastAsia"/>
        </w:rPr>
        <w:t xml:space="preserve">, excluding </w:t>
      </w:r>
      <w:r>
        <w:rPr>
          <w:rFonts w:eastAsiaTheme="minorEastAsia"/>
          <w:i/>
          <w:iCs/>
        </w:rPr>
        <w:t xml:space="preserve">Miconia ternatifolia </w:t>
      </w:r>
      <w:r>
        <w:rPr>
          <w:rFonts w:eastAsiaTheme="minorEastAsia"/>
        </w:rPr>
        <w:t xml:space="preserve">and </w:t>
      </w:r>
      <w:r>
        <w:rPr>
          <w:rFonts w:eastAsiaTheme="minorEastAsia"/>
          <w:i/>
          <w:iCs/>
        </w:rPr>
        <w:t xml:space="preserve">Ficus </w:t>
      </w:r>
      <w:r>
        <w:rPr>
          <w:rFonts w:eastAsiaTheme="minorEastAsia"/>
        </w:rPr>
        <w:t>spp</w:t>
      </w:r>
      <w:r w:rsidRPr="00886B43">
        <w:rPr>
          <w:rFonts w:eastAsiaTheme="minorEastAsia"/>
        </w:rPr>
        <w:t>. Represented is the U statistic and p-value. In bold are significant results (p &lt; 0.003).</w:t>
      </w:r>
      <w:r>
        <w:rPr>
          <w:rFonts w:eastAsiaTheme="minorEastAsia"/>
        </w:rPr>
        <w:t xml:space="preserve"> </w:t>
      </w:r>
      <w:r>
        <w:rPr>
          <w:rFonts w:eastAsiaTheme="minorEastAsia"/>
          <w:color w:val="000000" w:themeColor="text1"/>
        </w:rPr>
        <w:t>For the analysis including smaller seeds, refer to Table 3 in the main text.</w:t>
      </w:r>
      <w:r w:rsidR="005076EF">
        <w:rPr>
          <w:rFonts w:eastAsiaTheme="minorEastAsia"/>
          <w:color w:val="000000" w:themeColor="text1"/>
        </w:rPr>
        <w:t xml:space="preserve"> </w:t>
      </w:r>
      <w:r w:rsidR="005076EF">
        <w:rPr>
          <w:rFonts w:eastAsiaTheme="minorEastAsia"/>
          <w:color w:val="000000" w:themeColor="text1"/>
          <w:lang w:val="en-GB"/>
        </w:rPr>
        <w:t xml:space="preserve">Sample sizes, equal to the number of seeds dispersed, are as follows: </w:t>
      </w:r>
      <w:r w:rsidR="005076EF">
        <w:rPr>
          <w:rFonts w:eastAsiaTheme="minorEastAsia"/>
          <w:i/>
          <w:iCs/>
          <w:color w:val="000000" w:themeColor="text1"/>
          <w:lang w:val="en-GB"/>
        </w:rPr>
        <w:t xml:space="preserve">L. lagothricha </w:t>
      </w:r>
      <w:r w:rsidR="005076EF">
        <w:rPr>
          <w:rFonts w:eastAsiaTheme="minorEastAsia"/>
          <w:color w:val="000000" w:themeColor="text1"/>
          <w:lang w:val="en-GB"/>
        </w:rPr>
        <w:t xml:space="preserve">(total: </w:t>
      </w:r>
      <w:r w:rsidR="004A4562">
        <w:rPr>
          <w:rFonts w:eastAsiaTheme="minorEastAsia"/>
          <w:color w:val="000000" w:themeColor="text1"/>
          <w:lang w:val="en-GB"/>
        </w:rPr>
        <w:t>2011</w:t>
      </w:r>
      <w:r w:rsidR="005076EF">
        <w:rPr>
          <w:rFonts w:eastAsiaTheme="minorEastAsia"/>
          <w:color w:val="000000" w:themeColor="text1"/>
          <w:lang w:val="en-GB"/>
        </w:rPr>
        <w:t>, adult males: 3</w:t>
      </w:r>
      <w:r w:rsidR="004A4562">
        <w:rPr>
          <w:rFonts w:eastAsiaTheme="minorEastAsia"/>
          <w:color w:val="000000" w:themeColor="text1"/>
          <w:lang w:val="en-GB"/>
        </w:rPr>
        <w:t>59</w:t>
      </w:r>
      <w:r w:rsidR="005076EF">
        <w:rPr>
          <w:rFonts w:eastAsiaTheme="minorEastAsia"/>
          <w:color w:val="000000" w:themeColor="text1"/>
          <w:lang w:val="en-GB"/>
        </w:rPr>
        <w:t xml:space="preserve">, adult females: </w:t>
      </w:r>
      <w:r w:rsidR="004A4562">
        <w:rPr>
          <w:rFonts w:eastAsiaTheme="minorEastAsia"/>
          <w:color w:val="000000" w:themeColor="text1"/>
          <w:lang w:val="en-GB"/>
        </w:rPr>
        <w:t>1450</w:t>
      </w:r>
      <w:r w:rsidR="005076EF">
        <w:rPr>
          <w:rFonts w:eastAsiaTheme="minorEastAsia"/>
          <w:color w:val="000000" w:themeColor="text1"/>
          <w:lang w:val="en-GB"/>
        </w:rPr>
        <w:t xml:space="preserve">, juveniles: 202), </w:t>
      </w:r>
      <w:r w:rsidR="005076EF">
        <w:rPr>
          <w:rFonts w:eastAsiaTheme="minorEastAsia"/>
          <w:i/>
          <w:iCs/>
          <w:color w:val="000000" w:themeColor="text1"/>
          <w:lang w:val="en-GB"/>
        </w:rPr>
        <w:t xml:space="preserve">A. seniculus </w:t>
      </w:r>
      <w:r w:rsidR="005076EF">
        <w:rPr>
          <w:rFonts w:eastAsiaTheme="minorEastAsia"/>
          <w:color w:val="000000" w:themeColor="text1"/>
          <w:lang w:val="en-GB"/>
        </w:rPr>
        <w:t xml:space="preserve">(total: 3960, adult males: 1595, adult females: 1898, juveniles: 467), </w:t>
      </w:r>
      <w:r w:rsidR="005076EF">
        <w:rPr>
          <w:rFonts w:eastAsiaTheme="minorEastAsia"/>
          <w:i/>
          <w:iCs/>
          <w:color w:val="000000" w:themeColor="text1"/>
          <w:lang w:val="en-GB"/>
        </w:rPr>
        <w:t xml:space="preserve">S. apella </w:t>
      </w:r>
      <w:r w:rsidR="005076EF">
        <w:rPr>
          <w:rFonts w:eastAsiaTheme="minorEastAsia"/>
          <w:color w:val="000000" w:themeColor="text1"/>
          <w:lang w:val="en-GB"/>
        </w:rPr>
        <w:t xml:space="preserve">(total: </w:t>
      </w:r>
      <w:r w:rsidR="004A4562">
        <w:rPr>
          <w:rFonts w:eastAsiaTheme="minorEastAsia"/>
          <w:color w:val="000000" w:themeColor="text1"/>
          <w:lang w:val="en-GB"/>
        </w:rPr>
        <w:t>2782</w:t>
      </w:r>
      <w:r w:rsidR="005076EF">
        <w:rPr>
          <w:rFonts w:eastAsiaTheme="minorEastAsia"/>
          <w:color w:val="000000" w:themeColor="text1"/>
          <w:lang w:val="en-GB"/>
        </w:rPr>
        <w:t xml:space="preserve">, adult males: </w:t>
      </w:r>
      <w:r w:rsidR="004A4562">
        <w:rPr>
          <w:rFonts w:eastAsiaTheme="minorEastAsia"/>
          <w:color w:val="000000" w:themeColor="text1"/>
          <w:lang w:val="en-GB"/>
        </w:rPr>
        <w:t>871</w:t>
      </w:r>
      <w:r w:rsidR="005076EF">
        <w:rPr>
          <w:rFonts w:eastAsiaTheme="minorEastAsia"/>
          <w:color w:val="000000" w:themeColor="text1"/>
          <w:lang w:val="en-GB"/>
        </w:rPr>
        <w:t xml:space="preserve">, adult females: </w:t>
      </w:r>
      <w:r w:rsidR="004A4562">
        <w:rPr>
          <w:rFonts w:eastAsiaTheme="minorEastAsia"/>
          <w:color w:val="000000" w:themeColor="text1"/>
          <w:lang w:val="en-GB"/>
        </w:rPr>
        <w:t>1429</w:t>
      </w:r>
      <w:r w:rsidR="005076EF">
        <w:rPr>
          <w:rFonts w:eastAsiaTheme="minorEastAsia"/>
          <w:color w:val="000000" w:themeColor="text1"/>
          <w:lang w:val="en-GB"/>
        </w:rPr>
        <w:t>, juveniles: 482).</w:t>
      </w:r>
    </w:p>
    <w:tbl>
      <w:tblPr>
        <w:tblStyle w:val="TableGrid"/>
        <w:tblW w:w="0" w:type="auto"/>
        <w:tblLook w:val="04A0" w:firstRow="1" w:lastRow="0" w:firstColumn="1" w:lastColumn="0" w:noHBand="0" w:noVBand="1"/>
      </w:tblPr>
      <w:tblGrid>
        <w:gridCol w:w="1890"/>
        <w:gridCol w:w="2970"/>
        <w:gridCol w:w="1530"/>
        <w:gridCol w:w="1620"/>
        <w:gridCol w:w="1350"/>
      </w:tblGrid>
      <w:tr w:rsidR="00E84D11" w:rsidRPr="00886B43" w14:paraId="690D292E" w14:textId="77777777" w:rsidTr="000237E8">
        <w:trPr>
          <w:trHeight w:val="293"/>
        </w:trPr>
        <w:tc>
          <w:tcPr>
            <w:tcW w:w="1890" w:type="dxa"/>
            <w:tcBorders>
              <w:top w:val="nil"/>
              <w:left w:val="nil"/>
              <w:bottom w:val="single" w:sz="4" w:space="0" w:color="auto"/>
              <w:right w:val="nil"/>
            </w:tcBorders>
          </w:tcPr>
          <w:p w14:paraId="5BEC5831" w14:textId="77777777" w:rsidR="00E84D11" w:rsidRPr="00886B43" w:rsidRDefault="00E84D11" w:rsidP="000237E8">
            <w:pPr>
              <w:rPr>
                <w:rFonts w:ascii="Arial" w:hAnsi="Arial" w:cs="Arial"/>
                <w:b/>
                <w:bCs/>
                <w:sz w:val="20"/>
                <w:szCs w:val="20"/>
              </w:rPr>
            </w:pPr>
            <w:r w:rsidRPr="00886B43">
              <w:rPr>
                <w:rFonts w:ascii="Arial" w:hAnsi="Arial" w:cs="Arial"/>
                <w:b/>
                <w:bCs/>
                <w:sz w:val="20"/>
                <w:szCs w:val="20"/>
              </w:rPr>
              <w:t>Hypothesis</w:t>
            </w:r>
          </w:p>
        </w:tc>
        <w:tc>
          <w:tcPr>
            <w:tcW w:w="2970" w:type="dxa"/>
            <w:tcBorders>
              <w:top w:val="nil"/>
              <w:left w:val="nil"/>
              <w:bottom w:val="single" w:sz="4" w:space="0" w:color="auto"/>
              <w:right w:val="nil"/>
            </w:tcBorders>
          </w:tcPr>
          <w:p w14:paraId="15002B97" w14:textId="77777777" w:rsidR="00E84D11" w:rsidRPr="00886B43" w:rsidRDefault="00E84D11" w:rsidP="000237E8">
            <w:pPr>
              <w:jc w:val="center"/>
              <w:rPr>
                <w:rFonts w:ascii="Arial" w:hAnsi="Arial" w:cs="Arial"/>
                <w:b/>
                <w:bCs/>
                <w:sz w:val="20"/>
                <w:szCs w:val="20"/>
              </w:rPr>
            </w:pPr>
            <w:r w:rsidRPr="00886B43">
              <w:rPr>
                <w:rFonts w:ascii="Arial" w:hAnsi="Arial" w:cs="Arial"/>
                <w:b/>
                <w:bCs/>
                <w:sz w:val="20"/>
                <w:szCs w:val="20"/>
              </w:rPr>
              <w:t>Comparisons</w:t>
            </w:r>
          </w:p>
        </w:tc>
        <w:tc>
          <w:tcPr>
            <w:tcW w:w="1530" w:type="dxa"/>
            <w:tcBorders>
              <w:top w:val="nil"/>
              <w:left w:val="nil"/>
              <w:bottom w:val="single" w:sz="4" w:space="0" w:color="auto"/>
              <w:right w:val="nil"/>
            </w:tcBorders>
          </w:tcPr>
          <w:p w14:paraId="429506E3" w14:textId="77777777" w:rsidR="00E84D11" w:rsidRPr="00886B43" w:rsidRDefault="00E84D11" w:rsidP="000237E8">
            <w:pPr>
              <w:jc w:val="center"/>
              <w:rPr>
                <w:rFonts w:ascii="Arial" w:hAnsi="Arial" w:cs="Arial"/>
                <w:b/>
                <w:bCs/>
                <w:sz w:val="20"/>
                <w:szCs w:val="20"/>
              </w:rPr>
            </w:pPr>
            <w:r w:rsidRPr="00886B43">
              <w:rPr>
                <w:rFonts w:ascii="Arial" w:hAnsi="Arial" w:cs="Arial"/>
                <w:b/>
                <w:bCs/>
                <w:sz w:val="20"/>
                <w:szCs w:val="20"/>
              </w:rPr>
              <w:t>U Statistic</w:t>
            </w:r>
          </w:p>
        </w:tc>
        <w:tc>
          <w:tcPr>
            <w:tcW w:w="1620" w:type="dxa"/>
            <w:tcBorders>
              <w:top w:val="nil"/>
              <w:left w:val="nil"/>
              <w:bottom w:val="single" w:sz="4" w:space="0" w:color="auto"/>
              <w:right w:val="nil"/>
            </w:tcBorders>
          </w:tcPr>
          <w:p w14:paraId="6A3613CB" w14:textId="77777777" w:rsidR="00E84D11" w:rsidRPr="00886B43" w:rsidRDefault="00E84D11" w:rsidP="000237E8">
            <w:pPr>
              <w:jc w:val="center"/>
              <w:rPr>
                <w:rFonts w:ascii="Arial" w:hAnsi="Arial" w:cs="Arial"/>
                <w:b/>
                <w:bCs/>
                <w:sz w:val="20"/>
                <w:szCs w:val="20"/>
              </w:rPr>
            </w:pPr>
            <w:r w:rsidRPr="00886B43">
              <w:rPr>
                <w:rFonts w:ascii="Arial" w:hAnsi="Arial" w:cs="Arial"/>
                <w:b/>
                <w:bCs/>
                <w:sz w:val="20"/>
                <w:szCs w:val="20"/>
              </w:rPr>
              <w:t>p-value</w:t>
            </w:r>
          </w:p>
        </w:tc>
        <w:tc>
          <w:tcPr>
            <w:tcW w:w="1350" w:type="dxa"/>
            <w:tcBorders>
              <w:top w:val="nil"/>
              <w:left w:val="nil"/>
              <w:bottom w:val="single" w:sz="4" w:space="0" w:color="auto"/>
              <w:right w:val="nil"/>
            </w:tcBorders>
          </w:tcPr>
          <w:p w14:paraId="37A25113" w14:textId="77777777" w:rsidR="00E84D11" w:rsidRPr="00886B43" w:rsidRDefault="00E84D11" w:rsidP="000237E8">
            <w:pPr>
              <w:rPr>
                <w:rFonts w:ascii="Arial" w:hAnsi="Arial" w:cs="Arial"/>
                <w:b/>
                <w:bCs/>
                <w:sz w:val="20"/>
                <w:szCs w:val="20"/>
              </w:rPr>
            </w:pPr>
            <w:r w:rsidRPr="00886B43">
              <w:rPr>
                <w:rFonts w:ascii="Arial" w:hAnsi="Arial" w:cs="Arial"/>
                <w:b/>
                <w:bCs/>
                <w:sz w:val="20"/>
                <w:szCs w:val="20"/>
              </w:rPr>
              <w:t>Result</w:t>
            </w:r>
          </w:p>
        </w:tc>
      </w:tr>
    </w:tbl>
    <w:p w14:paraId="38F1BD67" w14:textId="77777777" w:rsidR="00E84D11" w:rsidRPr="00886B43" w:rsidRDefault="00E84D11" w:rsidP="00E84D11">
      <w:pPr>
        <w:rPr>
          <w:rFonts w:ascii="Arial" w:eastAsiaTheme="minorEastAsia" w:hAnsi="Arial" w:cs="Arial"/>
          <w:b/>
          <w:bCs/>
          <w:sz w:val="20"/>
          <w:szCs w:val="20"/>
        </w:rPr>
      </w:pPr>
      <w:r w:rsidRPr="00886B43">
        <w:rPr>
          <w:rFonts w:ascii="Arial" w:eastAsiaTheme="minorEastAsia" w:hAnsi="Arial" w:cs="Arial"/>
          <w:b/>
          <w:bCs/>
          <w:sz w:val="20"/>
          <w:szCs w:val="20"/>
        </w:rPr>
        <w:t xml:space="preserve">  Interspecific Comparison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2728"/>
        <w:gridCol w:w="1710"/>
        <w:gridCol w:w="1440"/>
        <w:gridCol w:w="1430"/>
      </w:tblGrid>
      <w:tr w:rsidR="00E84D11" w:rsidRPr="00B32DE1" w14:paraId="41FD6E07" w14:textId="77777777" w:rsidTr="000237E8">
        <w:trPr>
          <w:trHeight w:val="951"/>
        </w:trPr>
        <w:tc>
          <w:tcPr>
            <w:tcW w:w="2042" w:type="dxa"/>
          </w:tcPr>
          <w:p w14:paraId="2CFBDD47"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Ll &gt; As &gt; Sa</w:t>
            </w:r>
          </w:p>
        </w:tc>
        <w:tc>
          <w:tcPr>
            <w:tcW w:w="2728" w:type="dxa"/>
          </w:tcPr>
          <w:p w14:paraId="5564C3DC"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Ll (8.15) vs. As (5.90)</w:t>
            </w:r>
          </w:p>
          <w:p w14:paraId="15BAAB50"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Ll (8.15) vs. Sa (5.90)</w:t>
            </w:r>
          </w:p>
          <w:p w14:paraId="354ACE1E"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As (5.90) vs. Sa (5.90)</w:t>
            </w:r>
          </w:p>
          <w:p w14:paraId="11D21544" w14:textId="77777777" w:rsidR="00E84D11" w:rsidRPr="00B32DE1" w:rsidRDefault="00E84D11" w:rsidP="000237E8">
            <w:pPr>
              <w:rPr>
                <w:rFonts w:ascii="Arial" w:hAnsi="Arial" w:cs="Arial"/>
                <w:color w:val="000000" w:themeColor="text1"/>
                <w:sz w:val="20"/>
                <w:szCs w:val="20"/>
              </w:rPr>
            </w:pPr>
          </w:p>
        </w:tc>
        <w:tc>
          <w:tcPr>
            <w:tcW w:w="1710" w:type="dxa"/>
          </w:tcPr>
          <w:p w14:paraId="4386864E"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-33.3</w:t>
            </w:r>
          </w:p>
          <w:p w14:paraId="1ADB2572"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-41.8</w:t>
            </w:r>
          </w:p>
          <w:p w14:paraId="64384859"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-3.5</w:t>
            </w:r>
          </w:p>
        </w:tc>
        <w:tc>
          <w:tcPr>
            <w:tcW w:w="1440" w:type="dxa"/>
          </w:tcPr>
          <w:p w14:paraId="5E3C788A"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50E929C9"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1BF4F431"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tc>
        <w:tc>
          <w:tcPr>
            <w:tcW w:w="1430" w:type="dxa"/>
          </w:tcPr>
          <w:p w14:paraId="1F48AC0F"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Ll &gt; As &gt; Sa</w:t>
            </w:r>
          </w:p>
        </w:tc>
      </w:tr>
    </w:tbl>
    <w:p w14:paraId="3272CD53" w14:textId="77777777" w:rsidR="00E84D11" w:rsidRPr="00B32DE1" w:rsidRDefault="00E84D11" w:rsidP="00E84D11">
      <w:pPr>
        <w:rPr>
          <w:rFonts w:ascii="Arial" w:eastAsiaTheme="minorEastAsia" w:hAnsi="Arial" w:cs="Arial"/>
          <w:b/>
          <w:bCs/>
          <w:color w:val="000000" w:themeColor="text1"/>
          <w:sz w:val="20"/>
          <w:szCs w:val="20"/>
        </w:rPr>
      </w:pPr>
      <w:r w:rsidRPr="00B32DE1">
        <w:rPr>
          <w:rFonts w:ascii="Arial" w:eastAsiaTheme="minorEastAsia" w:hAnsi="Arial" w:cs="Arial"/>
          <w:b/>
          <w:bCs/>
          <w:color w:val="000000" w:themeColor="text1"/>
          <w:sz w:val="20"/>
          <w:szCs w:val="20"/>
        </w:rPr>
        <w:t xml:space="preserve">  Intraspecific Comparison</w:t>
      </w:r>
    </w:p>
    <w:tbl>
      <w:tblPr>
        <w:tblStyle w:val="TableGrid"/>
        <w:tblW w:w="0" w:type="auto"/>
        <w:tblLook w:val="04A0" w:firstRow="1" w:lastRow="0" w:firstColumn="1" w:lastColumn="0" w:noHBand="0" w:noVBand="1"/>
      </w:tblPr>
      <w:tblGrid>
        <w:gridCol w:w="2036"/>
        <w:gridCol w:w="2644"/>
        <w:gridCol w:w="1800"/>
        <w:gridCol w:w="1440"/>
        <w:gridCol w:w="1403"/>
      </w:tblGrid>
      <w:tr w:rsidR="00E84D11" w:rsidRPr="00B32DE1" w14:paraId="06A880E2" w14:textId="77777777" w:rsidTr="000237E8">
        <w:trPr>
          <w:trHeight w:val="927"/>
        </w:trPr>
        <w:tc>
          <w:tcPr>
            <w:tcW w:w="2036" w:type="dxa"/>
            <w:tcBorders>
              <w:left w:val="nil"/>
              <w:bottom w:val="nil"/>
              <w:right w:val="nil"/>
            </w:tcBorders>
          </w:tcPr>
          <w:p w14:paraId="793BA744" w14:textId="77777777" w:rsidR="00E84D11" w:rsidRPr="00B32DE1" w:rsidRDefault="00E84D11" w:rsidP="000237E8">
            <w:pPr>
              <w:rPr>
                <w:rFonts w:ascii="Arial" w:hAnsi="Arial" w:cs="Arial"/>
                <w:i/>
                <w:iCs/>
                <w:color w:val="000000" w:themeColor="text1"/>
                <w:sz w:val="20"/>
                <w:szCs w:val="20"/>
              </w:rPr>
            </w:pPr>
            <w:r w:rsidRPr="00B32DE1">
              <w:rPr>
                <w:rFonts w:ascii="Arial" w:hAnsi="Arial" w:cs="Arial"/>
                <w:color w:val="000000" w:themeColor="text1"/>
                <w:sz w:val="20"/>
                <w:szCs w:val="20"/>
              </w:rPr>
              <w:t>Ll: M &gt; F &gt; J</w:t>
            </w:r>
          </w:p>
        </w:tc>
        <w:tc>
          <w:tcPr>
            <w:tcW w:w="2644" w:type="dxa"/>
            <w:tcBorders>
              <w:left w:val="nil"/>
              <w:bottom w:val="nil"/>
              <w:right w:val="nil"/>
            </w:tcBorders>
          </w:tcPr>
          <w:p w14:paraId="008CCBCD"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M (9.80) vs. F (8.15)</w:t>
            </w:r>
          </w:p>
          <w:p w14:paraId="347320C2"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b/>
                <w:bCs/>
                <w:color w:val="000000" w:themeColor="text1"/>
                <w:sz w:val="20"/>
                <w:szCs w:val="20"/>
              </w:rPr>
              <w:t xml:space="preserve">     </w:t>
            </w:r>
            <w:r w:rsidRPr="00B32DE1">
              <w:rPr>
                <w:rFonts w:ascii="Arial" w:hAnsi="Arial" w:cs="Arial"/>
                <w:color w:val="000000" w:themeColor="text1"/>
                <w:sz w:val="20"/>
                <w:szCs w:val="20"/>
              </w:rPr>
              <w:t>J (9.80) vs. M (9.80)</w:t>
            </w:r>
          </w:p>
          <w:p w14:paraId="3FBC8F8A"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J (9.80) vs. F (8.15)</w:t>
            </w:r>
          </w:p>
        </w:tc>
        <w:tc>
          <w:tcPr>
            <w:tcW w:w="1800" w:type="dxa"/>
            <w:tcBorders>
              <w:left w:val="nil"/>
              <w:bottom w:val="nil"/>
              <w:right w:val="nil"/>
            </w:tcBorders>
          </w:tcPr>
          <w:p w14:paraId="3FDB770A"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-10.9</w:t>
            </w:r>
          </w:p>
          <w:p w14:paraId="61728AF4"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 xml:space="preserve"> 0.6</w:t>
            </w:r>
          </w:p>
          <w:p w14:paraId="0249A80F"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-9.5</w:t>
            </w:r>
          </w:p>
        </w:tc>
        <w:tc>
          <w:tcPr>
            <w:tcW w:w="1440" w:type="dxa"/>
            <w:tcBorders>
              <w:left w:val="nil"/>
              <w:bottom w:val="nil"/>
              <w:right w:val="nil"/>
            </w:tcBorders>
          </w:tcPr>
          <w:p w14:paraId="5EC0ECC3"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2A47E037"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 xml:space="preserve">  0.621</w:t>
            </w:r>
          </w:p>
          <w:p w14:paraId="227173A0"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b/>
                <w:bCs/>
                <w:color w:val="000000" w:themeColor="text1"/>
                <w:sz w:val="20"/>
                <w:szCs w:val="20"/>
              </w:rPr>
              <w:t>&lt;0.001</w:t>
            </w:r>
          </w:p>
        </w:tc>
        <w:tc>
          <w:tcPr>
            <w:tcW w:w="1403" w:type="dxa"/>
            <w:tcBorders>
              <w:left w:val="nil"/>
              <w:bottom w:val="nil"/>
              <w:right w:val="nil"/>
            </w:tcBorders>
          </w:tcPr>
          <w:p w14:paraId="756D8C33"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M = J &gt; F</w:t>
            </w:r>
          </w:p>
        </w:tc>
      </w:tr>
      <w:tr w:rsidR="00E84D11" w:rsidRPr="00B32DE1" w14:paraId="27FD4066" w14:textId="77777777" w:rsidTr="000237E8">
        <w:trPr>
          <w:trHeight w:val="712"/>
        </w:trPr>
        <w:tc>
          <w:tcPr>
            <w:tcW w:w="2036" w:type="dxa"/>
            <w:tcBorders>
              <w:top w:val="nil"/>
              <w:left w:val="nil"/>
              <w:bottom w:val="nil"/>
              <w:right w:val="nil"/>
            </w:tcBorders>
          </w:tcPr>
          <w:p w14:paraId="0965176D"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As: M &gt; F &gt; J</w:t>
            </w:r>
          </w:p>
        </w:tc>
        <w:tc>
          <w:tcPr>
            <w:tcW w:w="2644" w:type="dxa"/>
            <w:tcBorders>
              <w:top w:val="nil"/>
              <w:left w:val="nil"/>
              <w:bottom w:val="nil"/>
              <w:right w:val="nil"/>
            </w:tcBorders>
          </w:tcPr>
          <w:p w14:paraId="0640625B"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M (5.90) vs. F (6.30)</w:t>
            </w:r>
          </w:p>
          <w:p w14:paraId="6F09E18C"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 xml:space="preserve">   J (5.50) vs. M (5.90)</w:t>
            </w:r>
          </w:p>
          <w:p w14:paraId="691EA34E"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J (5.50) vs. F (6.30)</w:t>
            </w:r>
          </w:p>
          <w:p w14:paraId="576BD375" w14:textId="77777777" w:rsidR="00E84D11" w:rsidRPr="00B32DE1" w:rsidRDefault="00E84D11" w:rsidP="000237E8">
            <w:pPr>
              <w:jc w:val="center"/>
              <w:rPr>
                <w:rFonts w:ascii="Arial" w:hAnsi="Arial" w:cs="Arial"/>
                <w:color w:val="000000" w:themeColor="text1"/>
                <w:sz w:val="20"/>
                <w:szCs w:val="20"/>
              </w:rPr>
            </w:pPr>
          </w:p>
        </w:tc>
        <w:tc>
          <w:tcPr>
            <w:tcW w:w="1800" w:type="dxa"/>
            <w:tcBorders>
              <w:top w:val="nil"/>
              <w:left w:val="nil"/>
              <w:bottom w:val="nil"/>
              <w:right w:val="nil"/>
            </w:tcBorders>
          </w:tcPr>
          <w:p w14:paraId="5E9C0D76"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4.8</w:t>
            </w:r>
          </w:p>
          <w:p w14:paraId="23BD5F88"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1.7</w:t>
            </w:r>
          </w:p>
          <w:p w14:paraId="33069AF5"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5.6</w:t>
            </w:r>
          </w:p>
        </w:tc>
        <w:tc>
          <w:tcPr>
            <w:tcW w:w="1440" w:type="dxa"/>
            <w:tcBorders>
              <w:top w:val="nil"/>
              <w:left w:val="nil"/>
              <w:bottom w:val="nil"/>
              <w:right w:val="nil"/>
            </w:tcBorders>
          </w:tcPr>
          <w:p w14:paraId="1F736579"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29089CD7"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 xml:space="preserve">  0.087</w:t>
            </w:r>
          </w:p>
          <w:p w14:paraId="4A759B54"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tc>
        <w:tc>
          <w:tcPr>
            <w:tcW w:w="1403" w:type="dxa"/>
            <w:tcBorders>
              <w:top w:val="nil"/>
              <w:left w:val="nil"/>
              <w:bottom w:val="nil"/>
              <w:right w:val="nil"/>
            </w:tcBorders>
          </w:tcPr>
          <w:p w14:paraId="1CD4BA56"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F &gt; M = J</w:t>
            </w:r>
          </w:p>
        </w:tc>
      </w:tr>
      <w:tr w:rsidR="00E84D11" w:rsidRPr="00B32DE1" w14:paraId="1C89EC15" w14:textId="77777777" w:rsidTr="000237E8">
        <w:trPr>
          <w:trHeight w:val="941"/>
        </w:trPr>
        <w:tc>
          <w:tcPr>
            <w:tcW w:w="2036" w:type="dxa"/>
            <w:tcBorders>
              <w:top w:val="nil"/>
              <w:left w:val="nil"/>
              <w:bottom w:val="single" w:sz="4" w:space="0" w:color="auto"/>
              <w:right w:val="nil"/>
            </w:tcBorders>
          </w:tcPr>
          <w:p w14:paraId="399C43A6"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Sa: M &gt; F &gt; J</w:t>
            </w:r>
          </w:p>
        </w:tc>
        <w:tc>
          <w:tcPr>
            <w:tcW w:w="2644" w:type="dxa"/>
            <w:tcBorders>
              <w:top w:val="nil"/>
              <w:left w:val="nil"/>
              <w:bottom w:val="single" w:sz="4" w:space="0" w:color="auto"/>
              <w:right w:val="nil"/>
            </w:tcBorders>
          </w:tcPr>
          <w:p w14:paraId="3ADC12CB"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M (6.40) vs. F (5.60)</w:t>
            </w:r>
          </w:p>
          <w:p w14:paraId="27C9C745"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J (5.60) vs. M (6.40)</w:t>
            </w:r>
          </w:p>
          <w:p w14:paraId="02EE6D86"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J (5.60) vs. F (5.60)</w:t>
            </w:r>
          </w:p>
          <w:p w14:paraId="0FEC5DC9" w14:textId="77777777" w:rsidR="00E84D11" w:rsidRPr="00B32DE1" w:rsidRDefault="00E84D11" w:rsidP="000237E8">
            <w:pPr>
              <w:jc w:val="center"/>
              <w:rPr>
                <w:rFonts w:ascii="Arial" w:hAnsi="Arial" w:cs="Arial"/>
                <w:color w:val="000000" w:themeColor="text1"/>
                <w:sz w:val="20"/>
                <w:szCs w:val="20"/>
              </w:rPr>
            </w:pPr>
          </w:p>
        </w:tc>
        <w:tc>
          <w:tcPr>
            <w:tcW w:w="1800" w:type="dxa"/>
            <w:tcBorders>
              <w:top w:val="nil"/>
              <w:left w:val="nil"/>
              <w:bottom w:val="single" w:sz="4" w:space="0" w:color="auto"/>
              <w:right w:val="nil"/>
            </w:tcBorders>
          </w:tcPr>
          <w:p w14:paraId="79D6B306"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-8.1</w:t>
            </w:r>
          </w:p>
          <w:p w14:paraId="3C9ED734"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4.9</w:t>
            </w:r>
          </w:p>
          <w:p w14:paraId="34B2C0A1"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-3.2</w:t>
            </w:r>
          </w:p>
        </w:tc>
        <w:tc>
          <w:tcPr>
            <w:tcW w:w="1440" w:type="dxa"/>
            <w:tcBorders>
              <w:top w:val="nil"/>
              <w:left w:val="nil"/>
              <w:bottom w:val="single" w:sz="4" w:space="0" w:color="auto"/>
              <w:right w:val="nil"/>
            </w:tcBorders>
          </w:tcPr>
          <w:p w14:paraId="4894B90E"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0C8C1C64"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7629D4AF"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b/>
                <w:bCs/>
                <w:color w:val="000000" w:themeColor="text1"/>
                <w:sz w:val="20"/>
                <w:szCs w:val="20"/>
              </w:rPr>
              <w:t xml:space="preserve"> 0.002</w:t>
            </w:r>
          </w:p>
        </w:tc>
        <w:tc>
          <w:tcPr>
            <w:tcW w:w="1403" w:type="dxa"/>
            <w:tcBorders>
              <w:top w:val="nil"/>
              <w:left w:val="nil"/>
              <w:bottom w:val="single" w:sz="4" w:space="0" w:color="auto"/>
              <w:right w:val="nil"/>
            </w:tcBorders>
          </w:tcPr>
          <w:p w14:paraId="3DD12BCB"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M &gt; J &gt; F</w:t>
            </w:r>
          </w:p>
        </w:tc>
      </w:tr>
    </w:tbl>
    <w:p w14:paraId="7232933B" w14:textId="77777777" w:rsidR="00E84D11" w:rsidRPr="00B32DE1" w:rsidRDefault="00E84D11" w:rsidP="00E84D11">
      <w:pPr>
        <w:rPr>
          <w:rFonts w:ascii="Arial" w:eastAsiaTheme="minorEastAsia" w:hAnsi="Arial" w:cs="Arial"/>
          <w:b/>
          <w:bCs/>
          <w:color w:val="000000" w:themeColor="text1"/>
          <w:sz w:val="20"/>
          <w:szCs w:val="20"/>
        </w:rPr>
      </w:pPr>
      <w:r w:rsidRPr="00B32DE1">
        <w:rPr>
          <w:rFonts w:ascii="Arial" w:eastAsiaTheme="minorEastAsia" w:hAnsi="Arial" w:cs="Arial"/>
          <w:b/>
          <w:bCs/>
          <w:color w:val="000000" w:themeColor="text1"/>
          <w:sz w:val="20"/>
          <w:szCs w:val="20"/>
        </w:rPr>
        <w:t xml:space="preserve">  Post-hoc Comparison</w:t>
      </w:r>
    </w:p>
    <w:tbl>
      <w:tblPr>
        <w:tblStyle w:val="TableGrid"/>
        <w:tblW w:w="0" w:type="auto"/>
        <w:tblLook w:val="04A0" w:firstRow="1" w:lastRow="0" w:firstColumn="1" w:lastColumn="0" w:noHBand="0" w:noVBand="1"/>
      </w:tblPr>
      <w:tblGrid>
        <w:gridCol w:w="2039"/>
        <w:gridCol w:w="2731"/>
        <w:gridCol w:w="1620"/>
        <w:gridCol w:w="1620"/>
        <w:gridCol w:w="1325"/>
      </w:tblGrid>
      <w:tr w:rsidR="00E84D11" w:rsidRPr="00B32DE1" w14:paraId="265AF1D1" w14:textId="77777777" w:rsidTr="000237E8">
        <w:trPr>
          <w:trHeight w:val="503"/>
        </w:trPr>
        <w:tc>
          <w:tcPr>
            <w:tcW w:w="2039" w:type="dxa"/>
            <w:tcBorders>
              <w:left w:val="nil"/>
              <w:bottom w:val="nil"/>
              <w:right w:val="nil"/>
            </w:tcBorders>
          </w:tcPr>
          <w:p w14:paraId="194721B7"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LlF and As</w:t>
            </w:r>
          </w:p>
        </w:tc>
        <w:tc>
          <w:tcPr>
            <w:tcW w:w="2731" w:type="dxa"/>
            <w:tcBorders>
              <w:left w:val="nil"/>
              <w:bottom w:val="nil"/>
              <w:right w:val="nil"/>
            </w:tcBorders>
          </w:tcPr>
          <w:p w14:paraId="58E536E1" w14:textId="77777777" w:rsidR="00E84D11" w:rsidRPr="00B32DE1" w:rsidRDefault="00E84D11" w:rsidP="000237E8">
            <w:pP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LlF  (8.15) vs.  As (5.90)</w:t>
            </w:r>
          </w:p>
        </w:tc>
        <w:tc>
          <w:tcPr>
            <w:tcW w:w="1620" w:type="dxa"/>
            <w:tcBorders>
              <w:left w:val="nil"/>
              <w:bottom w:val="nil"/>
              <w:right w:val="nil"/>
            </w:tcBorders>
          </w:tcPr>
          <w:p w14:paraId="6C7747ED"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-20.3</w:t>
            </w:r>
          </w:p>
          <w:p w14:paraId="370F4868" w14:textId="77777777" w:rsidR="00E84D11" w:rsidRPr="00B32DE1" w:rsidRDefault="00E84D11" w:rsidP="000237E8">
            <w:pPr>
              <w:jc w:val="center"/>
              <w:rPr>
                <w:rFonts w:ascii="Arial" w:hAnsi="Arial" w:cs="Arial"/>
                <w:b/>
                <w:bCs/>
                <w:color w:val="000000" w:themeColor="text1"/>
                <w:sz w:val="20"/>
                <w:szCs w:val="20"/>
              </w:rPr>
            </w:pPr>
          </w:p>
        </w:tc>
        <w:tc>
          <w:tcPr>
            <w:tcW w:w="1620" w:type="dxa"/>
            <w:tcBorders>
              <w:left w:val="nil"/>
              <w:bottom w:val="nil"/>
              <w:right w:val="nil"/>
            </w:tcBorders>
          </w:tcPr>
          <w:p w14:paraId="60599A9E"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p w14:paraId="688D7B42" w14:textId="77777777" w:rsidR="00E84D11" w:rsidRPr="00B32DE1" w:rsidRDefault="00E84D11" w:rsidP="000237E8">
            <w:pPr>
              <w:rPr>
                <w:rFonts w:ascii="Arial" w:hAnsi="Arial" w:cs="Arial"/>
                <w:b/>
                <w:bCs/>
                <w:color w:val="000000" w:themeColor="text1"/>
                <w:sz w:val="20"/>
                <w:szCs w:val="20"/>
              </w:rPr>
            </w:pPr>
          </w:p>
        </w:tc>
        <w:tc>
          <w:tcPr>
            <w:tcW w:w="1325" w:type="dxa"/>
            <w:tcBorders>
              <w:left w:val="nil"/>
              <w:bottom w:val="nil"/>
              <w:right w:val="nil"/>
            </w:tcBorders>
          </w:tcPr>
          <w:p w14:paraId="16BE8758" w14:textId="77777777" w:rsidR="00E84D11" w:rsidRPr="00B32DE1" w:rsidRDefault="00E84D11" w:rsidP="000237E8">
            <w:pPr>
              <w:rPr>
                <w:rFonts w:ascii="Arial" w:hAnsi="Arial" w:cs="Arial"/>
                <w:b/>
                <w:bCs/>
                <w:color w:val="000000" w:themeColor="text1"/>
                <w:sz w:val="20"/>
                <w:szCs w:val="20"/>
              </w:rPr>
            </w:pPr>
            <w:r w:rsidRPr="00B32DE1">
              <w:rPr>
                <w:rFonts w:ascii="Arial" w:hAnsi="Arial" w:cs="Arial"/>
                <w:b/>
                <w:bCs/>
                <w:color w:val="000000" w:themeColor="text1"/>
                <w:sz w:val="20"/>
                <w:szCs w:val="20"/>
              </w:rPr>
              <w:t>LlF &gt; As</w:t>
            </w:r>
          </w:p>
        </w:tc>
      </w:tr>
      <w:tr w:rsidR="00E84D11" w:rsidRPr="00B32DE1" w14:paraId="2850B855" w14:textId="77777777" w:rsidTr="000237E8">
        <w:trPr>
          <w:trHeight w:val="531"/>
        </w:trPr>
        <w:tc>
          <w:tcPr>
            <w:tcW w:w="2039" w:type="dxa"/>
            <w:tcBorders>
              <w:top w:val="nil"/>
              <w:left w:val="nil"/>
              <w:bottom w:val="nil"/>
              <w:right w:val="nil"/>
            </w:tcBorders>
          </w:tcPr>
          <w:p w14:paraId="09FBB745"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AsF and Ll</w:t>
            </w:r>
          </w:p>
        </w:tc>
        <w:tc>
          <w:tcPr>
            <w:tcW w:w="2731" w:type="dxa"/>
            <w:tcBorders>
              <w:top w:val="nil"/>
              <w:left w:val="nil"/>
              <w:bottom w:val="nil"/>
              <w:right w:val="nil"/>
            </w:tcBorders>
          </w:tcPr>
          <w:p w14:paraId="18B28B77" w14:textId="77777777" w:rsidR="00E84D11" w:rsidRPr="00B32DE1" w:rsidRDefault="00E84D11" w:rsidP="000237E8">
            <w:pP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AsF  (6.30) vs.  Ll  (8.15)</w:t>
            </w:r>
          </w:p>
        </w:tc>
        <w:tc>
          <w:tcPr>
            <w:tcW w:w="1620" w:type="dxa"/>
            <w:tcBorders>
              <w:top w:val="nil"/>
              <w:left w:val="nil"/>
              <w:bottom w:val="nil"/>
              <w:right w:val="nil"/>
            </w:tcBorders>
          </w:tcPr>
          <w:p w14:paraId="149D0CF4"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 xml:space="preserve"> 22.7</w:t>
            </w:r>
          </w:p>
        </w:tc>
        <w:tc>
          <w:tcPr>
            <w:tcW w:w="1620" w:type="dxa"/>
            <w:tcBorders>
              <w:top w:val="nil"/>
              <w:left w:val="nil"/>
              <w:bottom w:val="nil"/>
              <w:right w:val="nil"/>
            </w:tcBorders>
          </w:tcPr>
          <w:p w14:paraId="6806B35F" w14:textId="77777777" w:rsidR="00E84D11" w:rsidRPr="00B32DE1" w:rsidRDefault="00E84D11" w:rsidP="000237E8">
            <w:pPr>
              <w:jc w:val="center"/>
              <w:rPr>
                <w:rFonts w:ascii="Arial" w:hAnsi="Arial" w:cs="Arial"/>
                <w:b/>
                <w:bCs/>
                <w:color w:val="000000" w:themeColor="text1"/>
                <w:sz w:val="20"/>
                <w:szCs w:val="20"/>
              </w:rPr>
            </w:pPr>
            <w:r w:rsidRPr="00B32DE1">
              <w:rPr>
                <w:rFonts w:ascii="Arial" w:hAnsi="Arial" w:cs="Arial"/>
                <w:b/>
                <w:bCs/>
                <w:color w:val="000000" w:themeColor="text1"/>
                <w:sz w:val="20"/>
                <w:szCs w:val="20"/>
              </w:rPr>
              <w:t>&lt;0.001</w:t>
            </w:r>
          </w:p>
        </w:tc>
        <w:tc>
          <w:tcPr>
            <w:tcW w:w="1325" w:type="dxa"/>
            <w:tcBorders>
              <w:top w:val="nil"/>
              <w:left w:val="nil"/>
              <w:bottom w:val="nil"/>
              <w:right w:val="nil"/>
            </w:tcBorders>
          </w:tcPr>
          <w:p w14:paraId="641C2F55" w14:textId="77777777" w:rsidR="00E84D11" w:rsidRPr="00B32DE1" w:rsidRDefault="00E84D11" w:rsidP="000237E8">
            <w:pPr>
              <w:rPr>
                <w:rFonts w:ascii="Arial" w:hAnsi="Arial" w:cs="Arial"/>
                <w:b/>
                <w:bCs/>
                <w:color w:val="000000" w:themeColor="text1"/>
                <w:sz w:val="20"/>
                <w:szCs w:val="20"/>
              </w:rPr>
            </w:pPr>
            <w:r w:rsidRPr="00B32DE1">
              <w:rPr>
                <w:rFonts w:ascii="Arial" w:hAnsi="Arial" w:cs="Arial"/>
                <w:b/>
                <w:bCs/>
                <w:color w:val="000000" w:themeColor="text1"/>
                <w:sz w:val="20"/>
                <w:szCs w:val="20"/>
              </w:rPr>
              <w:t>AsF &lt; Ll</w:t>
            </w:r>
          </w:p>
        </w:tc>
      </w:tr>
      <w:tr w:rsidR="00E84D11" w:rsidRPr="00B32DE1" w14:paraId="2FB3CBB9" w14:textId="77777777" w:rsidTr="000237E8">
        <w:trPr>
          <w:trHeight w:val="531"/>
        </w:trPr>
        <w:tc>
          <w:tcPr>
            <w:tcW w:w="2039" w:type="dxa"/>
            <w:tcBorders>
              <w:top w:val="nil"/>
              <w:left w:val="nil"/>
              <w:bottom w:val="single" w:sz="4" w:space="0" w:color="auto"/>
              <w:right w:val="nil"/>
            </w:tcBorders>
          </w:tcPr>
          <w:p w14:paraId="3BBC504C"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 xml:space="preserve">SaM and </w:t>
            </w:r>
            <w:proofErr w:type="gramStart"/>
            <w:r w:rsidRPr="00B32DE1">
              <w:rPr>
                <w:rFonts w:ascii="Arial" w:hAnsi="Arial" w:cs="Arial"/>
                <w:color w:val="000000" w:themeColor="text1"/>
                <w:sz w:val="20"/>
                <w:szCs w:val="20"/>
              </w:rPr>
              <w:t>As</w:t>
            </w:r>
            <w:proofErr w:type="gramEnd"/>
          </w:p>
        </w:tc>
        <w:tc>
          <w:tcPr>
            <w:tcW w:w="2731" w:type="dxa"/>
            <w:tcBorders>
              <w:top w:val="nil"/>
              <w:left w:val="nil"/>
              <w:bottom w:val="single" w:sz="4" w:space="0" w:color="auto"/>
              <w:right w:val="nil"/>
            </w:tcBorders>
          </w:tcPr>
          <w:p w14:paraId="42614F06"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 xml:space="preserve">   SaM (6.40)  vs. As (5.90)</w:t>
            </w:r>
          </w:p>
        </w:tc>
        <w:tc>
          <w:tcPr>
            <w:tcW w:w="1620" w:type="dxa"/>
            <w:tcBorders>
              <w:top w:val="nil"/>
              <w:left w:val="nil"/>
              <w:bottom w:val="single" w:sz="4" w:space="0" w:color="auto"/>
              <w:right w:val="nil"/>
            </w:tcBorders>
          </w:tcPr>
          <w:p w14:paraId="2A2163BC"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-1.6</w:t>
            </w:r>
          </w:p>
          <w:p w14:paraId="5DFBF2DF" w14:textId="77777777" w:rsidR="00E84D11" w:rsidRPr="00B32DE1" w:rsidRDefault="00E84D11" w:rsidP="000237E8">
            <w:pPr>
              <w:jc w:val="center"/>
              <w:rPr>
                <w:rFonts w:ascii="Arial" w:hAnsi="Arial" w:cs="Arial"/>
                <w:color w:val="000000" w:themeColor="text1"/>
                <w:sz w:val="20"/>
                <w:szCs w:val="20"/>
              </w:rPr>
            </w:pPr>
          </w:p>
        </w:tc>
        <w:tc>
          <w:tcPr>
            <w:tcW w:w="1620" w:type="dxa"/>
            <w:tcBorders>
              <w:top w:val="nil"/>
              <w:left w:val="nil"/>
              <w:bottom w:val="single" w:sz="4" w:space="0" w:color="auto"/>
              <w:right w:val="nil"/>
            </w:tcBorders>
          </w:tcPr>
          <w:p w14:paraId="25A12B1B" w14:textId="77777777" w:rsidR="00E84D11" w:rsidRPr="00B32DE1" w:rsidRDefault="00E84D11" w:rsidP="000237E8">
            <w:pPr>
              <w:jc w:val="center"/>
              <w:rPr>
                <w:rFonts w:ascii="Arial" w:hAnsi="Arial" w:cs="Arial"/>
                <w:color w:val="000000" w:themeColor="text1"/>
                <w:sz w:val="20"/>
                <w:szCs w:val="20"/>
              </w:rPr>
            </w:pPr>
            <w:r w:rsidRPr="00B32DE1">
              <w:rPr>
                <w:rFonts w:ascii="Arial" w:hAnsi="Arial" w:cs="Arial"/>
                <w:color w:val="000000" w:themeColor="text1"/>
                <w:sz w:val="20"/>
                <w:szCs w:val="20"/>
              </w:rPr>
              <w:t>0.105</w:t>
            </w:r>
          </w:p>
          <w:p w14:paraId="32FF7956" w14:textId="77777777" w:rsidR="00E84D11" w:rsidRPr="00B32DE1" w:rsidRDefault="00E84D11" w:rsidP="000237E8">
            <w:pPr>
              <w:jc w:val="center"/>
              <w:rPr>
                <w:rFonts w:ascii="Arial" w:hAnsi="Arial" w:cs="Arial"/>
                <w:color w:val="000000" w:themeColor="text1"/>
                <w:sz w:val="20"/>
                <w:szCs w:val="20"/>
              </w:rPr>
            </w:pPr>
          </w:p>
        </w:tc>
        <w:tc>
          <w:tcPr>
            <w:tcW w:w="1325" w:type="dxa"/>
            <w:tcBorders>
              <w:top w:val="nil"/>
              <w:left w:val="nil"/>
              <w:bottom w:val="single" w:sz="4" w:space="0" w:color="auto"/>
              <w:right w:val="nil"/>
            </w:tcBorders>
          </w:tcPr>
          <w:p w14:paraId="0DDE9982" w14:textId="77777777" w:rsidR="00E84D11" w:rsidRPr="00B32DE1" w:rsidRDefault="00E84D11" w:rsidP="000237E8">
            <w:pPr>
              <w:rPr>
                <w:rFonts w:ascii="Arial" w:hAnsi="Arial" w:cs="Arial"/>
                <w:color w:val="000000" w:themeColor="text1"/>
                <w:sz w:val="20"/>
                <w:szCs w:val="20"/>
              </w:rPr>
            </w:pPr>
            <w:r w:rsidRPr="00B32DE1">
              <w:rPr>
                <w:rFonts w:ascii="Arial" w:hAnsi="Arial" w:cs="Arial"/>
                <w:color w:val="000000" w:themeColor="text1"/>
                <w:sz w:val="20"/>
                <w:szCs w:val="20"/>
              </w:rPr>
              <w:t>SaM = As</w:t>
            </w:r>
          </w:p>
        </w:tc>
      </w:tr>
    </w:tbl>
    <w:p w14:paraId="1F9B343A" w14:textId="77777777" w:rsidR="00E84D11" w:rsidRPr="00405ECA" w:rsidRDefault="00E84D11" w:rsidP="00E84D11">
      <w:pPr>
        <w:shd w:val="clear" w:color="auto" w:fill="FFFFFF"/>
        <w:spacing w:line="480" w:lineRule="auto"/>
        <w:rPr>
          <w:color w:val="000000" w:themeColor="text1"/>
        </w:rPr>
      </w:pPr>
    </w:p>
    <w:p w14:paraId="202F5B81" w14:textId="6F30A3E4" w:rsidR="00E84D11" w:rsidRDefault="002C285E" w:rsidP="00E84D11">
      <w:pPr>
        <w:shd w:val="clear" w:color="auto" w:fill="FFFFFF"/>
        <w:spacing w:line="480" w:lineRule="auto"/>
        <w:jc w:val="center"/>
        <w:rPr>
          <w:color w:val="000000" w:themeColor="text1"/>
        </w:rPr>
      </w:pPr>
      <w:r>
        <w:rPr>
          <w:noProof/>
          <w:color w:val="000000" w:themeColor="text1"/>
        </w:rPr>
        <w:lastRenderedPageBreak/>
        <w:drawing>
          <wp:inline distT="0" distB="0" distL="0" distR="0" wp14:anchorId="66D6DA8D" wp14:editId="42CCCEFC">
            <wp:extent cx="4572000" cy="54111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4572000" cy="5411177"/>
                    </a:xfrm>
                    <a:prstGeom prst="rect">
                      <a:avLst/>
                    </a:prstGeom>
                  </pic:spPr>
                </pic:pic>
              </a:graphicData>
            </a:graphic>
          </wp:inline>
        </w:drawing>
      </w:r>
    </w:p>
    <w:p w14:paraId="29098D55" w14:textId="40F0EE3E" w:rsidR="00FA4925" w:rsidRPr="00A804AA" w:rsidRDefault="00E84D11" w:rsidP="00E84D11">
      <w:pPr>
        <w:spacing w:line="480" w:lineRule="auto"/>
        <w:rPr>
          <w:rFonts w:eastAsiaTheme="minorEastAsia"/>
          <w:color w:val="000000" w:themeColor="text1"/>
        </w:rPr>
      </w:pPr>
      <w:r w:rsidRPr="00886B43">
        <w:rPr>
          <w:b/>
          <w:bCs/>
        </w:rPr>
        <w:t xml:space="preserve">Figure </w:t>
      </w:r>
      <w:r>
        <w:rPr>
          <w:b/>
          <w:bCs/>
        </w:rPr>
        <w:t>S1</w:t>
      </w:r>
      <w:r w:rsidRPr="00EB53F7">
        <w:rPr>
          <w:b/>
          <w:bCs/>
          <w:color w:val="000000" w:themeColor="text1"/>
        </w:rPr>
        <w:t xml:space="preserve">. </w:t>
      </w:r>
      <w:r w:rsidRPr="00EB53F7">
        <w:rPr>
          <w:color w:val="000000" w:themeColor="text1"/>
        </w:rPr>
        <w:t>Boxplots of the widths (mm) of seeds dispersed by each species (</w:t>
      </w:r>
      <w:r w:rsidRPr="00EB53F7">
        <w:rPr>
          <w:i/>
          <w:iCs/>
          <w:color w:val="000000" w:themeColor="text1"/>
        </w:rPr>
        <w:t>Lagothrix lagothricha</w:t>
      </w:r>
      <w:r w:rsidRPr="00EB53F7">
        <w:rPr>
          <w:color w:val="000000" w:themeColor="text1"/>
        </w:rPr>
        <w:t xml:space="preserve">: </w:t>
      </w:r>
      <w:r>
        <w:rPr>
          <w:color w:val="000000" w:themeColor="text1"/>
        </w:rPr>
        <w:t xml:space="preserve">N = </w:t>
      </w:r>
      <w:r w:rsidRPr="00EB53F7">
        <w:rPr>
          <w:color w:val="000000" w:themeColor="text1"/>
        </w:rPr>
        <w:t>2011 seeds</w:t>
      </w:r>
      <w:r w:rsidRPr="00EB53F7">
        <w:rPr>
          <w:i/>
          <w:iCs/>
          <w:color w:val="000000" w:themeColor="text1"/>
        </w:rPr>
        <w:t>, Alouatta seniculus</w:t>
      </w:r>
      <w:r w:rsidRPr="00EB53F7">
        <w:rPr>
          <w:color w:val="000000" w:themeColor="text1"/>
        </w:rPr>
        <w:t xml:space="preserve">: </w:t>
      </w:r>
      <w:r>
        <w:rPr>
          <w:color w:val="000000" w:themeColor="text1"/>
        </w:rPr>
        <w:t xml:space="preserve">N = </w:t>
      </w:r>
      <w:r w:rsidRPr="00EB53F7">
        <w:rPr>
          <w:color w:val="000000" w:themeColor="text1"/>
        </w:rPr>
        <w:t>3960</w:t>
      </w:r>
      <w:r w:rsidRPr="00EB53F7">
        <w:rPr>
          <w:i/>
          <w:iCs/>
          <w:color w:val="000000" w:themeColor="text1"/>
        </w:rPr>
        <w:t>, Sapajus apella</w:t>
      </w:r>
      <w:r w:rsidRPr="00EB53F7">
        <w:rPr>
          <w:color w:val="000000" w:themeColor="text1"/>
        </w:rPr>
        <w:t xml:space="preserve">: </w:t>
      </w:r>
      <w:r>
        <w:rPr>
          <w:color w:val="000000" w:themeColor="text1"/>
        </w:rPr>
        <w:t xml:space="preserve">N = </w:t>
      </w:r>
      <w:r w:rsidRPr="00EB53F7">
        <w:rPr>
          <w:color w:val="000000" w:themeColor="text1"/>
        </w:rPr>
        <w:t xml:space="preserve">2782) and age/sex class (adult males, adult females, juveniles). These boxplots do not include </w:t>
      </w:r>
      <w:r>
        <w:rPr>
          <w:color w:val="000000" w:themeColor="text1"/>
        </w:rPr>
        <w:t>the smallest seeds</w:t>
      </w:r>
      <w:r w:rsidRPr="00EB53F7">
        <w:rPr>
          <w:color w:val="000000" w:themeColor="text1"/>
        </w:rPr>
        <w:t xml:space="preserve"> (</w:t>
      </w:r>
      <w:r w:rsidRPr="00EB53F7">
        <w:rPr>
          <w:i/>
          <w:iCs/>
          <w:color w:val="000000" w:themeColor="text1"/>
        </w:rPr>
        <w:t>Miconia ternatifolia</w:t>
      </w:r>
      <w:r w:rsidRPr="00EB53F7">
        <w:rPr>
          <w:color w:val="000000" w:themeColor="text1"/>
        </w:rPr>
        <w:t>:</w:t>
      </w:r>
      <w:r w:rsidRPr="00EB53F7">
        <w:rPr>
          <w:i/>
          <w:iCs/>
          <w:color w:val="000000" w:themeColor="text1"/>
        </w:rPr>
        <w:t xml:space="preserve"> </w:t>
      </w:r>
      <w:r w:rsidRPr="00EB53F7">
        <w:rPr>
          <w:color w:val="000000" w:themeColor="text1"/>
        </w:rPr>
        <w:t>0.8 mm</w:t>
      </w:r>
      <w:r w:rsidRPr="00EB53F7">
        <w:rPr>
          <w:i/>
          <w:iCs/>
          <w:color w:val="000000" w:themeColor="text1"/>
        </w:rPr>
        <w:t xml:space="preserve">, Ficus </w:t>
      </w:r>
      <w:r w:rsidRPr="00EB53F7">
        <w:rPr>
          <w:color w:val="000000" w:themeColor="text1"/>
        </w:rPr>
        <w:t xml:space="preserve">sp.: 1 mm, </w:t>
      </w:r>
      <w:r w:rsidRPr="00EB53F7">
        <w:rPr>
          <w:i/>
          <w:iCs/>
          <w:color w:val="000000" w:themeColor="text1"/>
        </w:rPr>
        <w:t>Dipteryx micrantha</w:t>
      </w:r>
      <w:r w:rsidRPr="00EB53F7">
        <w:rPr>
          <w:color w:val="000000" w:themeColor="text1"/>
        </w:rPr>
        <w:t xml:space="preserve">: 20 mm), as these were excluded from this analysis. The fecal samples for </w:t>
      </w:r>
      <w:r w:rsidRPr="00EB53F7">
        <w:rPr>
          <w:i/>
          <w:iCs/>
          <w:color w:val="000000" w:themeColor="text1"/>
        </w:rPr>
        <w:t xml:space="preserve">L. lagothricha </w:t>
      </w:r>
      <w:r w:rsidRPr="00EB53F7">
        <w:rPr>
          <w:color w:val="000000" w:themeColor="text1"/>
        </w:rPr>
        <w:t xml:space="preserve">are from Rey Zamuro (November 2018 to March 2020) and for </w:t>
      </w:r>
      <w:r w:rsidRPr="00EB53F7">
        <w:rPr>
          <w:i/>
          <w:iCs/>
          <w:color w:val="000000" w:themeColor="text1"/>
        </w:rPr>
        <w:t xml:space="preserve">A. seniculus </w:t>
      </w:r>
      <w:r w:rsidRPr="00EB53F7">
        <w:rPr>
          <w:color w:val="000000" w:themeColor="text1"/>
        </w:rPr>
        <w:t xml:space="preserve">and </w:t>
      </w:r>
      <w:r w:rsidRPr="00EB53F7">
        <w:rPr>
          <w:i/>
          <w:iCs/>
          <w:color w:val="000000" w:themeColor="text1"/>
        </w:rPr>
        <w:t>S. apella</w:t>
      </w:r>
      <w:r w:rsidRPr="00EB53F7">
        <w:rPr>
          <w:color w:val="000000" w:themeColor="text1"/>
        </w:rPr>
        <w:t xml:space="preserve"> are from Santa Rosa (September to December 2006), both located in Meta, Colombia. Line: median, box: interquartile range, points: outliers, defined as greater than 1.5 times the interquartile range away from the </w:t>
      </w:r>
      <w:r w:rsidRPr="00EB53F7">
        <w:rPr>
          <w:color w:val="000000" w:themeColor="text1"/>
        </w:rPr>
        <w:lastRenderedPageBreak/>
        <w:t>first or third quartile.</w:t>
      </w:r>
      <w:r w:rsidRPr="00EB53F7">
        <w:rPr>
          <w:rFonts w:eastAsiaTheme="minorEastAsia"/>
          <w:i/>
          <w:iCs/>
          <w:color w:val="000000" w:themeColor="text1"/>
        </w:rPr>
        <w:t xml:space="preserve"> </w:t>
      </w:r>
      <w:r w:rsidRPr="00EB53F7">
        <w:rPr>
          <w:rFonts w:eastAsiaTheme="minorEastAsia"/>
          <w:color w:val="000000" w:themeColor="text1"/>
        </w:rPr>
        <w:t>Under each species name is the range of seed sizes</w:t>
      </w:r>
      <w:r w:rsidR="00CC5EC6">
        <w:rPr>
          <w:rFonts w:eastAsiaTheme="minorEastAsia"/>
          <w:color w:val="000000" w:themeColor="text1"/>
        </w:rPr>
        <w:t xml:space="preserve"> (included in the statistical analyses)</w:t>
      </w:r>
      <w:r w:rsidRPr="00EB53F7">
        <w:rPr>
          <w:rFonts w:eastAsiaTheme="minorEastAsia"/>
          <w:color w:val="000000" w:themeColor="text1"/>
        </w:rPr>
        <w:t xml:space="preserve"> they dispersed</w:t>
      </w:r>
      <w:r>
        <w:rPr>
          <w:rFonts w:eastAsiaTheme="minorEastAsia"/>
          <w:color w:val="000000" w:themeColor="text1"/>
        </w:rPr>
        <w:t xml:space="preserve"> </w:t>
      </w:r>
      <w:r>
        <w:rPr>
          <w:rFonts w:eastAsiaTheme="minorEastAsia"/>
          <w:color w:val="000000" w:themeColor="text1"/>
          <w:lang w:val="en-GB"/>
        </w:rPr>
        <w:t>and next to each age/sex class is the number of individuals sampled</w:t>
      </w:r>
      <w:r w:rsidRPr="00EB53F7">
        <w:rPr>
          <w:rFonts w:eastAsiaTheme="minorEastAsia"/>
          <w:color w:val="000000" w:themeColor="text1"/>
        </w:rPr>
        <w:t xml:space="preserve">. The dotted lines represent the thresholds for “large” and “very large” seeds used in this study: </w:t>
      </w:r>
      <w:r w:rsidRPr="00EB53F7">
        <w:rPr>
          <w:rFonts w:eastAsiaTheme="minorEastAsia"/>
          <w:color w:val="000000" w:themeColor="text1"/>
        </w:rPr>
        <w:sym w:font="Symbol" w:char="F0B3"/>
      </w:r>
      <w:r w:rsidRPr="00EB53F7">
        <w:rPr>
          <w:rFonts w:eastAsiaTheme="minorEastAsia"/>
          <w:color w:val="000000" w:themeColor="text1"/>
        </w:rPr>
        <w:t xml:space="preserve"> 5.9, &gt; 7.5).</w:t>
      </w:r>
      <w:r>
        <w:rPr>
          <w:rFonts w:eastAsiaTheme="minorEastAsia"/>
          <w:color w:val="000000" w:themeColor="text1"/>
        </w:rPr>
        <w:t xml:space="preserve"> For the analysis including smaller seeds, refer to Figure 2 in the main text.</w:t>
      </w:r>
    </w:p>
    <w:sectPr w:rsidR="00FA4925" w:rsidRPr="00A804AA" w:rsidSect="00E84D11">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6FB"/>
    <w:rsid w:val="002C285E"/>
    <w:rsid w:val="004425E4"/>
    <w:rsid w:val="004A4562"/>
    <w:rsid w:val="005076EF"/>
    <w:rsid w:val="006804D2"/>
    <w:rsid w:val="00A804AA"/>
    <w:rsid w:val="00AF26FB"/>
    <w:rsid w:val="00CC5EC6"/>
    <w:rsid w:val="00E1247F"/>
    <w:rsid w:val="00E84D11"/>
    <w:rsid w:val="00EC3CE6"/>
    <w:rsid w:val="00FA4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A44AC9"/>
  <w15:chartTrackingRefBased/>
  <w15:docId w15:val="{DCCBC136-ACD5-B247-899E-E3476F16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D1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84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Ariek Norford</dc:creator>
  <cp:keywords/>
  <dc:description/>
  <cp:lastModifiedBy>Ariek Norford</cp:lastModifiedBy>
  <cp:revision>8</cp:revision>
  <dcterms:created xsi:type="dcterms:W3CDTF">2022-12-23T17:02:00Z</dcterms:created>
  <dcterms:modified xsi:type="dcterms:W3CDTF">2023-08-23T02:04:00Z</dcterms:modified>
</cp:coreProperties>
</file>