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0DC1" w14:textId="3701288C" w:rsidR="00DB3869" w:rsidRPr="006746CA" w:rsidRDefault="005178C9" w:rsidP="006746CA">
      <w:pPr>
        <w:pStyle w:val="Bibliography"/>
        <w:spacing w:line="480" w:lineRule="auto"/>
        <w:jc w:val="center"/>
        <w:rPr>
          <w:b/>
          <w:bCs/>
        </w:rPr>
      </w:pPr>
      <w:r w:rsidRPr="006746CA">
        <w:rPr>
          <w:b/>
          <w:bCs/>
        </w:rPr>
        <w:t>Supplementary material</w:t>
      </w:r>
      <w:r w:rsidR="00882AD1" w:rsidRPr="006746CA">
        <w:rPr>
          <w:b/>
          <w:bCs/>
        </w:rPr>
        <w:t xml:space="preserve"> (</w:t>
      </w:r>
      <w:r w:rsidR="00CA26DB" w:rsidRPr="006746CA">
        <w:rPr>
          <w:b/>
          <w:bCs/>
        </w:rPr>
        <w:t>remaining references</w:t>
      </w:r>
      <w:r w:rsidR="00882AD1" w:rsidRPr="006746CA">
        <w:rPr>
          <w:b/>
          <w:bCs/>
        </w:rPr>
        <w:t>)</w:t>
      </w:r>
      <w:r w:rsidRPr="006746CA">
        <w:rPr>
          <w:b/>
          <w:bCs/>
        </w:rPr>
        <w:t>:</w:t>
      </w:r>
    </w:p>
    <w:p w14:paraId="0F10019D" w14:textId="46015C43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t>MacSwan</w:t>
      </w:r>
      <w:proofErr w:type="spellEnd"/>
      <w:r w:rsidRPr="006746CA">
        <w:t xml:space="preserve">, J. (2017). A Multilingual Perspective on Translanguaging. </w:t>
      </w:r>
      <w:r w:rsidRPr="006746CA">
        <w:rPr>
          <w:i/>
          <w:iCs/>
        </w:rPr>
        <w:t>American Educational Research Journal</w:t>
      </w:r>
      <w:r w:rsidRPr="006746CA">
        <w:t xml:space="preserve">, </w:t>
      </w:r>
      <w:r w:rsidRPr="006746CA">
        <w:rPr>
          <w:i/>
          <w:iCs/>
        </w:rPr>
        <w:t>54</w:t>
      </w:r>
      <w:r w:rsidRPr="006746CA">
        <w:t xml:space="preserve">(1), 167–201. </w:t>
      </w:r>
    </w:p>
    <w:p w14:paraId="741AA838" w14:textId="77777777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t>MacSwan</w:t>
      </w:r>
      <w:proofErr w:type="spellEnd"/>
      <w:r w:rsidRPr="006746CA">
        <w:t xml:space="preserve">, J., &amp; </w:t>
      </w:r>
      <w:proofErr w:type="spellStart"/>
      <w:r w:rsidRPr="006746CA">
        <w:t>Rolstad</w:t>
      </w:r>
      <w:proofErr w:type="spellEnd"/>
      <w:r w:rsidRPr="006746CA">
        <w:t xml:space="preserve">, K. (2006). How language tests mislead us about children’s abilities: Implications for special education placements. </w:t>
      </w:r>
      <w:r w:rsidRPr="006746CA">
        <w:rPr>
          <w:i/>
          <w:iCs/>
        </w:rPr>
        <w:t>Teachers College Record, 108</w:t>
      </w:r>
      <w:r w:rsidRPr="006746CA">
        <w:t>(11), 2304–2328.</w:t>
      </w:r>
    </w:p>
    <w:p w14:paraId="3DB4516C" w14:textId="77777777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Malkin, E. (2010, November 26). Rebelling Against Spain, This Time with Words. </w:t>
      </w:r>
      <w:r w:rsidRPr="006746CA">
        <w:rPr>
          <w:i/>
          <w:iCs/>
        </w:rPr>
        <w:t>The New York Times</w:t>
      </w:r>
      <w:r w:rsidRPr="006746CA">
        <w:t xml:space="preserve">. Retrieved from </w:t>
      </w:r>
      <w:hyperlink r:id="rId7" w:history="1">
        <w:r w:rsidRPr="006746CA">
          <w:rPr>
            <w:rStyle w:val="Hyperlink"/>
          </w:rPr>
          <w:t>https://www.nytimes.com/2010/11/26/world/europe/26spanish.html</w:t>
        </w:r>
      </w:hyperlink>
      <w:r w:rsidRPr="006746CA">
        <w:t xml:space="preserve">. </w:t>
      </w:r>
    </w:p>
    <w:p w14:paraId="49A4776C" w14:textId="54739166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McWhorter, J. (2016, January 19). There’s No Such Thing as a ‘Language’. </w:t>
      </w:r>
      <w:r w:rsidRPr="006746CA">
        <w:rPr>
          <w:i/>
          <w:iCs/>
        </w:rPr>
        <w:t>The Atlantic</w:t>
      </w:r>
      <w:r w:rsidRPr="006746CA">
        <w:t xml:space="preserve">. </w:t>
      </w:r>
      <w:hyperlink r:id="rId8" w:history="1">
        <w:r w:rsidRPr="006746CA">
          <w:t>https://www.theatlantic.com/international/archive/2016/01/difference-between-language-dialect/424704/</w:t>
        </w:r>
      </w:hyperlink>
      <w:r w:rsidR="006746CA">
        <w:t xml:space="preserve">. </w:t>
      </w:r>
    </w:p>
    <w:p w14:paraId="4586463F" w14:textId="4890AE03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t>Mukan</w:t>
      </w:r>
      <w:proofErr w:type="spellEnd"/>
      <w:r w:rsidRPr="006746CA">
        <w:t xml:space="preserve">, N., </w:t>
      </w:r>
      <w:proofErr w:type="spellStart"/>
      <w:r w:rsidRPr="006746CA">
        <w:t>Shyika</w:t>
      </w:r>
      <w:proofErr w:type="spellEnd"/>
      <w:r w:rsidRPr="006746CA">
        <w:t xml:space="preserve">, J., &amp; </w:t>
      </w:r>
      <w:proofErr w:type="spellStart"/>
      <w:r w:rsidRPr="006746CA">
        <w:t>Shyika</w:t>
      </w:r>
      <w:proofErr w:type="spellEnd"/>
      <w:r w:rsidRPr="006746CA">
        <w:t xml:space="preserve">, O. (2017). The development of bilingual education in Canada. </w:t>
      </w:r>
      <w:r w:rsidRPr="006746CA">
        <w:rPr>
          <w:i/>
        </w:rPr>
        <w:t>Advanced Education,</w:t>
      </w:r>
      <w:r w:rsidRPr="006746CA">
        <w:rPr>
          <w:i/>
          <w:iCs/>
        </w:rPr>
        <w:t xml:space="preserve"> </w:t>
      </w:r>
      <w:r w:rsidRPr="006746CA">
        <w:rPr>
          <w:i/>
        </w:rPr>
        <w:t>4</w:t>
      </w:r>
      <w:r w:rsidRPr="006746CA">
        <w:t xml:space="preserve">(8), 35–40. </w:t>
      </w:r>
    </w:p>
    <w:p w14:paraId="4B41BAD3" w14:textId="03E8BB4F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Neo-Bustamante, L. (2019, September 16). Key facts about U.S. Hispanics and their diverse heritage. </w:t>
      </w:r>
      <w:r w:rsidRPr="006746CA">
        <w:rPr>
          <w:i/>
          <w:iCs/>
        </w:rPr>
        <w:t>Pew Research Center</w:t>
      </w:r>
      <w:r w:rsidRPr="006746CA">
        <w:t xml:space="preserve">. Retrieved from </w:t>
      </w:r>
      <w:hyperlink r:id="rId9" w:history="1">
        <w:r w:rsidRPr="006746CA">
          <w:rPr>
            <w:rStyle w:val="Hyperlink"/>
          </w:rPr>
          <w:t>https://www.pewresearch.org/fact-tank/2019/09/16/key-facts-about-u-s-hispanics/</w:t>
        </w:r>
      </w:hyperlink>
      <w:r w:rsidRPr="006746CA">
        <w:t xml:space="preserve">. </w:t>
      </w:r>
    </w:p>
    <w:p w14:paraId="33A9059F" w14:textId="5F60EAD3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Neo-Bustamante, L., Mora, L., &amp; Lopez, M. H. (2020, August 11). Latinx used by just 3% of U.S. Hispanics. About one-in-four have heard of it. </w:t>
      </w:r>
      <w:r w:rsidRPr="006746CA">
        <w:rPr>
          <w:i/>
          <w:iCs/>
        </w:rPr>
        <w:t>Pew Research Center’s Hispanic Trends Project</w:t>
      </w:r>
      <w:r w:rsidRPr="006746CA">
        <w:t xml:space="preserve">. </w:t>
      </w:r>
      <w:hyperlink r:id="rId10" w:history="1">
        <w:r w:rsidRPr="006746CA">
          <w:rPr>
            <w:rStyle w:val="Hyperlink"/>
          </w:rPr>
          <w:t>https://www.pewresearch.org/hispanic/2020/08/11/about-one-in-four-u-s-hispanics-have-heard-of-latinx-but-just-3-use-it/</w:t>
        </w:r>
      </w:hyperlink>
      <w:r w:rsidRPr="006746CA">
        <w:t xml:space="preserve">. </w:t>
      </w:r>
    </w:p>
    <w:p w14:paraId="76497DD9" w14:textId="73E3ED31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>Onís, C. (Kathleen) M. de. (2017). What’s in an “x</w:t>
      </w:r>
      <w:proofErr w:type="gramStart"/>
      <w:r w:rsidRPr="006746CA">
        <w:t>”?:</w:t>
      </w:r>
      <w:proofErr w:type="gramEnd"/>
      <w:r w:rsidRPr="006746CA">
        <w:t xml:space="preserve"> An exchange about the politics of “Latinx.” </w:t>
      </w:r>
      <w:proofErr w:type="spellStart"/>
      <w:r w:rsidRPr="006746CA">
        <w:rPr>
          <w:i/>
          <w:iCs/>
        </w:rPr>
        <w:t>Chiricú</w:t>
      </w:r>
      <w:proofErr w:type="spellEnd"/>
      <w:r w:rsidRPr="006746CA">
        <w:rPr>
          <w:i/>
          <w:iCs/>
        </w:rPr>
        <w:t xml:space="preserve"> Journal: Latina/o Literatures, Arts, and Cultures</w:t>
      </w:r>
      <w:r w:rsidRPr="006746CA">
        <w:t xml:space="preserve">, </w:t>
      </w:r>
      <w:r w:rsidRPr="006746CA">
        <w:rPr>
          <w:i/>
          <w:iCs/>
        </w:rPr>
        <w:t>1</w:t>
      </w:r>
      <w:r w:rsidRPr="006746CA">
        <w:t xml:space="preserve">(2), 78–91. JSTOR. </w:t>
      </w:r>
    </w:p>
    <w:p w14:paraId="7C6DECE8" w14:textId="0A0F59C7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lastRenderedPageBreak/>
        <w:t>Otheguy</w:t>
      </w:r>
      <w:proofErr w:type="spellEnd"/>
      <w:r w:rsidRPr="006746CA">
        <w:t xml:space="preserve">, R., García, O., &amp; Reid, W. (2019). A translanguaging view of the linguistic system of bilinguals. </w:t>
      </w:r>
      <w:r w:rsidRPr="006746CA">
        <w:rPr>
          <w:i/>
          <w:iCs/>
        </w:rPr>
        <w:t>Applied Linguistics Review</w:t>
      </w:r>
      <w:r w:rsidRPr="006746CA">
        <w:t xml:space="preserve">, </w:t>
      </w:r>
      <w:r w:rsidRPr="006746CA">
        <w:rPr>
          <w:i/>
          <w:iCs/>
        </w:rPr>
        <w:t>10</w:t>
      </w:r>
      <w:r w:rsidRPr="006746CA">
        <w:t xml:space="preserve">(4), 625–651. </w:t>
      </w:r>
    </w:p>
    <w:p w14:paraId="202682E2" w14:textId="77777777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t>Otheguy</w:t>
      </w:r>
      <w:proofErr w:type="spellEnd"/>
      <w:r w:rsidRPr="006746CA">
        <w:t xml:space="preserve">, R., &amp; Stern, N. (2011). On so-called Spanglish. </w:t>
      </w:r>
      <w:r w:rsidRPr="006746CA">
        <w:rPr>
          <w:i/>
          <w:iCs/>
        </w:rPr>
        <w:t>International Journal of Bilingualism</w:t>
      </w:r>
      <w:r w:rsidRPr="006746CA">
        <w:t xml:space="preserve">, </w:t>
      </w:r>
      <w:r w:rsidRPr="006746CA">
        <w:rPr>
          <w:i/>
          <w:iCs/>
        </w:rPr>
        <w:t>15</w:t>
      </w:r>
      <w:r w:rsidRPr="006746CA">
        <w:t xml:space="preserve">(1), 85–100. </w:t>
      </w:r>
    </w:p>
    <w:p w14:paraId="0077E2A9" w14:textId="6036DE42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Phuong, J. &amp; </w:t>
      </w:r>
      <w:proofErr w:type="spellStart"/>
      <w:r w:rsidRPr="006746CA">
        <w:t>Cioè</w:t>
      </w:r>
      <w:proofErr w:type="spellEnd"/>
      <w:r w:rsidRPr="006746CA">
        <w:t xml:space="preserve">-Peña, M. (forthcoming). Perfect or Mocha: Language policing and </w:t>
      </w:r>
      <w:proofErr w:type="spellStart"/>
      <w:r w:rsidRPr="006746CA">
        <w:t>pathologization</w:t>
      </w:r>
      <w:proofErr w:type="spellEnd"/>
      <w:r w:rsidRPr="006746CA">
        <w:t xml:space="preserve">. In S., Annamma, B. </w:t>
      </w:r>
      <w:proofErr w:type="spellStart"/>
      <w:r w:rsidRPr="006746CA">
        <w:t>Ferri</w:t>
      </w:r>
      <w:proofErr w:type="spellEnd"/>
      <w:r w:rsidRPr="006746CA">
        <w:t xml:space="preserve">, &amp; D. Connor (Eds), </w:t>
      </w:r>
      <w:proofErr w:type="spellStart"/>
      <w:r w:rsidRPr="006746CA">
        <w:rPr>
          <w:i/>
          <w:iCs/>
        </w:rPr>
        <w:t>DisCrit</w:t>
      </w:r>
      <w:proofErr w:type="spellEnd"/>
      <w:r w:rsidRPr="006746CA">
        <w:rPr>
          <w:i/>
          <w:iCs/>
        </w:rPr>
        <w:t xml:space="preserve"> Expanded: Inquiries, Reverberations &amp; Ruptures</w:t>
      </w:r>
      <w:r w:rsidRPr="006746CA">
        <w:t>.</w:t>
      </w:r>
    </w:p>
    <w:p w14:paraId="123F169C" w14:textId="33F96BC2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Romaine, S. (2007). Preserving endangered languages. </w:t>
      </w:r>
      <w:r w:rsidRPr="006746CA">
        <w:rPr>
          <w:i/>
          <w:iCs/>
        </w:rPr>
        <w:t>Language and Linguistics Compass, 1</w:t>
      </w:r>
      <w:r w:rsidRPr="006746CA">
        <w:t>(1‐2), 115–132.</w:t>
      </w:r>
    </w:p>
    <w:p w14:paraId="19530E68" w14:textId="747794A6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Rosa, J. (2016). From mock Spanish to inverted Spanglish. In H. S. Alim, J. R. Rickford, &amp; A. F. Ball (Eds.) </w:t>
      </w:r>
      <w:r w:rsidRPr="006746CA">
        <w:rPr>
          <w:i/>
        </w:rPr>
        <w:t>Raciolinguistics: How language shapes our ideas about race</w:t>
      </w:r>
      <w:r w:rsidRPr="006746CA">
        <w:t xml:space="preserve"> (pp. 65–80). Oxford University Press.</w:t>
      </w:r>
    </w:p>
    <w:p w14:paraId="225C5F72" w14:textId="2A8EA1A9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Rosa, J., &amp; Flores, N. (2017). Unsettling race and language: Toward a raciolinguistic perspective. </w:t>
      </w:r>
      <w:r w:rsidRPr="006746CA">
        <w:rPr>
          <w:i/>
          <w:iCs/>
        </w:rPr>
        <w:t>Language in Society</w:t>
      </w:r>
      <w:r w:rsidRPr="006746CA">
        <w:t xml:space="preserve">, </w:t>
      </w:r>
      <w:r w:rsidRPr="006746CA">
        <w:rPr>
          <w:i/>
          <w:iCs/>
        </w:rPr>
        <w:t>46</w:t>
      </w:r>
      <w:r w:rsidRPr="006746CA">
        <w:t xml:space="preserve">(5), 621–647. </w:t>
      </w:r>
    </w:p>
    <w:p w14:paraId="4CC66853" w14:textId="77777777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Roy, S., &amp; </w:t>
      </w:r>
      <w:proofErr w:type="spellStart"/>
      <w:r w:rsidRPr="006746CA">
        <w:t>Galiev</w:t>
      </w:r>
      <w:proofErr w:type="spellEnd"/>
      <w:r w:rsidRPr="006746CA">
        <w:t xml:space="preserve">, A. (2011). Discourses on bilingualism in Canadian French immersion programs. </w:t>
      </w:r>
      <w:r w:rsidRPr="006746CA">
        <w:rPr>
          <w:i/>
          <w:iCs/>
        </w:rPr>
        <w:t>The Canadian Modern Language Review</w:t>
      </w:r>
      <w:r w:rsidRPr="006746CA">
        <w:t xml:space="preserve">, </w:t>
      </w:r>
      <w:r w:rsidRPr="006746CA">
        <w:rPr>
          <w:i/>
          <w:iCs/>
        </w:rPr>
        <w:t>67</w:t>
      </w:r>
      <w:r w:rsidRPr="006746CA">
        <w:t xml:space="preserve">(3), 351–376. </w:t>
      </w:r>
    </w:p>
    <w:p w14:paraId="729D1A6B" w14:textId="77777777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Swain, M. (2006). Languaging, agency and collaboration in advanced second language proﬁciency. In H. Byrnes (Ed.), </w:t>
      </w:r>
      <w:r w:rsidRPr="006746CA">
        <w:rPr>
          <w:i/>
          <w:iCs/>
        </w:rPr>
        <w:t>Advanced Language Learning: The Contribution of Halliday and Vygotsky</w:t>
      </w:r>
      <w:r w:rsidRPr="006746CA">
        <w:t xml:space="preserve"> (pp. 95–108). A&amp;C Black.</w:t>
      </w:r>
    </w:p>
    <w:p w14:paraId="100B705D" w14:textId="3CDCA5E3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Thomas, J., &amp; McDonagh, D. (2013). Shared language: Towards more effective communication. </w:t>
      </w:r>
      <w:r w:rsidRPr="006746CA">
        <w:rPr>
          <w:i/>
          <w:iCs/>
        </w:rPr>
        <w:t>The Australasian Medical Journal</w:t>
      </w:r>
      <w:r w:rsidRPr="006746CA">
        <w:t xml:space="preserve">, </w:t>
      </w:r>
      <w:r w:rsidRPr="006746CA">
        <w:rPr>
          <w:i/>
          <w:iCs/>
        </w:rPr>
        <w:t>6</w:t>
      </w:r>
      <w:r w:rsidRPr="006746CA">
        <w:t xml:space="preserve">(1), 46–54. </w:t>
      </w:r>
    </w:p>
    <w:p w14:paraId="21E24C12" w14:textId="20B7D5C4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>Tuck, E., &amp; Yang, K. W. (2012). Decolonization is not a metaphor.</w:t>
      </w:r>
      <w:r w:rsidR="006746CA">
        <w:t xml:space="preserve"> </w:t>
      </w:r>
      <w:r w:rsidRPr="006746CA">
        <w:rPr>
          <w:i/>
          <w:iCs/>
        </w:rPr>
        <w:t>Decolonization: Indigeneity, education &amp; society,</w:t>
      </w:r>
      <w:r w:rsidR="006746CA" w:rsidRPr="006746CA">
        <w:rPr>
          <w:i/>
          <w:iCs/>
        </w:rPr>
        <w:t xml:space="preserve"> </w:t>
      </w:r>
      <w:r w:rsidRPr="006746CA">
        <w:rPr>
          <w:i/>
          <w:iCs/>
        </w:rPr>
        <w:t>1</w:t>
      </w:r>
      <w:r w:rsidRPr="006746CA">
        <w:t>(1).</w:t>
      </w:r>
    </w:p>
    <w:p w14:paraId="018D0F6E" w14:textId="77777777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lastRenderedPageBreak/>
        <w:t>Umansky</w:t>
      </w:r>
      <w:proofErr w:type="spellEnd"/>
      <w:r w:rsidRPr="006746CA">
        <w:t xml:space="preserve">, I. M., Thompson, K. D., &amp; Díaz, G. (2017). Using an ever-English learner framework to examine disproportionality in special education. </w:t>
      </w:r>
      <w:r w:rsidRPr="006746CA">
        <w:rPr>
          <w:i/>
          <w:iCs/>
        </w:rPr>
        <w:t>Exceptional Children, 84</w:t>
      </w:r>
      <w:r w:rsidRPr="006746CA">
        <w:t xml:space="preserve">(1), 76–96. </w:t>
      </w:r>
    </w:p>
    <w:p w14:paraId="1B95ADFA" w14:textId="3A8CDFDF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Vasquez Heilig, J., &amp; </w:t>
      </w:r>
      <w:proofErr w:type="spellStart"/>
      <w:r w:rsidRPr="006746CA">
        <w:t>Holme</w:t>
      </w:r>
      <w:proofErr w:type="spellEnd"/>
      <w:r w:rsidRPr="006746CA">
        <w:t xml:space="preserve">, J. J. (2013). Nearly 50 Years Post-Jim Crow: Persisting and expansive school segregation for African American, Latina/o, and ELL Students in Texas. </w:t>
      </w:r>
      <w:r w:rsidRPr="006746CA">
        <w:rPr>
          <w:i/>
          <w:iCs/>
        </w:rPr>
        <w:t>Education and Urban Society</w:t>
      </w:r>
      <w:r w:rsidRPr="006746CA">
        <w:t xml:space="preserve">, </w:t>
      </w:r>
      <w:r w:rsidRPr="006746CA">
        <w:rPr>
          <w:i/>
          <w:iCs/>
        </w:rPr>
        <w:t>45</w:t>
      </w:r>
      <w:r w:rsidRPr="006746CA">
        <w:t xml:space="preserve">(5), 609–632. </w:t>
      </w:r>
    </w:p>
    <w:p w14:paraId="58402071" w14:textId="49752F59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t>Vessey</w:t>
      </w:r>
      <w:proofErr w:type="spellEnd"/>
      <w:r w:rsidRPr="006746CA">
        <w:t xml:space="preserve">, R. (2014). Borrowed words, mock </w:t>
      </w:r>
      <w:proofErr w:type="gramStart"/>
      <w:r w:rsidRPr="006746CA">
        <w:t>language</w:t>
      </w:r>
      <w:proofErr w:type="gramEnd"/>
      <w:r w:rsidRPr="006746CA">
        <w:t xml:space="preserve"> and nationalism in Canada. </w:t>
      </w:r>
      <w:r w:rsidRPr="006746CA">
        <w:rPr>
          <w:i/>
          <w:iCs/>
        </w:rPr>
        <w:t>Language and Intercultural Communication</w:t>
      </w:r>
      <w:r w:rsidRPr="006746CA">
        <w:t xml:space="preserve">, </w:t>
      </w:r>
      <w:r w:rsidRPr="006746CA">
        <w:rPr>
          <w:i/>
          <w:iCs/>
        </w:rPr>
        <w:t>14</w:t>
      </w:r>
      <w:r w:rsidRPr="006746CA">
        <w:t xml:space="preserve">(2), 176–190. </w:t>
      </w:r>
    </w:p>
    <w:p w14:paraId="2F29857A" w14:textId="29C99404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Wheeler, E. M. (2015). Race, legacy, and lineage in the Dominican Republic. </w:t>
      </w:r>
      <w:r w:rsidRPr="006746CA">
        <w:rPr>
          <w:i/>
          <w:iCs/>
        </w:rPr>
        <w:t>The Black Scholar</w:t>
      </w:r>
      <w:r w:rsidRPr="006746CA">
        <w:t xml:space="preserve">, </w:t>
      </w:r>
      <w:r w:rsidRPr="006746CA">
        <w:rPr>
          <w:i/>
          <w:iCs/>
        </w:rPr>
        <w:t>45</w:t>
      </w:r>
      <w:r w:rsidRPr="006746CA">
        <w:t>(2), 34–44.</w:t>
      </w:r>
    </w:p>
    <w:p w14:paraId="66F26333" w14:textId="35401B6B" w:rsidR="00DB3869" w:rsidRPr="006746CA" w:rsidRDefault="00DB3869" w:rsidP="006746CA">
      <w:pPr>
        <w:pStyle w:val="Bibliography"/>
        <w:spacing w:line="480" w:lineRule="auto"/>
        <w:ind w:left="720" w:hanging="720"/>
      </w:pPr>
      <w:r w:rsidRPr="006746CA">
        <w:t xml:space="preserve">Wildcat, M. (2015). Fearing social and cultural death: Genocide and elimination in settler colonial Canada—an Indigenous perspective. </w:t>
      </w:r>
      <w:r w:rsidRPr="006746CA">
        <w:rPr>
          <w:i/>
          <w:iCs/>
        </w:rPr>
        <w:t>Journal of Genocide Research</w:t>
      </w:r>
      <w:r w:rsidRPr="006746CA">
        <w:t xml:space="preserve">, </w:t>
      </w:r>
      <w:r w:rsidRPr="006746CA">
        <w:rPr>
          <w:i/>
          <w:iCs/>
        </w:rPr>
        <w:t>17</w:t>
      </w:r>
      <w:r w:rsidRPr="006746CA">
        <w:t xml:space="preserve">(4), 391–409. </w:t>
      </w:r>
    </w:p>
    <w:p w14:paraId="7BD4791C" w14:textId="578D5CB6" w:rsidR="00DB3869" w:rsidRPr="006746CA" w:rsidRDefault="00DB3869" w:rsidP="006746CA">
      <w:pPr>
        <w:pStyle w:val="Bibliography"/>
        <w:spacing w:line="480" w:lineRule="auto"/>
        <w:ind w:left="720" w:hanging="720"/>
      </w:pPr>
      <w:proofErr w:type="spellStart"/>
      <w:r w:rsidRPr="006746CA">
        <w:t>Zentella</w:t>
      </w:r>
      <w:proofErr w:type="spellEnd"/>
      <w:r w:rsidRPr="006746CA">
        <w:t>, A.C. (2017). “</w:t>
      </w:r>
      <w:proofErr w:type="spellStart"/>
      <w:r w:rsidRPr="006746CA">
        <w:t>Limpia</w:t>
      </w:r>
      <w:proofErr w:type="spellEnd"/>
      <w:r w:rsidRPr="006746CA">
        <w:t xml:space="preserve">, </w:t>
      </w:r>
      <w:proofErr w:type="spellStart"/>
      <w:r w:rsidRPr="006746CA">
        <w:t>fija</w:t>
      </w:r>
      <w:proofErr w:type="spellEnd"/>
      <w:r w:rsidRPr="006746CA">
        <w:t xml:space="preserve"> y da </w:t>
      </w:r>
      <w:proofErr w:type="spellStart"/>
      <w:r w:rsidRPr="006746CA">
        <w:t>esplendor</w:t>
      </w:r>
      <w:proofErr w:type="spellEnd"/>
      <w:r w:rsidRPr="006746CA">
        <w:t xml:space="preserve">”: Challenging the Symbolic Violence of the Royal Spanish Academy. </w:t>
      </w:r>
      <w:proofErr w:type="spellStart"/>
      <w:r w:rsidRPr="006746CA">
        <w:rPr>
          <w:i/>
        </w:rPr>
        <w:t>Chiricú</w:t>
      </w:r>
      <w:proofErr w:type="spellEnd"/>
      <w:r w:rsidRPr="006746CA">
        <w:rPr>
          <w:i/>
        </w:rPr>
        <w:t xml:space="preserve"> Journal: Latina/o Literatures, Arts, and Cultures,</w:t>
      </w:r>
      <w:r w:rsidRPr="006746CA">
        <w:rPr>
          <w:i/>
          <w:iCs/>
        </w:rPr>
        <w:t xml:space="preserve"> </w:t>
      </w:r>
      <w:r w:rsidRPr="006746CA">
        <w:rPr>
          <w:i/>
        </w:rPr>
        <w:t>1</w:t>
      </w:r>
      <w:r w:rsidRPr="006746CA">
        <w:t xml:space="preserve">(2), 21–42. </w:t>
      </w:r>
    </w:p>
    <w:p w14:paraId="2137225B" w14:textId="77777777" w:rsidR="00DB3869" w:rsidRPr="006746CA" w:rsidRDefault="00DB3869" w:rsidP="006746CA">
      <w:pPr>
        <w:spacing w:line="480" w:lineRule="auto"/>
        <w:ind w:left="720" w:hanging="720"/>
      </w:pPr>
    </w:p>
    <w:p w14:paraId="484AEA3B" w14:textId="77777777" w:rsidR="003064D3" w:rsidRPr="006746CA" w:rsidRDefault="00EB277B" w:rsidP="006746CA">
      <w:pPr>
        <w:spacing w:line="480" w:lineRule="auto"/>
        <w:ind w:left="720" w:hanging="720"/>
      </w:pPr>
    </w:p>
    <w:sectPr w:rsidR="003064D3" w:rsidRPr="006746CA" w:rsidSect="00936BE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40EE" w14:textId="77777777" w:rsidR="00EB277B" w:rsidRDefault="00EB277B" w:rsidP="00DB3869">
      <w:r>
        <w:separator/>
      </w:r>
    </w:p>
  </w:endnote>
  <w:endnote w:type="continuationSeparator" w:id="0">
    <w:p w14:paraId="508AECC3" w14:textId="77777777" w:rsidR="00EB277B" w:rsidRDefault="00EB277B" w:rsidP="00DB3869">
      <w:r>
        <w:continuationSeparator/>
      </w:r>
    </w:p>
  </w:endnote>
  <w:endnote w:type="continuationNotice" w:id="1">
    <w:p w14:paraId="19061F69" w14:textId="77777777" w:rsidR="00EB277B" w:rsidRDefault="00EB2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2C66" w14:textId="77777777" w:rsidR="005178C9" w:rsidRDefault="005178C9" w:rsidP="00CA2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D45D" w14:textId="77777777" w:rsidR="00EB277B" w:rsidRDefault="00EB277B" w:rsidP="00DB3869">
      <w:r>
        <w:separator/>
      </w:r>
    </w:p>
  </w:footnote>
  <w:footnote w:type="continuationSeparator" w:id="0">
    <w:p w14:paraId="353E10F4" w14:textId="77777777" w:rsidR="00EB277B" w:rsidRDefault="00EB277B" w:rsidP="00DB3869">
      <w:r>
        <w:continuationSeparator/>
      </w:r>
    </w:p>
  </w:footnote>
  <w:footnote w:type="continuationNotice" w:id="1">
    <w:p w14:paraId="61D7CCAA" w14:textId="77777777" w:rsidR="00EB277B" w:rsidRDefault="00EB2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052" w14:textId="77777777" w:rsidR="005178C9" w:rsidRDefault="005178C9" w:rsidP="00CA2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08B"/>
    <w:multiLevelType w:val="multilevel"/>
    <w:tmpl w:val="9FA6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69"/>
    <w:rsid w:val="00003FED"/>
    <w:rsid w:val="00037061"/>
    <w:rsid w:val="000450EE"/>
    <w:rsid w:val="000469BF"/>
    <w:rsid w:val="00047B8D"/>
    <w:rsid w:val="00052A05"/>
    <w:rsid w:val="00054460"/>
    <w:rsid w:val="00087001"/>
    <w:rsid w:val="000B5342"/>
    <w:rsid w:val="000C2B6F"/>
    <w:rsid w:val="000C4510"/>
    <w:rsid w:val="000D3405"/>
    <w:rsid w:val="000D47F0"/>
    <w:rsid w:val="000E0454"/>
    <w:rsid w:val="000E1DF6"/>
    <w:rsid w:val="000F6172"/>
    <w:rsid w:val="00101D66"/>
    <w:rsid w:val="00106269"/>
    <w:rsid w:val="00107855"/>
    <w:rsid w:val="0011007E"/>
    <w:rsid w:val="00121A59"/>
    <w:rsid w:val="00124DDF"/>
    <w:rsid w:val="00150B74"/>
    <w:rsid w:val="001557D0"/>
    <w:rsid w:val="00163985"/>
    <w:rsid w:val="00163B2E"/>
    <w:rsid w:val="00176A33"/>
    <w:rsid w:val="001968C9"/>
    <w:rsid w:val="001A5F0B"/>
    <w:rsid w:val="001C0BD7"/>
    <w:rsid w:val="001C1062"/>
    <w:rsid w:val="001C326D"/>
    <w:rsid w:val="001E1CC9"/>
    <w:rsid w:val="001E7A8D"/>
    <w:rsid w:val="001F301A"/>
    <w:rsid w:val="001F4096"/>
    <w:rsid w:val="001F4FAC"/>
    <w:rsid w:val="00201F13"/>
    <w:rsid w:val="00221BD7"/>
    <w:rsid w:val="00253F2D"/>
    <w:rsid w:val="002911CD"/>
    <w:rsid w:val="002B1468"/>
    <w:rsid w:val="002B3C79"/>
    <w:rsid w:val="002D561A"/>
    <w:rsid w:val="002E199E"/>
    <w:rsid w:val="002E5BF6"/>
    <w:rsid w:val="002F6752"/>
    <w:rsid w:val="002F6F1D"/>
    <w:rsid w:val="00315AC7"/>
    <w:rsid w:val="00321D89"/>
    <w:rsid w:val="00373052"/>
    <w:rsid w:val="00380892"/>
    <w:rsid w:val="003823EC"/>
    <w:rsid w:val="003836A6"/>
    <w:rsid w:val="00384475"/>
    <w:rsid w:val="003A7B4A"/>
    <w:rsid w:val="003B0F10"/>
    <w:rsid w:val="003B2502"/>
    <w:rsid w:val="003B5AA1"/>
    <w:rsid w:val="003B736A"/>
    <w:rsid w:val="003F5638"/>
    <w:rsid w:val="00413B9C"/>
    <w:rsid w:val="004175AB"/>
    <w:rsid w:val="00461459"/>
    <w:rsid w:val="00470634"/>
    <w:rsid w:val="004713E1"/>
    <w:rsid w:val="00477B49"/>
    <w:rsid w:val="00490503"/>
    <w:rsid w:val="004A46EF"/>
    <w:rsid w:val="004A7082"/>
    <w:rsid w:val="004E52D8"/>
    <w:rsid w:val="004F3F4F"/>
    <w:rsid w:val="00500761"/>
    <w:rsid w:val="005058C5"/>
    <w:rsid w:val="005178C9"/>
    <w:rsid w:val="00534BC4"/>
    <w:rsid w:val="0054066E"/>
    <w:rsid w:val="0054443C"/>
    <w:rsid w:val="00547925"/>
    <w:rsid w:val="005737BE"/>
    <w:rsid w:val="00590947"/>
    <w:rsid w:val="00593761"/>
    <w:rsid w:val="005A32EC"/>
    <w:rsid w:val="005C37EA"/>
    <w:rsid w:val="005C4252"/>
    <w:rsid w:val="00606562"/>
    <w:rsid w:val="00630EBC"/>
    <w:rsid w:val="0064362B"/>
    <w:rsid w:val="0065071D"/>
    <w:rsid w:val="00652344"/>
    <w:rsid w:val="00666C15"/>
    <w:rsid w:val="006746CA"/>
    <w:rsid w:val="00684103"/>
    <w:rsid w:val="00690C4D"/>
    <w:rsid w:val="006C66B5"/>
    <w:rsid w:val="006C70B9"/>
    <w:rsid w:val="006D040B"/>
    <w:rsid w:val="006E31FD"/>
    <w:rsid w:val="006E4D77"/>
    <w:rsid w:val="006F5243"/>
    <w:rsid w:val="00701367"/>
    <w:rsid w:val="00702CC9"/>
    <w:rsid w:val="0072380D"/>
    <w:rsid w:val="007374A4"/>
    <w:rsid w:val="00761302"/>
    <w:rsid w:val="00761BC6"/>
    <w:rsid w:val="00770E0F"/>
    <w:rsid w:val="007A044D"/>
    <w:rsid w:val="007A6718"/>
    <w:rsid w:val="007B668E"/>
    <w:rsid w:val="007C03CE"/>
    <w:rsid w:val="007D4A91"/>
    <w:rsid w:val="007E35BB"/>
    <w:rsid w:val="007E676B"/>
    <w:rsid w:val="007F17C4"/>
    <w:rsid w:val="00822F0D"/>
    <w:rsid w:val="00860E8D"/>
    <w:rsid w:val="00877C20"/>
    <w:rsid w:val="00882AD1"/>
    <w:rsid w:val="00886191"/>
    <w:rsid w:val="0089152B"/>
    <w:rsid w:val="00897775"/>
    <w:rsid w:val="008A68CC"/>
    <w:rsid w:val="008A6D7F"/>
    <w:rsid w:val="008C7219"/>
    <w:rsid w:val="008D409E"/>
    <w:rsid w:val="008E1713"/>
    <w:rsid w:val="008F7B9B"/>
    <w:rsid w:val="00903A51"/>
    <w:rsid w:val="0091047F"/>
    <w:rsid w:val="0092023D"/>
    <w:rsid w:val="00936BE4"/>
    <w:rsid w:val="00962C64"/>
    <w:rsid w:val="009766AB"/>
    <w:rsid w:val="00980515"/>
    <w:rsid w:val="009F6731"/>
    <w:rsid w:val="00A04FCD"/>
    <w:rsid w:val="00A22E55"/>
    <w:rsid w:val="00A74161"/>
    <w:rsid w:val="00A742BA"/>
    <w:rsid w:val="00A7636B"/>
    <w:rsid w:val="00A914FA"/>
    <w:rsid w:val="00A97A33"/>
    <w:rsid w:val="00AA5F69"/>
    <w:rsid w:val="00AC2F90"/>
    <w:rsid w:val="00AD2EA5"/>
    <w:rsid w:val="00AE3EB8"/>
    <w:rsid w:val="00AF135B"/>
    <w:rsid w:val="00B0184F"/>
    <w:rsid w:val="00B031D2"/>
    <w:rsid w:val="00B179F4"/>
    <w:rsid w:val="00B50ED2"/>
    <w:rsid w:val="00B86F38"/>
    <w:rsid w:val="00BA2DA0"/>
    <w:rsid w:val="00BA69A5"/>
    <w:rsid w:val="00BD3CE7"/>
    <w:rsid w:val="00BF24D8"/>
    <w:rsid w:val="00C60076"/>
    <w:rsid w:val="00C7067B"/>
    <w:rsid w:val="00CA26DB"/>
    <w:rsid w:val="00CC1C44"/>
    <w:rsid w:val="00CC2F35"/>
    <w:rsid w:val="00CD19BE"/>
    <w:rsid w:val="00CF75BD"/>
    <w:rsid w:val="00D01789"/>
    <w:rsid w:val="00D5270A"/>
    <w:rsid w:val="00D558E7"/>
    <w:rsid w:val="00D671AD"/>
    <w:rsid w:val="00D76330"/>
    <w:rsid w:val="00D93BF3"/>
    <w:rsid w:val="00DB3869"/>
    <w:rsid w:val="00DD0EAD"/>
    <w:rsid w:val="00DF4EBA"/>
    <w:rsid w:val="00DF567F"/>
    <w:rsid w:val="00E04E7F"/>
    <w:rsid w:val="00E43446"/>
    <w:rsid w:val="00E43C96"/>
    <w:rsid w:val="00E54466"/>
    <w:rsid w:val="00E545DB"/>
    <w:rsid w:val="00E608D7"/>
    <w:rsid w:val="00E60E84"/>
    <w:rsid w:val="00E6278D"/>
    <w:rsid w:val="00E64715"/>
    <w:rsid w:val="00E668F3"/>
    <w:rsid w:val="00E873EC"/>
    <w:rsid w:val="00E90E5A"/>
    <w:rsid w:val="00EB277B"/>
    <w:rsid w:val="00EB2F18"/>
    <w:rsid w:val="00EB4239"/>
    <w:rsid w:val="00EC1738"/>
    <w:rsid w:val="00EC48AF"/>
    <w:rsid w:val="00ED4610"/>
    <w:rsid w:val="00EE4280"/>
    <w:rsid w:val="00F17E82"/>
    <w:rsid w:val="00F27626"/>
    <w:rsid w:val="00F459ED"/>
    <w:rsid w:val="00F5207D"/>
    <w:rsid w:val="00F57956"/>
    <w:rsid w:val="00F675C9"/>
    <w:rsid w:val="00FC22D2"/>
    <w:rsid w:val="00FC372A"/>
    <w:rsid w:val="00FC5F48"/>
    <w:rsid w:val="00FF4CE0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664A4"/>
  <w15:chartTrackingRefBased/>
  <w15:docId w15:val="{6AFE4434-6A65-3E42-8656-CA7B6470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8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AF"/>
    <w:rPr>
      <w:rFonts w:ascii="Times New Roman" w:hAnsi="Times New Roman"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178C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8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86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8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8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386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B3869"/>
    <w:rPr>
      <w:i/>
      <w:iCs/>
    </w:rPr>
  </w:style>
  <w:style w:type="character" w:customStyle="1" w:styleId="authors">
    <w:name w:val="authors"/>
    <w:basedOn w:val="DefaultParagraphFont"/>
    <w:rsid w:val="00DB3869"/>
  </w:style>
  <w:style w:type="character" w:customStyle="1" w:styleId="Date1">
    <w:name w:val="Date1"/>
    <w:basedOn w:val="DefaultParagraphFont"/>
    <w:rsid w:val="00DB3869"/>
  </w:style>
  <w:style w:type="character" w:customStyle="1" w:styleId="arttitle">
    <w:name w:val="art_title"/>
    <w:basedOn w:val="DefaultParagraphFont"/>
    <w:rsid w:val="00DB3869"/>
  </w:style>
  <w:style w:type="character" w:customStyle="1" w:styleId="serialtitle">
    <w:name w:val="serial_title"/>
    <w:basedOn w:val="DefaultParagraphFont"/>
    <w:rsid w:val="00DB3869"/>
  </w:style>
  <w:style w:type="character" w:customStyle="1" w:styleId="volumeissue">
    <w:name w:val="volume_issue"/>
    <w:basedOn w:val="DefaultParagraphFont"/>
    <w:rsid w:val="00DB3869"/>
  </w:style>
  <w:style w:type="character" w:customStyle="1" w:styleId="pagerange">
    <w:name w:val="page_range"/>
    <w:basedOn w:val="DefaultParagraphFont"/>
    <w:rsid w:val="00DB3869"/>
  </w:style>
  <w:style w:type="character" w:customStyle="1" w:styleId="doilink">
    <w:name w:val="doi_link"/>
    <w:basedOn w:val="DefaultParagraphFont"/>
    <w:rsid w:val="00DB3869"/>
  </w:style>
  <w:style w:type="paragraph" w:styleId="Revision">
    <w:name w:val="Revision"/>
    <w:hidden/>
    <w:uiPriority w:val="99"/>
    <w:semiHidden/>
    <w:rsid w:val="00DB3869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B386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386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86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38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B3869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DB38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3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69"/>
  </w:style>
  <w:style w:type="paragraph" w:styleId="Footer">
    <w:name w:val="footer"/>
    <w:basedOn w:val="Normal"/>
    <w:link w:val="FooterChar"/>
    <w:uiPriority w:val="99"/>
    <w:unhideWhenUsed/>
    <w:rsid w:val="00DB3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lantic.com/international/archive/2016/01/difference-between-language-dialect/4247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ytimes.com/2010/11/26/world/europe/26spanish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ewresearch.org/hispanic/2020/08/11/about-one-in-four-u-s-hispanics-have-heard-of-latinx-but-just-3-use-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wresearch.org/fact-tank/2019/09/16/key-facts-about-u-s-hispan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</dc:creator>
  <cp:keywords/>
  <dc:description/>
  <cp:lastModifiedBy>Mackey RA</cp:lastModifiedBy>
  <cp:revision>2</cp:revision>
  <dcterms:created xsi:type="dcterms:W3CDTF">2022-01-11T22:11:00Z</dcterms:created>
  <dcterms:modified xsi:type="dcterms:W3CDTF">2022-01-11T22:11:00Z</dcterms:modified>
</cp:coreProperties>
</file>