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07EA" w14:textId="77777777" w:rsidR="001C51DB" w:rsidRDefault="00FF1B2B" w:rsidP="006653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</w:t>
      </w:r>
      <w:r w:rsidR="00F32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Materials</w:t>
      </w:r>
    </w:p>
    <w:p w14:paraId="123C8403" w14:textId="4E94FB36" w:rsidR="001C51DB" w:rsidRDefault="001C51DB" w:rsidP="006653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31372" w14:textId="77777777" w:rsidR="00F9380F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EC6">
        <w:rPr>
          <w:rFonts w:ascii="Times New Roman" w:eastAsia="Times New Roman" w:hAnsi="Times New Roman" w:cs="Times New Roman"/>
          <w:b/>
          <w:sz w:val="24"/>
          <w:szCs w:val="24"/>
        </w:rPr>
        <w:t>Excerpts from Test Instructions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380F">
        <w:rPr>
          <w:rFonts w:ascii="Times New Roman" w:eastAsia="Times New Roman" w:hAnsi="Times New Roman" w:cs="Times New Roman"/>
          <w:b/>
          <w:sz w:val="24"/>
          <w:szCs w:val="24"/>
        </w:rPr>
        <w:t>in the True Guess Condition</w:t>
      </w:r>
    </w:p>
    <w:p w14:paraId="24FBBA44" w14:textId="6CDA0B6E" w:rsidR="00EB4EC6" w:rsidRDefault="00F9380F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80F">
        <w:rPr>
          <w:rFonts w:ascii="Times New Roman" w:eastAsia="Times New Roman" w:hAnsi="Times New Roman" w:cs="Times New Roman"/>
          <w:sz w:val="24"/>
          <w:szCs w:val="24"/>
        </w:rPr>
        <w:t xml:space="preserve">The excerpts below illustrate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F9380F">
        <w:rPr>
          <w:rFonts w:ascii="Times New Roman" w:eastAsia="Times New Roman" w:hAnsi="Times New Roman" w:cs="Times New Roman"/>
          <w:sz w:val="24"/>
          <w:szCs w:val="24"/>
        </w:rPr>
        <w:t>w zero-confidence and g</w:t>
      </w:r>
      <w:r w:rsidRPr="00117FC3">
        <w:rPr>
          <w:rFonts w:ascii="Times New Roman" w:eastAsia="Times New Roman" w:hAnsi="Times New Roman" w:cs="Times New Roman"/>
          <w:sz w:val="24"/>
          <w:szCs w:val="24"/>
        </w:rPr>
        <w:t>uess responses w</w:t>
      </w:r>
      <w:r w:rsidRPr="00DD7A55">
        <w:rPr>
          <w:rFonts w:ascii="Times New Roman" w:eastAsia="Times New Roman" w:hAnsi="Times New Roman" w:cs="Times New Roman"/>
          <w:sz w:val="24"/>
          <w:szCs w:val="24"/>
        </w:rPr>
        <w:t xml:space="preserve">ere </w:t>
      </w:r>
      <w:r w:rsidR="00C17397">
        <w:rPr>
          <w:rFonts w:ascii="Times New Roman" w:eastAsia="Times New Roman" w:hAnsi="Times New Roman" w:cs="Times New Roman"/>
          <w:sz w:val="24"/>
          <w:szCs w:val="24"/>
        </w:rPr>
        <w:t>presented to participants</w:t>
      </w:r>
      <w:r w:rsidR="00C17397" w:rsidRPr="00301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C17397">
        <w:rPr>
          <w:rFonts w:ascii="Times New Roman" w:eastAsia="Times New Roman" w:hAnsi="Times New Roman" w:cs="Times New Roman"/>
          <w:sz w:val="24"/>
          <w:szCs w:val="24"/>
        </w:rPr>
        <w:t xml:space="preserve"> instructions for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True Guess condition.</w:t>
      </w:r>
    </w:p>
    <w:p w14:paraId="395EA166" w14:textId="77777777" w:rsidR="005E3247" w:rsidRPr="00301130" w:rsidRDefault="005E3247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5BF4D" w14:textId="384AB482" w:rsidR="00EB4EC6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397">
        <w:rPr>
          <w:rFonts w:ascii="Times New Roman" w:eastAsia="Times New Roman" w:hAnsi="Times New Roman" w:cs="Times New Roman"/>
          <w:sz w:val="24"/>
          <w:szCs w:val="24"/>
          <w:u w:val="single"/>
        </w:rPr>
        <w:t>Confidence ratings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092855" w14:textId="7EE55E8E" w:rsidR="00EB4EC6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Press 0 if you have no confidence at all (i.e., you are completely </w:t>
      </w:r>
      <w:proofErr w:type="gramStart"/>
      <w:r w:rsidRPr="00EB4EC6">
        <w:rPr>
          <w:rFonts w:ascii="Times New Roman" w:eastAsia="Times New Roman" w:hAnsi="Times New Roman" w:cs="Times New Roman"/>
          <w:sz w:val="24"/>
          <w:szCs w:val="24"/>
        </w:rPr>
        <w:t>guessing</w:t>
      </w:r>
      <w:proofErr w:type="gramEnd"/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 and a random computer-generated response is just as likely to be corre</w:t>
      </w:r>
      <w:r>
        <w:rPr>
          <w:rFonts w:ascii="Times New Roman" w:eastAsia="Times New Roman" w:hAnsi="Times New Roman" w:cs="Times New Roman"/>
          <w:sz w:val="24"/>
          <w:szCs w:val="24"/>
        </w:rPr>
        <w:t>ct).</w:t>
      </w: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8C292C" w14:textId="77777777" w:rsidR="005E3247" w:rsidRDefault="005E3247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DEDF49" w14:textId="7E628B6F" w:rsidR="00EB4EC6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397">
        <w:rPr>
          <w:rFonts w:ascii="Times New Roman" w:eastAsia="Times New Roman" w:hAnsi="Times New Roman" w:cs="Times New Roman"/>
          <w:sz w:val="24"/>
          <w:szCs w:val="24"/>
          <w:u w:val="single"/>
        </w:rPr>
        <w:t>Source attributions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6E6D1F" w14:textId="28F600ED" w:rsidR="00EB4EC6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Guess = Your decision was based on a guess (i.e., a random response is just as likely to be correct, so you would be fine with the computer </w:t>
      </w:r>
      <w:r>
        <w:rPr>
          <w:rFonts w:ascii="Times New Roman" w:eastAsia="Times New Roman" w:hAnsi="Times New Roman" w:cs="Times New Roman"/>
          <w:sz w:val="24"/>
          <w:szCs w:val="24"/>
        </w:rPr>
        <w:t>generating the answer for you).</w:t>
      </w: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59B96" w14:textId="77777777" w:rsidR="005E3247" w:rsidRDefault="005E3247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65575" w14:textId="03F5759F" w:rsidR="00EB4EC6" w:rsidRPr="00EB4EC6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397">
        <w:rPr>
          <w:rFonts w:ascii="Times New Roman" w:eastAsia="Times New Roman" w:hAnsi="Times New Roman" w:cs="Times New Roman"/>
          <w:sz w:val="24"/>
          <w:szCs w:val="24"/>
          <w:u w:val="single"/>
        </w:rPr>
        <w:t>Follow-up note during the instructions</w:t>
      </w: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1894D3D" w14:textId="77777777" w:rsidR="00EB4EC6" w:rsidRPr="00EB4EC6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60A">
        <w:rPr>
          <w:rFonts w:ascii="Times New Roman" w:eastAsia="Times New Roman" w:hAnsi="Times New Roman" w:cs="Times New Roman"/>
          <w:b/>
          <w:sz w:val="24"/>
          <w:szCs w:val="24"/>
        </w:rPr>
        <w:t>PLEASE NOTE:</w:t>
      </w: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 If you indicate that your answer is a guess (i.e., by choosing </w:t>
      </w:r>
      <w:r w:rsidRPr="00DC260A">
        <w:rPr>
          <w:rFonts w:ascii="Times New Roman" w:eastAsia="Times New Roman" w:hAnsi="Times New Roman" w:cs="Times New Roman"/>
          <w:b/>
          <w:sz w:val="24"/>
          <w:szCs w:val="24"/>
        </w:rPr>
        <w:t>zero</w:t>
      </w: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60A">
        <w:rPr>
          <w:rFonts w:ascii="Times New Roman" w:eastAsia="Times New Roman" w:hAnsi="Times New Roman" w:cs="Times New Roman"/>
          <w:b/>
          <w:sz w:val="24"/>
          <w:szCs w:val="24"/>
        </w:rPr>
        <w:t>confidence</w:t>
      </w: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DC260A">
        <w:rPr>
          <w:rFonts w:ascii="Times New Roman" w:eastAsia="Times New Roman" w:hAnsi="Times New Roman" w:cs="Times New Roman"/>
          <w:b/>
          <w:sz w:val="24"/>
          <w:szCs w:val="24"/>
        </w:rPr>
        <w:t>guess</w:t>
      </w:r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 as the basis of your decision), the computer will </w:t>
      </w:r>
      <w:proofErr w:type="gramStart"/>
      <w:r w:rsidRPr="00EB4EC6">
        <w:rPr>
          <w:rFonts w:ascii="Times New Roman" w:eastAsia="Times New Roman" w:hAnsi="Times New Roman" w:cs="Times New Roman"/>
          <w:sz w:val="24"/>
          <w:szCs w:val="24"/>
        </w:rPr>
        <w:t>actually select</w:t>
      </w:r>
      <w:proofErr w:type="gramEnd"/>
      <w:r w:rsidRPr="00EB4EC6">
        <w:rPr>
          <w:rFonts w:ascii="Times New Roman" w:eastAsia="Times New Roman" w:hAnsi="Times New Roman" w:cs="Times New Roman"/>
          <w:sz w:val="24"/>
          <w:szCs w:val="24"/>
        </w:rPr>
        <w:t xml:space="preserve"> an answer for you at random. That is, your answer will be replaced with the computer’s answer, with a 50-50 chance of being correct (the same as if you had truly guessed).</w:t>
      </w:r>
    </w:p>
    <w:p w14:paraId="6CFB1EC0" w14:textId="77777777" w:rsidR="005E3247" w:rsidRDefault="005E3247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12606" w14:textId="410EB9CF" w:rsidR="00EB4EC6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397">
        <w:rPr>
          <w:rFonts w:ascii="Times New Roman" w:eastAsia="Times New Roman" w:hAnsi="Times New Roman" w:cs="Times New Roman"/>
          <w:sz w:val="24"/>
          <w:szCs w:val="24"/>
          <w:u w:val="single"/>
        </w:rPr>
        <w:t>Computer response to zero-confidence and guess responses during the test phase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762CAB" w14:textId="6B9F909A" w:rsidR="00EB4EC6" w:rsidRPr="00EB4EC6" w:rsidRDefault="00EB4EC6" w:rsidP="000E008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C6">
        <w:rPr>
          <w:rFonts w:ascii="Times New Roman" w:eastAsia="Times New Roman" w:hAnsi="Times New Roman" w:cs="Times New Roman"/>
          <w:sz w:val="24"/>
          <w:szCs w:val="24"/>
        </w:rPr>
        <w:t>OK. You have indicated that you were guessing, so the computer has randomly selected an answer for you! Do you accept?</w:t>
      </w:r>
    </w:p>
    <w:p w14:paraId="36A11F10" w14:textId="7AAE1592" w:rsidR="001C51DB" w:rsidRDefault="00FF1B2B" w:rsidP="0066533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Interview Questions for the Traditional (TR), True Guess (TG), and No Subjective Measures (</w:t>
      </w:r>
      <w:proofErr w:type="spellStart"/>
      <w:r w:rsidR="00F9380F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Groups</w:t>
      </w:r>
    </w:p>
    <w:p w14:paraId="1771C35E" w14:textId="77777777" w:rsidR="005E3247" w:rsidRDefault="005E3247" w:rsidP="0066533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17696" w14:textId="77777777" w:rsidR="001C51DB" w:rsidRDefault="00FF1B2B" w:rsidP="00665332">
      <w:pPr>
        <w:numPr>
          <w:ilvl w:val="0"/>
          <w:numId w:val="1"/>
        </w:num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[ALL] In the last part of the experiment, what was your reaction when you had to start filling in the blank?</w:t>
      </w:r>
    </w:p>
    <w:p w14:paraId="2A9F472A" w14:textId="037E86D1" w:rsidR="001C51DB" w:rsidRDefault="00FF1B2B" w:rsidP="00665332">
      <w:pPr>
        <w:numPr>
          <w:ilvl w:val="0"/>
          <w:numId w:val="1"/>
        </w:num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F9380F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 Did you ever respond based on a guess?</w:t>
      </w:r>
    </w:p>
    <w:p w14:paraId="3B79D499" w14:textId="2806AE4F" w:rsidR="001C51DB" w:rsidRDefault="00FF1B2B" w:rsidP="00665332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[TR&amp;TG] Did you ever respond “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uess”?</w:t>
      </w:r>
    </w:p>
    <w:p w14:paraId="4BDDD037" w14:textId="77777777" w:rsidR="001C51DB" w:rsidRDefault="00FF1B2B" w:rsidP="00665332">
      <w:pPr>
        <w:numPr>
          <w:ilvl w:val="0"/>
          <w:numId w:val="3"/>
        </w:numPr>
        <w:spacing w:after="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YES: </w:t>
      </w:r>
    </w:p>
    <w:p w14:paraId="1789B7A2" w14:textId="77777777" w:rsidR="001C51DB" w:rsidRDefault="00FF1B2B" w:rsidP="00665332">
      <w:pPr>
        <w:numPr>
          <w:ilvl w:val="1"/>
          <w:numId w:val="3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did you feel about it?</w:t>
      </w:r>
    </w:p>
    <w:p w14:paraId="195679AD" w14:textId="77777777" w:rsidR="001C51DB" w:rsidRDefault="00FF1B2B" w:rsidP="00665332">
      <w:pPr>
        <w:numPr>
          <w:ilvl w:val="1"/>
          <w:numId w:val="3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Around how often did this happen?</w:t>
      </w:r>
    </w:p>
    <w:p w14:paraId="2586A1B0" w14:textId="77777777" w:rsidR="001C51DB" w:rsidRDefault="00FF1B2B" w:rsidP="00665332">
      <w:pPr>
        <w:numPr>
          <w:ilvl w:val="1"/>
          <w:numId w:val="3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you describe a situation when you were guessing? </w:t>
      </w:r>
    </w:p>
    <w:p w14:paraId="38F5AD7C" w14:textId="77777777" w:rsidR="001C51DB" w:rsidRDefault="00FF1B2B" w:rsidP="00665332">
      <w:pPr>
        <w:numPr>
          <w:ilvl w:val="0"/>
          <w:numId w:val="3"/>
        </w:numPr>
        <w:spacing w:after="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NO: </w:t>
      </w:r>
    </w:p>
    <w:p w14:paraId="440D5200" w14:textId="77777777" w:rsidR="001C51DB" w:rsidRDefault="00FF1B2B" w:rsidP="00665332">
      <w:pPr>
        <w:numPr>
          <w:ilvl w:val="1"/>
          <w:numId w:val="3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not?</w:t>
      </w:r>
    </w:p>
    <w:p w14:paraId="4E0FAFAD" w14:textId="05A201B3" w:rsidR="001C51DB" w:rsidRDefault="00FF1B2B" w:rsidP="00665332">
      <w:pPr>
        <w:spacing w:after="0" w:line="48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[ALL] What do you understand “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uessing” to mean in the context of this experiment? (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That 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would you define “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uessing”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D36C58" w14:textId="77777777" w:rsidR="00665332" w:rsidRDefault="00665332" w:rsidP="00665332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F04669" w14:textId="062B10FF" w:rsidR="001C51DB" w:rsidRDefault="00C17397" w:rsidP="00665332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Note: </w:t>
      </w:r>
      <w:r w:rsidR="00FF1B2B"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proofErr w:type="spellStart"/>
      <w:r w:rsidR="00F9380F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 w:rsidR="00FF1B2B">
        <w:rPr>
          <w:rFonts w:ascii="Times New Roman" w:eastAsia="Times New Roman" w:hAnsi="Times New Roman" w:cs="Times New Roman"/>
          <w:i/>
          <w:sz w:val="24"/>
          <w:szCs w:val="24"/>
        </w:rPr>
        <w:t>SM</w:t>
      </w:r>
      <w:proofErr w:type="spellEnd"/>
      <w:r w:rsidR="00FF1B2B">
        <w:rPr>
          <w:rFonts w:ascii="Times New Roman" w:eastAsia="Times New Roman" w:hAnsi="Times New Roman" w:cs="Times New Roman"/>
          <w:i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rticipants, SKIP questions 4-</w:t>
      </w:r>
      <w:r w:rsidR="000E0089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BC9E6D6" w14:textId="1D3E32CE" w:rsidR="001C51DB" w:rsidRDefault="00FF1B2B" w:rsidP="00665332">
      <w:pPr>
        <w:spacing w:after="0" w:line="48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[TR&amp;TG] Did you ever respond “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uess” in a way that did </w:t>
      </w:r>
      <w:r w:rsidR="00665332" w:rsidRPr="00C17397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match that definition?</w:t>
      </w:r>
    </w:p>
    <w:p w14:paraId="4BA97E87" w14:textId="77777777" w:rsidR="001C51DB" w:rsidRDefault="00FF1B2B" w:rsidP="00665332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YES: </w:t>
      </w:r>
    </w:p>
    <w:p w14:paraId="4067D244" w14:textId="77777777" w:rsidR="001C51DB" w:rsidRDefault="00FF1B2B" w:rsidP="00665332">
      <w:pPr>
        <w:numPr>
          <w:ilvl w:val="1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was the situation? </w:t>
      </w:r>
    </w:p>
    <w:p w14:paraId="69FA50A5" w14:textId="77777777" w:rsidR="001C51DB" w:rsidRDefault="00FF1B2B" w:rsidP="00665332">
      <w:pPr>
        <w:numPr>
          <w:ilvl w:val="1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did you respond that way? </w:t>
      </w:r>
    </w:p>
    <w:p w14:paraId="42F4B0E5" w14:textId="77777777" w:rsidR="001C51DB" w:rsidRDefault="00FF1B2B" w:rsidP="00665332">
      <w:pPr>
        <w:numPr>
          <w:ilvl w:val="1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often did this happen?</w:t>
      </w:r>
    </w:p>
    <w:p w14:paraId="40330AB2" w14:textId="762FBF15" w:rsidR="001C51DB" w:rsidRDefault="00FF1B2B" w:rsidP="00665332">
      <w:pPr>
        <w:spacing w:after="0" w:line="48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[TR&amp;TG] We intended “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uessing” to mean that you were completely unsure about how to respond. That is, you really felt as though you might as well have...</w:t>
      </w:r>
    </w:p>
    <w:p w14:paraId="012E2FC6" w14:textId="77777777" w:rsidR="001C51DB" w:rsidRPr="00665332" w:rsidRDefault="00FF1B2B" w:rsidP="00665332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65332">
        <w:rPr>
          <w:rFonts w:ascii="Times New Roman" w:eastAsia="Times New Roman" w:hAnsi="Times New Roman" w:cs="Times New Roman"/>
          <w:sz w:val="24"/>
          <w:szCs w:val="24"/>
        </w:rPr>
        <w:t>[TR] ...flipped a coin.</w:t>
      </w:r>
    </w:p>
    <w:p w14:paraId="63EB81FD" w14:textId="77777777" w:rsidR="001C51DB" w:rsidRPr="00665332" w:rsidRDefault="00FF1B2B" w:rsidP="00665332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65332">
        <w:rPr>
          <w:rFonts w:ascii="Times New Roman" w:eastAsia="Times New Roman" w:hAnsi="Times New Roman" w:cs="Times New Roman"/>
          <w:sz w:val="24"/>
          <w:szCs w:val="24"/>
        </w:rPr>
        <w:t>[TG] ...let the computer answer for you.</w:t>
      </w:r>
    </w:p>
    <w:p w14:paraId="5CE6B68E" w14:textId="20C275F4" w:rsidR="001C51DB" w:rsidRDefault="00FF1B2B" w:rsidP="00665332">
      <w:pPr>
        <w:spacing w:after="0" w:line="48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you ever respond “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uess” in a way that did </w:t>
      </w:r>
      <w:r w:rsidR="00665332" w:rsidRPr="00C17397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match that definition?</w:t>
      </w:r>
    </w:p>
    <w:p w14:paraId="19F63D41" w14:textId="77777777" w:rsidR="001C51DB" w:rsidRDefault="00FF1B2B" w:rsidP="00665332">
      <w:pPr>
        <w:numPr>
          <w:ilvl w:val="0"/>
          <w:numId w:val="2"/>
        </w:numPr>
        <w:spacing w:after="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YES:</w:t>
      </w:r>
    </w:p>
    <w:p w14:paraId="1698AE06" w14:textId="77777777" w:rsidR="001C51DB" w:rsidRDefault="00FF1B2B" w:rsidP="00665332">
      <w:pPr>
        <w:numPr>
          <w:ilvl w:val="1"/>
          <w:numId w:val="2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was the situation? </w:t>
      </w:r>
    </w:p>
    <w:p w14:paraId="7A58D3A0" w14:textId="77777777" w:rsidR="001C51DB" w:rsidRDefault="00FF1B2B" w:rsidP="00665332">
      <w:pPr>
        <w:numPr>
          <w:ilvl w:val="1"/>
          <w:numId w:val="2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did you respond that way? </w:t>
      </w:r>
    </w:p>
    <w:p w14:paraId="3CBB8AD9" w14:textId="77777777" w:rsidR="001C51DB" w:rsidRDefault="00FF1B2B" w:rsidP="00665332">
      <w:pPr>
        <w:numPr>
          <w:ilvl w:val="1"/>
          <w:numId w:val="2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often did this happen?</w:t>
      </w:r>
    </w:p>
    <w:p w14:paraId="01CA8C10" w14:textId="5F33C5B7" w:rsidR="001C51DB" w:rsidRDefault="00FF1B2B" w:rsidP="00665332">
      <w:pPr>
        <w:spacing w:after="0" w:line="48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[TR&amp;TG] Did you ever </w:t>
      </w:r>
      <w:r w:rsidR="00665332" w:rsidRPr="00C17397">
        <w:rPr>
          <w:rFonts w:ascii="Times New Roman" w:eastAsia="Times New Roman" w:hAnsi="Times New Roman" w:cs="Times New Roman"/>
          <w:b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responding “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uess” for any reason (that is, even when you were guessing)?</w:t>
      </w:r>
    </w:p>
    <w:p w14:paraId="14F56F4F" w14:textId="77777777" w:rsidR="001C51DB" w:rsidRDefault="00FF1B2B" w:rsidP="00665332">
      <w:pPr>
        <w:spacing w:after="0" w:line="48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[ALL] OK, now let’s talk about when you were </w:t>
      </w:r>
      <w:r w:rsidR="00665332" w:rsidRPr="00C17397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guessing. What criteria did you use to make your choices?</w:t>
      </w:r>
    </w:p>
    <w:p w14:paraId="26BBD4C9" w14:textId="77777777" w:rsidR="001C51DB" w:rsidRDefault="00665332" w:rsidP="00665332">
      <w:pPr>
        <w:spacing w:after="0" w:line="48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C17397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="00FF1B2B" w:rsidRPr="00C17397">
        <w:rPr>
          <w:rFonts w:ascii="Times New Roman" w:eastAsia="Times New Roman" w:hAnsi="Times New Roman" w:cs="Times New Roman"/>
          <w:i/>
          <w:sz w:val="24"/>
          <w:szCs w:val="24"/>
        </w:rPr>
        <w:t>If the participant mentions anything related to animacy (e.g., animals vs. objects) or another distinction that fits with the system (e.g., moving vs. stationary), ask</w:t>
      </w:r>
      <w:r w:rsidRPr="00C17397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FF1B2B" w:rsidRPr="00C1739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FF1B2B">
        <w:rPr>
          <w:rFonts w:ascii="Times New Roman" w:eastAsia="Times New Roman" w:hAnsi="Times New Roman" w:cs="Times New Roman"/>
          <w:sz w:val="24"/>
          <w:szCs w:val="24"/>
        </w:rPr>
        <w:t xml:space="preserve"> At what point did you become aware of that?</w:t>
      </w:r>
    </w:p>
    <w:p w14:paraId="0EDEE782" w14:textId="470E353A" w:rsidR="001C51DB" w:rsidRDefault="00FF1B2B" w:rsidP="00665332">
      <w:pPr>
        <w:spacing w:after="0" w:line="48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[</w:t>
      </w:r>
      <w:proofErr w:type="spellStart"/>
      <w:r w:rsidR="00F9380F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Would you say </w:t>
      </w:r>
      <w:r w:rsidR="00665332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any of your responses were based on a rule of some sort?</w:t>
      </w:r>
    </w:p>
    <w:p w14:paraId="18641A74" w14:textId="071CD13C" w:rsidR="001C51DB" w:rsidRDefault="00FF1B2B" w:rsidP="00665332">
      <w:pPr>
        <w:spacing w:after="0" w:line="48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[TR&amp;TG] Did you ever respond “</w:t>
      </w:r>
      <w:r w:rsidR="00F9380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ule”? </w:t>
      </w:r>
    </w:p>
    <w:p w14:paraId="53579EC5" w14:textId="77777777" w:rsidR="001C51DB" w:rsidRDefault="00FF1B2B" w:rsidP="00665332">
      <w:pPr>
        <w:numPr>
          <w:ilvl w:val="0"/>
          <w:numId w:val="5"/>
        </w:numPr>
        <w:spacing w:after="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YES: </w:t>
      </w:r>
    </w:p>
    <w:p w14:paraId="6372C21B" w14:textId="77777777" w:rsidR="001C51DB" w:rsidRDefault="00FF1B2B" w:rsidP="00665332">
      <w:pPr>
        <w:numPr>
          <w:ilvl w:val="1"/>
          <w:numId w:val="5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you describe the rule?</w:t>
      </w:r>
    </w:p>
    <w:p w14:paraId="448D7E25" w14:textId="77777777" w:rsidR="001C51DB" w:rsidRDefault="00FF1B2B" w:rsidP="00665332">
      <w:pPr>
        <w:numPr>
          <w:ilvl w:val="0"/>
          <w:numId w:val="5"/>
        </w:numPr>
        <w:spacing w:after="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NO (or as a follow-up to elaborate on ‘yes’):</w:t>
      </w:r>
    </w:p>
    <w:p w14:paraId="032D2058" w14:textId="77777777" w:rsidR="001C51DB" w:rsidRDefault="00FF1B2B" w:rsidP="00665332">
      <w:pPr>
        <w:numPr>
          <w:ilvl w:val="1"/>
          <w:numId w:val="5"/>
        </w:numPr>
        <w:spacing w:after="0" w:line="48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 you use any other criteria to make your choices? Did you focus on any (other) features of the sentences or words within the sentences? Feel free 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share anything that came to mind, no matter how hesitant you might have felt about it. </w:t>
      </w:r>
    </w:p>
    <w:p w14:paraId="753E8DB5" w14:textId="77777777" w:rsidR="001C51DB" w:rsidRDefault="00FF1B2B" w:rsidP="00665332">
      <w:pPr>
        <w:numPr>
          <w:ilvl w:val="0"/>
          <w:numId w:val="5"/>
        </w:numPr>
        <w:spacing w:after="0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STILL NO: Well, in fact, there was a rule. Can you express what it might have been? Did anything come to mind </w:t>
      </w:r>
      <w:r w:rsidRPr="00C17397">
        <w:rPr>
          <w:rFonts w:ascii="Times New Roman" w:eastAsia="Times New Roman" w:hAnsi="Times New Roman" w:cs="Times New Roman"/>
          <w:b/>
          <w:sz w:val="24"/>
          <w:szCs w:val="24"/>
        </w:rPr>
        <w:t>during the experiment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you thought might be relevant to responding?</w:t>
      </w:r>
    </w:p>
    <w:p w14:paraId="7BCF4C5E" w14:textId="77777777" w:rsidR="001C51DB" w:rsidRDefault="00FF1B2B" w:rsidP="00665332">
      <w:pPr>
        <w:spacing w:after="0" w:line="48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 [ALL] Explain that </w:t>
      </w:r>
      <w:proofErr w:type="spellStart"/>
      <w:r w:rsidRPr="00665332">
        <w:rPr>
          <w:rFonts w:ascii="Times New Roman" w:eastAsia="Times New Roman" w:hAnsi="Times New Roman" w:cs="Times New Roman"/>
          <w:i/>
          <w:sz w:val="24"/>
          <w:szCs w:val="24"/>
        </w:rPr>
        <w:t>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(near) and </w:t>
      </w:r>
      <w:r w:rsidRPr="00665332">
        <w:rPr>
          <w:rFonts w:ascii="Times New Roman" w:eastAsia="Times New Roman" w:hAnsi="Times New Roman" w:cs="Times New Roman"/>
          <w:i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(far) were for animate entities, while </w:t>
      </w:r>
      <w:proofErr w:type="spellStart"/>
      <w:r w:rsidRPr="00665332">
        <w:rPr>
          <w:rFonts w:ascii="Times New Roman" w:eastAsia="Times New Roman" w:hAnsi="Times New Roman" w:cs="Times New Roman"/>
          <w:i/>
          <w:sz w:val="24"/>
          <w:szCs w:val="24"/>
        </w:rPr>
        <w:t>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(near) and </w:t>
      </w:r>
      <w:r w:rsidRPr="00665332"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(far) were for inanimate entities. If the participant did not mention animacy earlier, ask if it ever came to mind </w:t>
      </w:r>
      <w:r w:rsidRPr="00C17397">
        <w:rPr>
          <w:rFonts w:ascii="Times New Roman" w:eastAsia="Times New Roman" w:hAnsi="Times New Roman" w:cs="Times New Roman"/>
          <w:b/>
          <w:sz w:val="24"/>
          <w:szCs w:val="24"/>
        </w:rPr>
        <w:t>during the experiment</w:t>
      </w:r>
      <w:r w:rsidRPr="00C1739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B1AD67" w14:textId="77777777" w:rsidR="001C51DB" w:rsidRDefault="00FF1B2B" w:rsidP="00665332">
      <w:pPr>
        <w:spacing w:after="0" w:line="48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[ALL] Did you talk with anyone about this experiment or hear anything about it before participating?</w:t>
      </w:r>
    </w:p>
    <w:p w14:paraId="6D5640FA" w14:textId="77777777" w:rsidR="001C51DB" w:rsidRDefault="001C51DB" w:rsidP="00665332">
      <w:pPr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79AA1" w14:textId="77777777" w:rsidR="001C51DB" w:rsidRDefault="00FF1B2B">
      <w:pPr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01F22DD" w14:textId="77777777" w:rsidR="000E0089" w:rsidRDefault="000E0089">
      <w:pPr>
        <w:spacing w:before="240"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E008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BC3C3DE" w14:textId="3D37C8CD" w:rsidR="001C51DB" w:rsidRDefault="00FF1B2B" w:rsidP="000E008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Participant Information</w:t>
      </w:r>
    </w:p>
    <w:p w14:paraId="603DEA06" w14:textId="77777777" w:rsidR="001C51DB" w:rsidRDefault="00FF1B2B" w:rsidP="000E008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S1. </w:t>
      </w:r>
    </w:p>
    <w:p w14:paraId="4247C1DE" w14:textId="77777777" w:rsidR="001C51DB" w:rsidRDefault="00FF1B2B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Participant Biodata According to Experimental Condition</w:t>
      </w:r>
    </w:p>
    <w:tbl>
      <w:tblPr>
        <w:tblStyle w:val="a"/>
        <w:tblW w:w="13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3"/>
        <w:gridCol w:w="1674"/>
        <w:gridCol w:w="1013"/>
        <w:gridCol w:w="1190"/>
        <w:gridCol w:w="2250"/>
        <w:gridCol w:w="2436"/>
        <w:gridCol w:w="2509"/>
      </w:tblGrid>
      <w:tr w:rsidR="001C51DB" w14:paraId="06E615D9" w14:textId="77777777" w:rsidTr="000E0089">
        <w:trPr>
          <w:trHeight w:val="654"/>
        </w:trPr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4BBF" w14:textId="77777777" w:rsidR="001C51DB" w:rsidRPr="00665332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C004" w14:textId="77777777" w:rsidR="001C51DB" w:rsidRPr="00665332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  <w:r w:rsidR="00665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Participants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4D4B" w14:textId="77777777" w:rsidR="001C51DB" w:rsidRPr="00665332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090B" w14:textId="77777777" w:rsidR="001C51DB" w:rsidRPr="00665332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B9D1" w14:textId="77777777" w:rsidR="001C51DB" w:rsidRPr="00665332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L1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8A6D" w14:textId="77939222" w:rsidR="001C51DB" w:rsidRPr="00665332" w:rsidRDefault="0084585C" w:rsidP="003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Languages</w:t>
            </w:r>
            <w:r w:rsidR="003A1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490C" w14:textId="77777777" w:rsidR="001C51DB" w:rsidRPr="00665332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Linguistics Courses</w:t>
            </w:r>
          </w:p>
        </w:tc>
      </w:tr>
      <w:tr w:rsidR="001C51DB" w14:paraId="1170BEE6" w14:textId="77777777" w:rsidTr="000E0089">
        <w:trPr>
          <w:trHeight w:val="1169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DA0F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3C14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A1CF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542C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female, 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EAE1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English, 1 Spanish, 1 English and Hebrew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1DF2" w14:textId="77777777" w:rsidR="000E0089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Spanish, 1 German, 1 English, 1 French, </w:t>
            </w:r>
          </w:p>
          <w:p w14:paraId="6ACBC434" w14:textId="650E5A46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Italian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F282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Mean: 1.00</w:t>
            </w:r>
          </w:p>
          <w:p w14:paraId="0B8E2332" w14:textId="77777777" w:rsidR="001C51DB" w:rsidRDefault="00665332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Range: 0-10 or more</w:t>
            </w:r>
          </w:p>
          <w:p w14:paraId="66E8F0F4" w14:textId="77777777" w:rsidR="001C51DB" w:rsidRDefault="00FF1B2B" w:rsidP="000E008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(9 reported 0 courses, while 1 reported “more than 10”) </w:t>
            </w:r>
          </w:p>
        </w:tc>
      </w:tr>
      <w:tr w:rsidR="001C51DB" w14:paraId="709CC810" w14:textId="77777777" w:rsidTr="000E0089">
        <w:trPr>
          <w:trHeight w:val="1241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3381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 Guess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AD50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9A8D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C772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female, 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BFA8" w14:textId="77777777" w:rsidR="000E0089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English, 1 Arabic, </w:t>
            </w:r>
          </w:p>
          <w:p w14:paraId="60CA5168" w14:textId="58E889A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Ebonics and Standard American English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E7B6" w14:textId="798BD3C5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Spanish, 2 Arabic, 1 Chinese, </w:t>
            </w:r>
            <w:r w:rsidR="0084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English,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French, 1 Portuguese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FE4A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Mean: 1.80</w:t>
            </w:r>
          </w:p>
          <w:p w14:paraId="77226087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Range: 0-11</w:t>
            </w:r>
          </w:p>
          <w:p w14:paraId="7CDE20C9" w14:textId="77777777" w:rsidR="001C51DB" w:rsidRDefault="00FF1B2B" w:rsidP="000E008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(8 reported 0 or 1, 1 reported 4, and 1 listed out 11 by name) </w:t>
            </w:r>
          </w:p>
        </w:tc>
      </w:tr>
      <w:tr w:rsidR="001C51DB" w14:paraId="7A6E3BF3" w14:textId="77777777" w:rsidTr="000E0089">
        <w:trPr>
          <w:trHeight w:val="1241"/>
        </w:trPr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F031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Subjective Measures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74AD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C167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5ADD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female, 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D74F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English, 2 Chinese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A039" w14:textId="77777777" w:rsidR="000E0089" w:rsidRDefault="0081031A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Spanish, 2 Chinese, 2 English, 1 French, </w:t>
            </w:r>
          </w:p>
          <w:p w14:paraId="55B4B176" w14:textId="0F67773A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Japanese, 1 Latin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EBD0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Mean: 1.50</w:t>
            </w:r>
          </w:p>
          <w:p w14:paraId="414B4C46" w14:textId="77777777" w:rsidR="001C51DB" w:rsidRDefault="00FF1B2B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Range: 0-8</w:t>
            </w:r>
          </w:p>
          <w:p w14:paraId="00B9FEBD" w14:textId="77777777" w:rsidR="001C51DB" w:rsidRDefault="00FF1B2B" w:rsidP="000E008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(8 reported 0 or 1, 1 reported 6, and 1 reported 8)</w:t>
            </w:r>
          </w:p>
        </w:tc>
      </w:tr>
    </w:tbl>
    <w:p w14:paraId="71FEC852" w14:textId="77777777" w:rsidR="001C51DB" w:rsidRDefault="001C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7DE82" w14:textId="193DD19C" w:rsidR="001C51DB" w:rsidRDefault="00E12405" w:rsidP="00C1739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 w:rsidR="000F45C6">
        <w:rPr>
          <w:rFonts w:ascii="Times New Roman" w:eastAsia="Times New Roman" w:hAnsi="Times New Roman" w:cs="Times New Roman"/>
          <w:sz w:val="24"/>
          <w:szCs w:val="24"/>
        </w:rPr>
        <w:t>Eleven</w:t>
      </w:r>
      <w:r w:rsidR="0081031A">
        <w:rPr>
          <w:rFonts w:ascii="Times New Roman" w:eastAsia="Times New Roman" w:hAnsi="Times New Roman" w:cs="Times New Roman"/>
          <w:sz w:val="24"/>
          <w:szCs w:val="24"/>
        </w:rPr>
        <w:t xml:space="preserve"> participants reported having studied more than one additional language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These participants, who had studied between two to four additional languages, were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fairly evenly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distributed across experimental conditions: three in the Traditional group, three in the True Guess group, and </w:t>
      </w:r>
      <w:r w:rsidR="000F45C6"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group.</w:t>
      </w:r>
    </w:p>
    <w:p w14:paraId="59FEEDE8" w14:textId="77777777" w:rsidR="000E0089" w:rsidRDefault="000E0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E0089" w:rsidSect="000E0089"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2C125ABC" w14:textId="77777777" w:rsidR="001C51DB" w:rsidRDefault="00FF1B2B" w:rsidP="00891EB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Overall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ccuracy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erformance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cross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roups</w:t>
      </w:r>
    </w:p>
    <w:p w14:paraId="572FA554" w14:textId="7BB69C97" w:rsidR="001C51DB" w:rsidRDefault="00D77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7A238E7" wp14:editId="69CC9316">
            <wp:extent cx="5943600" cy="4592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 Revised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668D9" w14:textId="6E8145F0" w:rsidR="001C51DB" w:rsidRDefault="00FF1B2B" w:rsidP="00C17397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Figure S1.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Boxplot of overall accuracy in the test phase across the True Guess (TG), Traditional (TR), and No Subjective Measures (</w:t>
      </w:r>
      <w:proofErr w:type="spellStart"/>
      <w:r w:rsidR="00D77949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groups. These data show standard performance for the TG and TR groups, but somewhat lower accuracy in the </w:t>
      </w:r>
      <w:proofErr w:type="spellStart"/>
      <w:r w:rsidR="006C5F64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group, in accordance with other indications that the subjective measures were reactive.</w:t>
      </w:r>
    </w:p>
    <w:p w14:paraId="775124CB" w14:textId="77777777" w:rsidR="001C51DB" w:rsidRDefault="001C51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D66A55" w14:textId="77777777" w:rsidR="00D36013" w:rsidRDefault="00D3601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EFD8963" w14:textId="56D9DBE9" w:rsidR="001C51DB" w:rsidRDefault="00FF1B2B" w:rsidP="00DF0D5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Accuracy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roportion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cross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ifferent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ypes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ubjective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easures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esponses</w:t>
      </w:r>
    </w:p>
    <w:p w14:paraId="5B5740FE" w14:textId="2F81F0E1" w:rsidR="00F11CC7" w:rsidRDefault="00FF1B2B" w:rsidP="00DF0D5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Subjective measures are traditionally analyzed by examining </w:t>
      </w:r>
      <w:r w:rsidR="00DF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accuracy and proportion</w:t>
      </w:r>
      <w:r w:rsidR="00DF0D5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participants’ responses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different reported levels of confidence or with different source attributions (e.g., Hamrick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Rebuschat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2012, 2014;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Rebuschat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2013, 2015;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Rebuschat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Williams, 2012). While such analyses are beyond the scope of the main manuscript, we report them here </w:t>
      </w:r>
      <w:r w:rsidR="00891EBD">
        <w:rPr>
          <w:rFonts w:ascii="Times New Roman" w:eastAsia="Times New Roman" w:hAnsi="Times New Roman" w:cs="Times New Roman"/>
          <w:color w:val="000000"/>
          <w:sz w:val="24"/>
          <w:szCs w:val="24"/>
        </w:rPr>
        <w:t>to facilitate comparisons with previous work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7B4E8D" w14:textId="638D8813" w:rsidR="00997DB8" w:rsidRDefault="00FF1B2B" w:rsidP="00DF0D5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should be noted that outliers were removed for the inferential statistical analyses presented in the article</w:t>
      </w:r>
      <w:r w:rsidR="00BA0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50F">
        <w:rPr>
          <w:rFonts w:ascii="Times New Roman" w:eastAsia="Times New Roman" w:hAnsi="Times New Roman" w:cs="Times New Roman"/>
          <w:sz w:val="24"/>
          <w:szCs w:val="24"/>
        </w:rPr>
        <w:t xml:space="preserve">because normality is important for analyses </w:t>
      </w:r>
      <w:r w:rsidR="00F11CC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D90224">
        <w:rPr>
          <w:rFonts w:ascii="Times New Roman" w:eastAsia="Times New Roman" w:hAnsi="Times New Roman" w:cs="Times New Roman"/>
          <w:sz w:val="24"/>
          <w:szCs w:val="24"/>
        </w:rPr>
        <w:t xml:space="preserve"> involve</w:t>
      </w:r>
      <w:r w:rsidR="00BA02B4">
        <w:rPr>
          <w:rFonts w:ascii="Times New Roman" w:eastAsia="Times New Roman" w:hAnsi="Times New Roman" w:cs="Times New Roman"/>
          <w:sz w:val="24"/>
          <w:szCs w:val="24"/>
        </w:rPr>
        <w:t xml:space="preserve"> proportion data as the dependent variable of interest. 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>In this study, a single outlier in the True Guess condition contributed</w:t>
      </w:r>
      <w:r w:rsidR="005E3247" w:rsidDel="00BA0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 xml:space="preserve">a quarter of the total number of “guess” responses for </w:t>
      </w:r>
      <w:r w:rsidR="008C6A6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 xml:space="preserve"> group, and 92% of </w:t>
      </w:r>
      <w:r w:rsidR="008C6A62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 xml:space="preserve"> guesses were reneged, meaning that not only </w:t>
      </w:r>
      <w:r w:rsidR="008C6A62">
        <w:rPr>
          <w:rFonts w:ascii="Times New Roman" w:eastAsia="Times New Roman" w:hAnsi="Times New Roman" w:cs="Times New Roman"/>
          <w:sz w:val="24"/>
          <w:szCs w:val="24"/>
        </w:rPr>
        <w:t>was this participant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 xml:space="preserve"> attributing substantially more</w:t>
      </w:r>
      <w:r w:rsidR="008C6A62">
        <w:rPr>
          <w:rFonts w:ascii="Times New Roman" w:eastAsia="Times New Roman" w:hAnsi="Times New Roman" w:cs="Times New Roman"/>
          <w:sz w:val="24"/>
          <w:szCs w:val="24"/>
        </w:rPr>
        <w:t xml:space="preserve"> decisions to guesses than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A62">
        <w:rPr>
          <w:rFonts w:ascii="Times New Roman" w:eastAsia="Times New Roman" w:hAnsi="Times New Roman" w:cs="Times New Roman"/>
          <w:sz w:val="24"/>
          <w:szCs w:val="24"/>
        </w:rPr>
        <w:t>others in the group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 w:rsidR="008C6A62">
        <w:rPr>
          <w:rFonts w:ascii="Times New Roman" w:eastAsia="Times New Roman" w:hAnsi="Times New Roman" w:cs="Times New Roman"/>
          <w:sz w:val="24"/>
          <w:szCs w:val="24"/>
        </w:rPr>
        <w:t>the outlier was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 xml:space="preserve"> also non-committal </w:t>
      </w:r>
      <w:r w:rsidR="00DF0D5C">
        <w:rPr>
          <w:rFonts w:ascii="Times New Roman" w:eastAsia="Times New Roman" w:hAnsi="Times New Roman" w:cs="Times New Roman"/>
          <w:sz w:val="24"/>
          <w:szCs w:val="24"/>
        </w:rPr>
        <w:t>as to whether</w:t>
      </w:r>
      <w:r w:rsidR="008C6A62">
        <w:rPr>
          <w:rFonts w:ascii="Times New Roman" w:eastAsia="Times New Roman" w:hAnsi="Times New Roman" w:cs="Times New Roman"/>
          <w:sz w:val="24"/>
          <w:szCs w:val="24"/>
        </w:rPr>
        <w:t xml:space="preserve"> the responses</w:t>
      </w:r>
      <w:r w:rsidR="005E3247">
        <w:rPr>
          <w:rFonts w:ascii="Times New Roman" w:eastAsia="Times New Roman" w:hAnsi="Times New Roman" w:cs="Times New Roman"/>
          <w:sz w:val="24"/>
          <w:szCs w:val="24"/>
        </w:rPr>
        <w:t xml:space="preserve"> were in fact guesses. </w:t>
      </w:r>
      <w:r w:rsidR="00D90224">
        <w:rPr>
          <w:rFonts w:ascii="Times New Roman" w:eastAsia="Times New Roman" w:hAnsi="Times New Roman" w:cs="Times New Roman"/>
          <w:sz w:val="24"/>
          <w:szCs w:val="24"/>
        </w:rPr>
        <w:t>T</w:t>
      </w:r>
      <w:r w:rsidR="00BF5B9E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90224">
        <w:rPr>
          <w:rFonts w:ascii="Times New Roman" w:eastAsia="Times New Roman" w:hAnsi="Times New Roman" w:cs="Times New Roman"/>
          <w:sz w:val="24"/>
          <w:szCs w:val="24"/>
        </w:rPr>
        <w:t>descriptive statistics</w:t>
      </w:r>
      <w:r w:rsidR="00BF5B9E">
        <w:rPr>
          <w:rFonts w:ascii="Times New Roman" w:eastAsia="Times New Roman" w:hAnsi="Times New Roman" w:cs="Times New Roman"/>
          <w:sz w:val="24"/>
          <w:szCs w:val="24"/>
        </w:rPr>
        <w:t xml:space="preserve"> presented in </w:t>
      </w:r>
      <w:r w:rsidR="004C650F">
        <w:rPr>
          <w:rFonts w:ascii="Times New Roman" w:eastAsia="Times New Roman" w:hAnsi="Times New Roman" w:cs="Times New Roman"/>
          <w:sz w:val="24"/>
          <w:szCs w:val="24"/>
        </w:rPr>
        <w:t>T</w:t>
      </w:r>
      <w:r w:rsidR="00BF5B9E">
        <w:rPr>
          <w:rFonts w:ascii="Times New Roman" w:eastAsia="Times New Roman" w:hAnsi="Times New Roman" w:cs="Times New Roman"/>
          <w:sz w:val="24"/>
          <w:szCs w:val="24"/>
        </w:rPr>
        <w:t>ables S2 and S3 below</w:t>
      </w:r>
      <w:r w:rsidR="00D90224">
        <w:rPr>
          <w:rFonts w:ascii="Times New Roman" w:eastAsia="Times New Roman" w:hAnsi="Times New Roman" w:cs="Times New Roman"/>
          <w:sz w:val="24"/>
          <w:szCs w:val="24"/>
        </w:rPr>
        <w:t xml:space="preserve">, however, </w:t>
      </w:r>
      <w:r>
        <w:rPr>
          <w:rFonts w:ascii="Times New Roman" w:eastAsia="Times New Roman" w:hAnsi="Times New Roman" w:cs="Times New Roman"/>
          <w:sz w:val="24"/>
          <w:szCs w:val="24"/>
        </w:rPr>
        <w:t>include all participants</w:t>
      </w:r>
      <w:r w:rsidR="00D90224">
        <w:rPr>
          <w:rFonts w:ascii="Times New Roman" w:eastAsia="Times New Roman" w:hAnsi="Times New Roman" w:cs="Times New Roman"/>
          <w:sz w:val="24"/>
          <w:szCs w:val="24"/>
        </w:rPr>
        <w:t xml:space="preserve"> in order to maintain comparability with what is customarily reported in subjective measures analyses, where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participants are </w:t>
      </w:r>
      <w:r w:rsidR="00D902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typically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not omitted for </w:t>
      </w:r>
      <w:r w:rsidR="00DF0D5C">
        <w:rPr>
          <w:rFonts w:ascii="Times New Roman" w:eastAsia="Times New Roman" w:hAnsi="Times New Roman" w:cs="Times New Roman"/>
          <w:sz w:val="24"/>
          <w:szCs w:val="24"/>
          <w:highlight w:val="white"/>
        </w:rPr>
        <w:t>extreme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concentrations of a certain type of source attribution</w:t>
      </w:r>
      <w:r w:rsidR="00BF5B9E">
        <w:rPr>
          <w:rFonts w:ascii="Times New Roman" w:eastAsia="Times New Roman" w:hAnsi="Times New Roman" w:cs="Times New Roman"/>
          <w:sz w:val="24"/>
          <w:szCs w:val="24"/>
        </w:rPr>
        <w:t xml:space="preserve"> or confidence judgment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5B9E">
        <w:rPr>
          <w:rFonts w:ascii="Times New Roman" w:eastAsia="Times New Roman" w:hAnsi="Times New Roman" w:cs="Times New Roman"/>
          <w:sz w:val="24"/>
          <w:szCs w:val="24"/>
        </w:rPr>
        <w:t xml:space="preserve">Thus, </w:t>
      </w:r>
      <w:r w:rsidR="004C650F">
        <w:rPr>
          <w:rFonts w:ascii="Times New Roman" w:eastAsia="Times New Roman" w:hAnsi="Times New Roman" w:cs="Times New Roman"/>
          <w:sz w:val="24"/>
          <w:szCs w:val="24"/>
        </w:rPr>
        <w:t>T</w:t>
      </w:r>
      <w:r w:rsidR="00BF5B9E">
        <w:rPr>
          <w:rFonts w:ascii="Times New Roman" w:eastAsia="Times New Roman" w:hAnsi="Times New Roman" w:cs="Times New Roman"/>
          <w:sz w:val="24"/>
          <w:szCs w:val="24"/>
        </w:rPr>
        <w:t xml:space="preserve">ables S2 and S3 reflect different values than those in the corresponding article due to the outliers being present here and </w:t>
      </w:r>
      <w:r w:rsidR="00997DB8">
        <w:rPr>
          <w:rFonts w:ascii="Times New Roman" w:eastAsia="Times New Roman" w:hAnsi="Times New Roman" w:cs="Times New Roman"/>
          <w:sz w:val="24"/>
          <w:szCs w:val="24"/>
        </w:rPr>
        <w:t>omitted</w:t>
      </w:r>
      <w:r w:rsidR="00BF5B9E">
        <w:rPr>
          <w:rFonts w:ascii="Times New Roman" w:eastAsia="Times New Roman" w:hAnsi="Times New Roman" w:cs="Times New Roman"/>
          <w:sz w:val="24"/>
          <w:szCs w:val="24"/>
        </w:rPr>
        <w:t xml:space="preserve"> there. </w:t>
      </w:r>
    </w:p>
    <w:p w14:paraId="5F8C8EBA" w14:textId="5594688A" w:rsidR="001C51DB" w:rsidRDefault="00FF1B2B" w:rsidP="00DF0D5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results demonstrate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fairly standard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pattern of performance, with accuracy generally increasing as a function of increased confidence (Table S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or more explicit source attributions (Table S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E4C67D6" w14:textId="77777777" w:rsidR="001C51DB" w:rsidRDefault="00FF1B2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320CB8" w14:textId="77777777" w:rsidR="000A593A" w:rsidRDefault="000A593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856A8" w14:textId="7B56561A" w:rsidR="001C51DB" w:rsidRDefault="00FF1B2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</w:rPr>
        <w:t>S2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06143AC" w14:textId="77777777" w:rsidR="001C51DB" w:rsidRDefault="00FF1B2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ccuracy and Proportion of Responses 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Each Confidence Level</w:t>
      </w:r>
    </w:p>
    <w:tbl>
      <w:tblPr>
        <w:tblStyle w:val="a0"/>
        <w:tblW w:w="935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51DB" w14:paraId="18E9C8CA" w14:textId="77777777" w:rsidTr="00891EBD">
        <w:trPr>
          <w:trHeight w:val="251"/>
        </w:trPr>
        <w:tc>
          <w:tcPr>
            <w:tcW w:w="1870" w:type="dxa"/>
            <w:tcBorders>
              <w:top w:val="single" w:sz="4" w:space="0" w:color="000000"/>
              <w:bottom w:val="nil"/>
            </w:tcBorders>
            <w:vAlign w:val="center"/>
          </w:tcPr>
          <w:p w14:paraId="6E6DF2C0" w14:textId="77777777" w:rsidR="001C51DB" w:rsidRDefault="001C51D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0B06A4B7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Confidence Rating</w:t>
            </w:r>
          </w:p>
        </w:tc>
      </w:tr>
      <w:tr w:rsidR="001C51DB" w14:paraId="5FAE561C" w14:textId="77777777" w:rsidTr="00891EBD">
        <w:trPr>
          <w:trHeight w:val="81"/>
        </w:trPr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5BC8ABB9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1870" w:type="dxa"/>
            <w:tcBorders>
              <w:top w:val="nil"/>
              <w:bottom w:val="single" w:sz="4" w:space="0" w:color="000000"/>
            </w:tcBorders>
            <w:vAlign w:val="center"/>
          </w:tcPr>
          <w:p w14:paraId="4F00A4D6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C70B6D8" w14:textId="3BA227B3" w:rsidR="00D36013" w:rsidRPr="00FF1B2B" w:rsidRDefault="00D36013" w:rsidP="00D3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(Not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 Confident)</w:t>
            </w:r>
          </w:p>
        </w:tc>
        <w:tc>
          <w:tcPr>
            <w:tcW w:w="1870" w:type="dxa"/>
            <w:tcBorders>
              <w:top w:val="nil"/>
              <w:bottom w:val="single" w:sz="4" w:space="0" w:color="000000"/>
            </w:tcBorders>
            <w:vAlign w:val="center"/>
          </w:tcPr>
          <w:p w14:paraId="06AF05C4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B233FC1" w14:textId="184D9752" w:rsidR="00D36013" w:rsidRPr="00FF1B2B" w:rsidRDefault="00D36013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(Somewhat Confident) </w:t>
            </w:r>
          </w:p>
        </w:tc>
        <w:tc>
          <w:tcPr>
            <w:tcW w:w="1870" w:type="dxa"/>
            <w:tcBorders>
              <w:top w:val="nil"/>
              <w:bottom w:val="single" w:sz="4" w:space="0" w:color="000000"/>
            </w:tcBorders>
            <w:vAlign w:val="center"/>
          </w:tcPr>
          <w:p w14:paraId="7D0A3893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251AD4D" w14:textId="659FE157" w:rsidR="00D36013" w:rsidRPr="00FF1B2B" w:rsidRDefault="00D36013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(Very Confident)</w:t>
            </w:r>
          </w:p>
        </w:tc>
        <w:tc>
          <w:tcPr>
            <w:tcW w:w="1870" w:type="dxa"/>
            <w:tcBorders>
              <w:top w:val="nil"/>
              <w:bottom w:val="single" w:sz="4" w:space="0" w:color="000000"/>
            </w:tcBorders>
            <w:vAlign w:val="center"/>
          </w:tcPr>
          <w:p w14:paraId="0273B232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27222D0" w14:textId="3D65EA7A" w:rsidR="00D36013" w:rsidRPr="00FF1B2B" w:rsidRDefault="00D36013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(100% Confident)</w:t>
            </w:r>
          </w:p>
        </w:tc>
      </w:tr>
      <w:tr w:rsidR="001C51DB" w14:paraId="37D3F64D" w14:textId="77777777" w:rsidTr="00891EBD">
        <w:tc>
          <w:tcPr>
            <w:tcW w:w="1870" w:type="dxa"/>
            <w:tcBorders>
              <w:top w:val="nil"/>
            </w:tcBorders>
            <w:vAlign w:val="center"/>
          </w:tcPr>
          <w:p w14:paraId="3E2A5420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True Guess</w:t>
            </w:r>
          </w:p>
        </w:tc>
        <w:tc>
          <w:tcPr>
            <w:tcW w:w="1870" w:type="dxa"/>
            <w:tcBorders>
              <w:top w:val="single" w:sz="4" w:space="0" w:color="000000"/>
            </w:tcBorders>
            <w:vAlign w:val="center"/>
          </w:tcPr>
          <w:p w14:paraId="78EA354D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 (12.69%)</w:t>
            </w:r>
          </w:p>
        </w:tc>
        <w:tc>
          <w:tcPr>
            <w:tcW w:w="1870" w:type="dxa"/>
            <w:tcBorders>
              <w:top w:val="single" w:sz="4" w:space="0" w:color="000000"/>
            </w:tcBorders>
            <w:vAlign w:val="center"/>
          </w:tcPr>
          <w:p w14:paraId="4C0BB778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 (38.84%)</w:t>
            </w:r>
          </w:p>
        </w:tc>
        <w:tc>
          <w:tcPr>
            <w:tcW w:w="1870" w:type="dxa"/>
            <w:tcBorders>
              <w:top w:val="single" w:sz="4" w:space="0" w:color="000000"/>
            </w:tcBorders>
            <w:vAlign w:val="center"/>
          </w:tcPr>
          <w:p w14:paraId="788A5107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 (33.84%)</w:t>
            </w:r>
          </w:p>
        </w:tc>
        <w:tc>
          <w:tcPr>
            <w:tcW w:w="1870" w:type="dxa"/>
            <w:tcBorders>
              <w:top w:val="single" w:sz="4" w:space="0" w:color="000000"/>
            </w:tcBorders>
            <w:vAlign w:val="center"/>
          </w:tcPr>
          <w:p w14:paraId="6D5382F6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91% (14.61%)</w:t>
            </w:r>
          </w:p>
        </w:tc>
      </w:tr>
      <w:tr w:rsidR="001C51DB" w14:paraId="48395DB9" w14:textId="77777777" w:rsidTr="00891EBD">
        <w:tc>
          <w:tcPr>
            <w:tcW w:w="1870" w:type="dxa"/>
            <w:vAlign w:val="center"/>
          </w:tcPr>
          <w:p w14:paraId="599CC735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Traditional</w:t>
            </w:r>
          </w:p>
        </w:tc>
        <w:tc>
          <w:tcPr>
            <w:tcW w:w="1870" w:type="dxa"/>
            <w:vAlign w:val="center"/>
          </w:tcPr>
          <w:p w14:paraId="6E9310EC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 (11.09%)</w:t>
            </w:r>
          </w:p>
        </w:tc>
        <w:tc>
          <w:tcPr>
            <w:tcW w:w="1870" w:type="dxa"/>
            <w:vAlign w:val="center"/>
          </w:tcPr>
          <w:p w14:paraId="1AFD1151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 (34.87%)</w:t>
            </w:r>
          </w:p>
        </w:tc>
        <w:tc>
          <w:tcPr>
            <w:tcW w:w="1870" w:type="dxa"/>
            <w:vAlign w:val="center"/>
          </w:tcPr>
          <w:p w14:paraId="798E1355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 (40.24%)</w:t>
            </w:r>
          </w:p>
        </w:tc>
        <w:tc>
          <w:tcPr>
            <w:tcW w:w="1870" w:type="dxa"/>
            <w:vAlign w:val="center"/>
          </w:tcPr>
          <w:p w14:paraId="5A88ABF3" w14:textId="77777777" w:rsidR="001C51DB" w:rsidRDefault="00FF1B2B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 (13.78%)</w:t>
            </w:r>
          </w:p>
        </w:tc>
      </w:tr>
    </w:tbl>
    <w:p w14:paraId="5BCD50E1" w14:textId="77777777" w:rsidR="001C51DB" w:rsidRDefault="00FF1B2B" w:rsidP="0075032F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first number in each cell represents the mean accuracy rate, while the number in parentheses represents the proportion of trials at a given confidence level. </w:t>
      </w:r>
    </w:p>
    <w:p w14:paraId="6EA4BD4C" w14:textId="77777777" w:rsidR="001C51DB" w:rsidRDefault="001C51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FF0C96" w14:textId="77777777" w:rsidR="001C51DB" w:rsidRDefault="00FF1B2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</w:rPr>
        <w:t>S3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392B9A0" w14:textId="77777777" w:rsidR="001C51DB" w:rsidRDefault="00FF1B2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Mean Accuracy and Proportion of Responses for Each Type of Source Attribution</w:t>
      </w:r>
    </w:p>
    <w:tbl>
      <w:tblPr>
        <w:tblStyle w:val="a0"/>
        <w:tblW w:w="935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1EBD" w14:paraId="3CD2EE7B" w14:textId="77777777" w:rsidTr="00AB2C99">
        <w:trPr>
          <w:trHeight w:val="251"/>
        </w:trPr>
        <w:tc>
          <w:tcPr>
            <w:tcW w:w="1870" w:type="dxa"/>
            <w:tcBorders>
              <w:top w:val="single" w:sz="4" w:space="0" w:color="000000"/>
              <w:bottom w:val="nil"/>
            </w:tcBorders>
            <w:vAlign w:val="center"/>
          </w:tcPr>
          <w:p w14:paraId="7EE7EE83" w14:textId="77777777" w:rsidR="00891EBD" w:rsidRDefault="00891EBD" w:rsidP="00AB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22B60B0E" w14:textId="77777777" w:rsidR="00891EBD" w:rsidRDefault="00891EBD" w:rsidP="00AB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 Attribution</w:t>
            </w:r>
          </w:p>
        </w:tc>
      </w:tr>
      <w:tr w:rsidR="00891EBD" w14:paraId="2DD4ADB8" w14:textId="77777777" w:rsidTr="00A22B03">
        <w:trPr>
          <w:trHeight w:val="81"/>
        </w:trPr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0313A8B9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1870" w:type="dxa"/>
            <w:tcBorders>
              <w:top w:val="nil"/>
              <w:bottom w:val="single" w:sz="4" w:space="0" w:color="000000"/>
            </w:tcBorders>
          </w:tcPr>
          <w:p w14:paraId="243C71FD" w14:textId="77777777" w:rsidR="00891EBD" w:rsidRP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Guess</w:t>
            </w:r>
          </w:p>
        </w:tc>
        <w:tc>
          <w:tcPr>
            <w:tcW w:w="1870" w:type="dxa"/>
            <w:tcBorders>
              <w:top w:val="nil"/>
              <w:bottom w:val="single" w:sz="4" w:space="0" w:color="000000"/>
            </w:tcBorders>
          </w:tcPr>
          <w:p w14:paraId="3DEDB3E8" w14:textId="77777777" w:rsidR="00891EBD" w:rsidRP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Intuition</w:t>
            </w:r>
          </w:p>
        </w:tc>
        <w:tc>
          <w:tcPr>
            <w:tcW w:w="1870" w:type="dxa"/>
            <w:tcBorders>
              <w:top w:val="nil"/>
              <w:bottom w:val="single" w:sz="4" w:space="0" w:color="000000"/>
            </w:tcBorders>
          </w:tcPr>
          <w:p w14:paraId="631B9037" w14:textId="77777777" w:rsidR="00891EBD" w:rsidRP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Memory</w:t>
            </w:r>
          </w:p>
        </w:tc>
        <w:tc>
          <w:tcPr>
            <w:tcW w:w="1870" w:type="dxa"/>
            <w:tcBorders>
              <w:top w:val="nil"/>
              <w:bottom w:val="single" w:sz="4" w:space="0" w:color="000000"/>
            </w:tcBorders>
          </w:tcPr>
          <w:p w14:paraId="33786C04" w14:textId="77777777" w:rsidR="00891EBD" w:rsidRP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Rule</w:t>
            </w:r>
          </w:p>
        </w:tc>
      </w:tr>
      <w:tr w:rsidR="00891EBD" w14:paraId="31485354" w14:textId="77777777" w:rsidTr="004E2378">
        <w:tc>
          <w:tcPr>
            <w:tcW w:w="1870" w:type="dxa"/>
            <w:tcBorders>
              <w:top w:val="nil"/>
            </w:tcBorders>
            <w:vAlign w:val="center"/>
          </w:tcPr>
          <w:p w14:paraId="531944A2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True Guess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14:paraId="0B6ADE0F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 (2.62%)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14:paraId="1DD5ABCF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 (27.70%)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14:paraId="292CED2E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 (29.62%)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14:paraId="3B93D467" w14:textId="74508613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 (36.11%)</w:t>
            </w:r>
          </w:p>
        </w:tc>
      </w:tr>
      <w:tr w:rsidR="00891EBD" w14:paraId="67830033" w14:textId="77777777" w:rsidTr="00324D3C">
        <w:tc>
          <w:tcPr>
            <w:tcW w:w="1870" w:type="dxa"/>
            <w:vAlign w:val="center"/>
          </w:tcPr>
          <w:p w14:paraId="3EB1842C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Traditional</w:t>
            </w:r>
          </w:p>
        </w:tc>
        <w:tc>
          <w:tcPr>
            <w:tcW w:w="1870" w:type="dxa"/>
          </w:tcPr>
          <w:p w14:paraId="3B2870D7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 (14.88%)</w:t>
            </w:r>
          </w:p>
        </w:tc>
        <w:tc>
          <w:tcPr>
            <w:tcW w:w="1870" w:type="dxa"/>
          </w:tcPr>
          <w:p w14:paraId="197DAE51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 (45.98%)</w:t>
            </w:r>
          </w:p>
        </w:tc>
        <w:tc>
          <w:tcPr>
            <w:tcW w:w="1870" w:type="dxa"/>
          </w:tcPr>
          <w:p w14:paraId="05951479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 (22.83%)</w:t>
            </w:r>
          </w:p>
        </w:tc>
        <w:tc>
          <w:tcPr>
            <w:tcW w:w="1870" w:type="dxa"/>
          </w:tcPr>
          <w:p w14:paraId="433F1E87" w14:textId="77777777" w:rsidR="00891EBD" w:rsidRDefault="00891EBD" w:rsidP="00891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 (14.81%)</w:t>
            </w:r>
          </w:p>
        </w:tc>
      </w:tr>
    </w:tbl>
    <w:p w14:paraId="27AB9898" w14:textId="77777777" w:rsidR="001C51DB" w:rsidRDefault="00FF1B2B" w:rsidP="0075032F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eastAsia="Times New Roman" w:hAnsi="Times New Roman" w:cs="Times New Roman"/>
          <w:sz w:val="24"/>
          <w:szCs w:val="24"/>
        </w:rPr>
        <w:t>The first number in each cell represents the mean accuracy rate, while the number in parentheses represents the proportion of trials with a given source attr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ibution.</w:t>
      </w:r>
    </w:p>
    <w:sectPr w:rsidR="001C51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7EA5"/>
    <w:multiLevelType w:val="hybridMultilevel"/>
    <w:tmpl w:val="4F3C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11A"/>
    <w:multiLevelType w:val="multilevel"/>
    <w:tmpl w:val="FE1AB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B7C2C"/>
    <w:multiLevelType w:val="hybridMultilevel"/>
    <w:tmpl w:val="0FC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2637"/>
    <w:multiLevelType w:val="multilevel"/>
    <w:tmpl w:val="D94E2F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54C312D"/>
    <w:multiLevelType w:val="multilevel"/>
    <w:tmpl w:val="6EF2A7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91A3706"/>
    <w:multiLevelType w:val="hybridMultilevel"/>
    <w:tmpl w:val="1E5C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64025"/>
    <w:multiLevelType w:val="hybridMultilevel"/>
    <w:tmpl w:val="087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03CD4"/>
    <w:multiLevelType w:val="multilevel"/>
    <w:tmpl w:val="E3283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6256D1"/>
    <w:multiLevelType w:val="multilevel"/>
    <w:tmpl w:val="8D241B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52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96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68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612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840" w:hanging="180"/>
      </w:pPr>
      <w:rPr>
        <w:vertAlign w:val="baseline"/>
      </w:rPr>
    </w:lvl>
  </w:abstractNum>
  <w:abstractNum w:abstractNumId="9" w15:restartNumberingAfterBreak="0">
    <w:nsid w:val="6F7B1B8C"/>
    <w:multiLevelType w:val="hybridMultilevel"/>
    <w:tmpl w:val="26E0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903B4"/>
    <w:multiLevelType w:val="hybridMultilevel"/>
    <w:tmpl w:val="6DFC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86BC9"/>
    <w:multiLevelType w:val="hybridMultilevel"/>
    <w:tmpl w:val="9896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F4A35"/>
    <w:multiLevelType w:val="hybridMultilevel"/>
    <w:tmpl w:val="19343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DB"/>
    <w:rsid w:val="0009764B"/>
    <w:rsid w:val="000A593A"/>
    <w:rsid w:val="000E0089"/>
    <w:rsid w:val="000F45C6"/>
    <w:rsid w:val="00117FC3"/>
    <w:rsid w:val="0016477D"/>
    <w:rsid w:val="001A15F9"/>
    <w:rsid w:val="001C51DB"/>
    <w:rsid w:val="002D08C8"/>
    <w:rsid w:val="00301130"/>
    <w:rsid w:val="003A1E7B"/>
    <w:rsid w:val="003D1C16"/>
    <w:rsid w:val="003F1B4C"/>
    <w:rsid w:val="00450F9B"/>
    <w:rsid w:val="004C31F2"/>
    <w:rsid w:val="004C650F"/>
    <w:rsid w:val="005E3247"/>
    <w:rsid w:val="00665332"/>
    <w:rsid w:val="006C5F64"/>
    <w:rsid w:val="006F27E9"/>
    <w:rsid w:val="0075032F"/>
    <w:rsid w:val="00751108"/>
    <w:rsid w:val="0081031A"/>
    <w:rsid w:val="0084585C"/>
    <w:rsid w:val="00891EBD"/>
    <w:rsid w:val="008C6A62"/>
    <w:rsid w:val="00997DB8"/>
    <w:rsid w:val="009C6BE6"/>
    <w:rsid w:val="00BA02B4"/>
    <w:rsid w:val="00BF5B9E"/>
    <w:rsid w:val="00C17397"/>
    <w:rsid w:val="00C57E87"/>
    <w:rsid w:val="00C7252C"/>
    <w:rsid w:val="00D36013"/>
    <w:rsid w:val="00D40C78"/>
    <w:rsid w:val="00D77949"/>
    <w:rsid w:val="00D90224"/>
    <w:rsid w:val="00DC260A"/>
    <w:rsid w:val="00DD10EF"/>
    <w:rsid w:val="00DD57E6"/>
    <w:rsid w:val="00DD7A55"/>
    <w:rsid w:val="00DF0D5C"/>
    <w:rsid w:val="00E12405"/>
    <w:rsid w:val="00EB4EC6"/>
    <w:rsid w:val="00EC1853"/>
    <w:rsid w:val="00F11CC7"/>
    <w:rsid w:val="00F3296D"/>
    <w:rsid w:val="00F9380F"/>
    <w:rsid w:val="00FE1764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59CC"/>
  <w15:docId w15:val="{07850360-242E-436F-8E1E-C4744CB7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A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D42D0"/>
    <w:pPr>
      <w:spacing w:after="0" w:line="240" w:lineRule="auto"/>
    </w:pPr>
  </w:style>
  <w:style w:type="table" w:styleId="TableGrid">
    <w:name w:val="Table Grid"/>
    <w:basedOn w:val="TableNormal"/>
    <w:uiPriority w:val="39"/>
    <w:rsid w:val="008D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7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A8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6533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8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xF96sXS2jwvz7OJn8DXyOR3Wjw==">AMUW2mUTfrEuy0XxnhtTAlDrFC6Tz6Db3cztJ/HhjkKQpe+nlwRpX3ItGWjLTttABTR8GKN8eF5fWSE2ow96P/gcKdTHrukF5z5oaxOwI1MtF0hfan8awGM=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Sachs</dc:creator>
  <cp:lastModifiedBy>Rebecca</cp:lastModifiedBy>
  <cp:revision>5</cp:revision>
  <dcterms:created xsi:type="dcterms:W3CDTF">2020-03-16T15:14:00Z</dcterms:created>
  <dcterms:modified xsi:type="dcterms:W3CDTF">2020-03-16T15:29:00Z</dcterms:modified>
</cp:coreProperties>
</file>