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CFC17" w14:textId="16E56F32" w:rsidR="001A584D" w:rsidRDefault="00956C61" w:rsidP="00C82752">
      <w:pPr>
        <w:pStyle w:val="Normal1"/>
        <w:spacing w:after="0" w:line="240" w:lineRule="auto"/>
        <w:jc w:val="center"/>
        <w:outlineLvl w:val="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SUPPLEMENTARY MATERIALS</w:t>
      </w:r>
    </w:p>
    <w:p w14:paraId="5EEEA1ED" w14:textId="77777777" w:rsidR="003C0962" w:rsidRDefault="003C0962" w:rsidP="00C82752">
      <w:pPr>
        <w:pStyle w:val="Normal1"/>
        <w:spacing w:after="0" w:line="240" w:lineRule="auto"/>
        <w:jc w:val="center"/>
        <w:outlineLvl w:val="0"/>
        <w:rPr>
          <w:rFonts w:ascii="Times New Roman" w:eastAsia="Times New Roman" w:hAnsi="Times New Roman" w:cs="Times New Roman"/>
          <w:b/>
          <w:color w:val="222222"/>
          <w:sz w:val="24"/>
          <w:szCs w:val="24"/>
          <w:highlight w:val="white"/>
        </w:rPr>
      </w:pPr>
    </w:p>
    <w:p w14:paraId="6886E2CC" w14:textId="03C6E881" w:rsidR="003C0962" w:rsidRDefault="003C0962" w:rsidP="00C82752">
      <w:pPr>
        <w:pStyle w:val="Normal1"/>
        <w:spacing w:after="0" w:line="240" w:lineRule="auto"/>
        <w:jc w:val="center"/>
        <w:outlineLvl w:val="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Supplemental Methods</w:t>
      </w:r>
    </w:p>
    <w:p w14:paraId="16360B71" w14:textId="77777777" w:rsidR="00C82752" w:rsidRDefault="00C82752" w:rsidP="003C0962">
      <w:pPr>
        <w:pStyle w:val="Normal1"/>
        <w:spacing w:after="0" w:line="240" w:lineRule="auto"/>
        <w:outlineLvl w:val="0"/>
        <w:rPr>
          <w:rFonts w:ascii="Times New Roman" w:eastAsia="Times New Roman" w:hAnsi="Times New Roman" w:cs="Times New Roman"/>
          <w:b/>
          <w:color w:val="222222"/>
          <w:sz w:val="24"/>
          <w:szCs w:val="24"/>
          <w:highlight w:val="white"/>
        </w:rPr>
      </w:pPr>
    </w:p>
    <w:p w14:paraId="00D24375" w14:textId="4CDFB6FD" w:rsidR="003C0962" w:rsidRPr="00C82752" w:rsidRDefault="003C0962" w:rsidP="003C0962">
      <w:pPr>
        <w:pStyle w:val="Normal1"/>
        <w:spacing w:after="0" w:line="240" w:lineRule="auto"/>
        <w:outlineLvl w:val="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Sample</w:t>
      </w:r>
    </w:p>
    <w:p w14:paraId="0AF6ABCB" w14:textId="7EC52568" w:rsidR="001167E5" w:rsidRDefault="002829C3" w:rsidP="0057669A">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4351D">
        <w:rPr>
          <w:rFonts w:ascii="Times New Roman" w:eastAsia="Times New Roman" w:hAnsi="Times New Roman" w:cs="Times New Roman"/>
          <w:sz w:val="24"/>
          <w:szCs w:val="24"/>
        </w:rPr>
        <w:t>Promise Project at Columbia Clinic</w:t>
      </w:r>
      <w:r>
        <w:rPr>
          <w:rFonts w:ascii="Times New Roman" w:eastAsia="Times New Roman" w:hAnsi="Times New Roman" w:cs="Times New Roman"/>
          <w:sz w:val="24"/>
          <w:szCs w:val="24"/>
        </w:rPr>
        <w:t xml:space="preserve"> is an outpatient neuropsychology clinic located </w:t>
      </w:r>
      <w:r w:rsidR="0035611E">
        <w:rPr>
          <w:rFonts w:ascii="Times New Roman" w:eastAsia="Times New Roman" w:hAnsi="Times New Roman" w:cs="Times New Roman"/>
          <w:sz w:val="24"/>
          <w:szCs w:val="24"/>
        </w:rPr>
        <w:t xml:space="preserve">in </w:t>
      </w:r>
      <w:r w:rsidR="00B4351D">
        <w:rPr>
          <w:rFonts w:ascii="Times New Roman" w:eastAsia="Times New Roman" w:hAnsi="Times New Roman" w:cs="Times New Roman"/>
          <w:sz w:val="24"/>
          <w:szCs w:val="24"/>
        </w:rPr>
        <w:t>New York City</w:t>
      </w:r>
      <w:r>
        <w:rPr>
          <w:rFonts w:ascii="Times New Roman" w:eastAsia="Times New Roman" w:hAnsi="Times New Roman" w:cs="Times New Roman"/>
          <w:sz w:val="24"/>
          <w:szCs w:val="24"/>
        </w:rPr>
        <w:t xml:space="preserve">. The </w:t>
      </w:r>
      <w:r w:rsidR="004222F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rogram was created to provide comprehensive neuropsychological assessments and education coordination to low-income children </w:t>
      </w:r>
      <w:r w:rsidR="001A584D">
        <w:rPr>
          <w:rFonts w:ascii="Times New Roman" w:eastAsia="Times New Roman" w:hAnsi="Times New Roman" w:cs="Times New Roman"/>
          <w:sz w:val="24"/>
          <w:szCs w:val="24"/>
        </w:rPr>
        <w:t xml:space="preserve">residing </w:t>
      </w:r>
      <w:r w:rsidR="004222F2">
        <w:rPr>
          <w:rFonts w:ascii="Times New Roman" w:eastAsia="Times New Roman" w:hAnsi="Times New Roman" w:cs="Times New Roman"/>
          <w:sz w:val="24"/>
          <w:szCs w:val="24"/>
        </w:rPr>
        <w:t xml:space="preserve">in </w:t>
      </w:r>
      <w:r w:rsidR="00B4351D">
        <w:rPr>
          <w:rFonts w:ascii="Times New Roman" w:eastAsia="Times New Roman" w:hAnsi="Times New Roman" w:cs="Times New Roman"/>
          <w:sz w:val="24"/>
          <w:szCs w:val="24"/>
        </w:rPr>
        <w:t>upper Manhattan</w:t>
      </w:r>
      <w:r w:rsidR="001A584D">
        <w:rPr>
          <w:rFonts w:ascii="Times New Roman" w:eastAsia="Times New Roman" w:hAnsi="Times New Roman" w:cs="Times New Roman"/>
          <w:sz w:val="24"/>
          <w:szCs w:val="24"/>
        </w:rPr>
        <w:t xml:space="preserve"> communities who have</w:t>
      </w:r>
      <w:r>
        <w:rPr>
          <w:rFonts w:ascii="Times New Roman" w:eastAsia="Times New Roman" w:hAnsi="Times New Roman" w:cs="Times New Roman"/>
          <w:sz w:val="24"/>
          <w:szCs w:val="24"/>
        </w:rPr>
        <w:t xml:space="preserve"> </w:t>
      </w:r>
      <w:r w:rsidR="001A584D">
        <w:rPr>
          <w:rFonts w:ascii="Times New Roman" w:eastAsia="Times New Roman" w:hAnsi="Times New Roman" w:cs="Times New Roman"/>
          <w:sz w:val="24"/>
          <w:szCs w:val="24"/>
        </w:rPr>
        <w:t>suspected learning and</w:t>
      </w:r>
      <w:r>
        <w:rPr>
          <w:rFonts w:ascii="Times New Roman" w:eastAsia="Times New Roman" w:hAnsi="Times New Roman" w:cs="Times New Roman"/>
          <w:sz w:val="24"/>
          <w:szCs w:val="24"/>
        </w:rPr>
        <w:t xml:space="preserve"> attention</w:t>
      </w:r>
      <w:r w:rsidR="001A584D">
        <w:rPr>
          <w:rFonts w:ascii="Times New Roman" w:eastAsia="Times New Roman" w:hAnsi="Times New Roman" w:cs="Times New Roman"/>
          <w:sz w:val="24"/>
          <w:szCs w:val="24"/>
        </w:rPr>
        <w:t xml:space="preserve"> problems</w:t>
      </w:r>
      <w:r>
        <w:rPr>
          <w:rFonts w:ascii="Times New Roman" w:eastAsia="Times New Roman" w:hAnsi="Times New Roman" w:cs="Times New Roman"/>
          <w:sz w:val="24"/>
          <w:szCs w:val="24"/>
        </w:rPr>
        <w:t xml:space="preserve">. </w:t>
      </w:r>
      <w:r w:rsidR="004222F2">
        <w:rPr>
          <w:rFonts w:ascii="Times New Roman" w:eastAsia="Times New Roman" w:hAnsi="Times New Roman" w:cs="Times New Roman"/>
          <w:sz w:val="24"/>
          <w:szCs w:val="24"/>
        </w:rPr>
        <w:t xml:space="preserve">Children are referred to the clinic by parents, school staff, pediatricians, community mental health providers, and/or various other providers. </w:t>
      </w:r>
      <w:r>
        <w:rPr>
          <w:rFonts w:ascii="Times New Roman" w:eastAsia="Times New Roman" w:hAnsi="Times New Roman" w:cs="Times New Roman"/>
          <w:sz w:val="24"/>
          <w:szCs w:val="24"/>
        </w:rPr>
        <w:t>The clinic is staffed by licensed neuropsychologists and post-doctoral fellows who conduct assessments. Education</w:t>
      </w:r>
      <w:r w:rsidR="00B91CC2">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coordinators provi</w:t>
      </w:r>
      <w:r w:rsidR="00B91CC2">
        <w:rPr>
          <w:rFonts w:ascii="Times New Roman" w:eastAsia="Times New Roman" w:hAnsi="Times New Roman" w:cs="Times New Roman"/>
          <w:sz w:val="24"/>
          <w:szCs w:val="24"/>
        </w:rPr>
        <w:t xml:space="preserve">de ongoing educational advocacy </w:t>
      </w:r>
      <w:r>
        <w:rPr>
          <w:rFonts w:ascii="Times New Roman" w:eastAsia="Times New Roman" w:hAnsi="Times New Roman" w:cs="Times New Roman"/>
          <w:sz w:val="24"/>
          <w:szCs w:val="24"/>
        </w:rPr>
        <w:t xml:space="preserve">by attending school meetings </w:t>
      </w:r>
      <w:r w:rsidR="008B4DF9">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families </w:t>
      </w:r>
      <w:r w:rsidR="008B4DF9">
        <w:rPr>
          <w:rFonts w:ascii="Times New Roman" w:eastAsia="Times New Roman" w:hAnsi="Times New Roman" w:cs="Times New Roman"/>
          <w:sz w:val="24"/>
          <w:szCs w:val="24"/>
        </w:rPr>
        <w:t>(</w:t>
      </w:r>
      <w:r>
        <w:rPr>
          <w:rFonts w:ascii="Times New Roman" w:eastAsia="Times New Roman" w:hAnsi="Times New Roman" w:cs="Times New Roman"/>
          <w:sz w:val="24"/>
          <w:szCs w:val="24"/>
        </w:rPr>
        <w:t>following their child’s evaluation</w:t>
      </w:r>
      <w:r w:rsidR="008B4DF9">
        <w:rPr>
          <w:rFonts w:ascii="Times New Roman" w:eastAsia="Times New Roman" w:hAnsi="Times New Roman" w:cs="Times New Roman"/>
          <w:sz w:val="24"/>
          <w:szCs w:val="24"/>
        </w:rPr>
        <w:t>)</w:t>
      </w:r>
      <w:r w:rsidR="00CC1B15" w:rsidRPr="00CC1B15">
        <w:rPr>
          <w:rFonts w:ascii="Times New Roman" w:eastAsia="Times New Roman" w:hAnsi="Times New Roman" w:cs="Times New Roman"/>
          <w:sz w:val="24"/>
          <w:szCs w:val="24"/>
        </w:rPr>
        <w:t xml:space="preserve"> </w:t>
      </w:r>
      <w:r w:rsidR="00CC1B15">
        <w:rPr>
          <w:rFonts w:ascii="Times New Roman" w:eastAsia="Times New Roman" w:hAnsi="Times New Roman" w:cs="Times New Roman"/>
          <w:sz w:val="24"/>
          <w:szCs w:val="24"/>
        </w:rPr>
        <w:t>for up to three years</w:t>
      </w:r>
      <w:r>
        <w:rPr>
          <w:rFonts w:ascii="Times New Roman" w:eastAsia="Times New Roman" w:hAnsi="Times New Roman" w:cs="Times New Roman"/>
          <w:sz w:val="24"/>
          <w:szCs w:val="24"/>
        </w:rPr>
        <w:t xml:space="preserve">. </w:t>
      </w:r>
      <w:r w:rsidR="00B91CC2">
        <w:rPr>
          <w:rFonts w:ascii="Times New Roman" w:eastAsia="Times New Roman" w:hAnsi="Times New Roman" w:cs="Times New Roman"/>
          <w:sz w:val="24"/>
          <w:szCs w:val="24"/>
        </w:rPr>
        <w:t xml:space="preserve">All educational coordinators are bilingual (Spanish and English) and </w:t>
      </w:r>
      <w:r w:rsidR="00CC1B15">
        <w:rPr>
          <w:rFonts w:ascii="Times New Roman" w:eastAsia="Times New Roman" w:hAnsi="Times New Roman" w:cs="Times New Roman"/>
          <w:sz w:val="24"/>
          <w:szCs w:val="24"/>
        </w:rPr>
        <w:t xml:space="preserve">consult with families on approximately a </w:t>
      </w:r>
      <w:r w:rsidR="00F676FF">
        <w:rPr>
          <w:rFonts w:ascii="Times New Roman" w:eastAsia="Times New Roman" w:hAnsi="Times New Roman" w:cs="Times New Roman"/>
          <w:sz w:val="24"/>
          <w:szCs w:val="24"/>
        </w:rPr>
        <w:t>quarterly</w:t>
      </w:r>
      <w:r w:rsidR="00CC1B15">
        <w:rPr>
          <w:rFonts w:ascii="Times New Roman" w:eastAsia="Times New Roman" w:hAnsi="Times New Roman" w:cs="Times New Roman"/>
          <w:sz w:val="24"/>
          <w:szCs w:val="24"/>
        </w:rPr>
        <w:t xml:space="preserve"> basis.  </w:t>
      </w:r>
    </w:p>
    <w:p w14:paraId="33F8C33D" w14:textId="2F55929A" w:rsidR="00E73F97" w:rsidRPr="003C0962" w:rsidRDefault="004222F2" w:rsidP="003C0962">
      <w:pPr>
        <w:pStyle w:val="Normal1"/>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Income criteria </w:t>
      </w:r>
      <w:r w:rsidR="00E73F97">
        <w:rPr>
          <w:rFonts w:ascii="Times New Roman" w:eastAsia="Times New Roman" w:hAnsi="Times New Roman" w:cs="Times New Roman"/>
          <w:sz w:val="24"/>
          <w:szCs w:val="24"/>
        </w:rPr>
        <w:t>is determined based on family income level and numb</w:t>
      </w:r>
      <w:r>
        <w:rPr>
          <w:rFonts w:ascii="Times New Roman" w:eastAsia="Times New Roman" w:hAnsi="Times New Roman" w:cs="Times New Roman"/>
          <w:sz w:val="24"/>
          <w:szCs w:val="24"/>
        </w:rPr>
        <w:t>er of household members. All f</w:t>
      </w:r>
      <w:r w:rsidR="00E73F97">
        <w:rPr>
          <w:rFonts w:ascii="Times New Roman" w:eastAsia="Times New Roman" w:hAnsi="Times New Roman" w:cs="Times New Roman"/>
          <w:sz w:val="24"/>
          <w:szCs w:val="24"/>
        </w:rPr>
        <w:t>amilies are below 250% of the federal poverty level. Eighty-seven percent of families earned less than $50,000 per year and 20 percent earned less than $10,000 per year. Parent education levels ranged from less than seventh grade to holding a graduate degree, with the majority of parents (76% for mothers, 87% for fathers) obtaining less than a Bachelor</w:t>
      </w:r>
      <w:r w:rsidR="00263AFE">
        <w:rPr>
          <w:rFonts w:ascii="Times New Roman" w:eastAsia="Times New Roman" w:hAnsi="Times New Roman" w:cs="Times New Roman"/>
          <w:sz w:val="24"/>
          <w:szCs w:val="24"/>
        </w:rPr>
        <w:t>’</w:t>
      </w:r>
      <w:r w:rsidR="00E73F97">
        <w:rPr>
          <w:rFonts w:ascii="Times New Roman" w:eastAsia="Times New Roman" w:hAnsi="Times New Roman" w:cs="Times New Roman"/>
          <w:sz w:val="24"/>
          <w:szCs w:val="24"/>
        </w:rPr>
        <w:t xml:space="preserve">s degree. </w:t>
      </w:r>
    </w:p>
    <w:p w14:paraId="11E91A31" w14:textId="35BE69CF" w:rsidR="00B65E2F" w:rsidRPr="003C0962" w:rsidRDefault="001167E5" w:rsidP="003C0962">
      <w:pPr>
        <w:pStyle w:val="Normal1"/>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Demographic </w:t>
      </w:r>
      <w:r w:rsidR="003C0962">
        <w:rPr>
          <w:rFonts w:ascii="Times New Roman" w:eastAsia="Times New Roman" w:hAnsi="Times New Roman" w:cs="Times New Roman"/>
          <w:b/>
          <w:sz w:val="24"/>
          <w:szCs w:val="24"/>
        </w:rPr>
        <w:t xml:space="preserve">Information </w:t>
      </w:r>
      <w:r>
        <w:rPr>
          <w:rFonts w:ascii="Times New Roman" w:eastAsia="Times New Roman" w:hAnsi="Times New Roman" w:cs="Times New Roman"/>
          <w:b/>
          <w:sz w:val="24"/>
          <w:szCs w:val="24"/>
        </w:rPr>
        <w:t xml:space="preserve">and Background </w:t>
      </w:r>
      <w:r w:rsidRPr="001167E5">
        <w:rPr>
          <w:rFonts w:ascii="Times New Roman" w:eastAsia="Times New Roman" w:hAnsi="Times New Roman" w:cs="Times New Roman"/>
          <w:b/>
          <w:sz w:val="24"/>
          <w:szCs w:val="24"/>
        </w:rPr>
        <w:t>Assessment</w:t>
      </w:r>
      <w:r w:rsidR="003C0962">
        <w:rPr>
          <w:rFonts w:ascii="Times New Roman" w:eastAsia="Times New Roman" w:hAnsi="Times New Roman" w:cs="Times New Roman"/>
          <w:b/>
          <w:sz w:val="24"/>
          <w:szCs w:val="24"/>
        </w:rPr>
        <w:t xml:space="preserve">. </w:t>
      </w:r>
      <w:r w:rsidR="00492592">
        <w:rPr>
          <w:rFonts w:ascii="Times New Roman" w:eastAsia="Times New Roman" w:hAnsi="Times New Roman" w:cs="Times New Roman"/>
          <w:sz w:val="24"/>
          <w:szCs w:val="24"/>
        </w:rPr>
        <w:t>I</w:t>
      </w:r>
      <w:r w:rsidR="002829C3">
        <w:rPr>
          <w:rFonts w:ascii="Times New Roman" w:eastAsia="Times New Roman" w:hAnsi="Times New Roman" w:cs="Times New Roman"/>
          <w:sz w:val="24"/>
          <w:szCs w:val="24"/>
        </w:rPr>
        <w:t xml:space="preserve">nformation is </w:t>
      </w:r>
      <w:r w:rsidR="00492592">
        <w:rPr>
          <w:rFonts w:ascii="Times New Roman" w:eastAsia="Times New Roman" w:hAnsi="Times New Roman" w:cs="Times New Roman"/>
          <w:sz w:val="24"/>
          <w:szCs w:val="24"/>
        </w:rPr>
        <w:t>obtained via parent interview and surveys</w:t>
      </w:r>
      <w:r w:rsidR="002829C3">
        <w:rPr>
          <w:rFonts w:ascii="Times New Roman" w:eastAsia="Times New Roman" w:hAnsi="Times New Roman" w:cs="Times New Roman"/>
          <w:sz w:val="24"/>
          <w:szCs w:val="24"/>
        </w:rPr>
        <w:t xml:space="preserve"> and review of relevant records. </w:t>
      </w:r>
      <w:r w:rsidR="000A4D23">
        <w:rPr>
          <w:rFonts w:ascii="Times New Roman" w:eastAsia="Times New Roman" w:hAnsi="Times New Roman" w:cs="Times New Roman"/>
          <w:sz w:val="24"/>
          <w:szCs w:val="24"/>
        </w:rPr>
        <w:t>Depending upon their language preference, parents complete questionnaires in either</w:t>
      </w:r>
      <w:r w:rsidR="00BD185D">
        <w:rPr>
          <w:rFonts w:ascii="Times New Roman" w:eastAsia="Times New Roman" w:hAnsi="Times New Roman" w:cs="Times New Roman"/>
          <w:sz w:val="24"/>
          <w:szCs w:val="24"/>
        </w:rPr>
        <w:t xml:space="preserve"> English or Spanish</w:t>
      </w:r>
      <w:r w:rsidR="00492592">
        <w:rPr>
          <w:rFonts w:ascii="Times New Roman" w:eastAsia="Times New Roman" w:hAnsi="Times New Roman" w:cs="Times New Roman"/>
          <w:sz w:val="24"/>
          <w:szCs w:val="24"/>
        </w:rPr>
        <w:t>. In response to the</w:t>
      </w:r>
      <w:r w:rsidR="00BD185D">
        <w:rPr>
          <w:rFonts w:ascii="Times New Roman" w:eastAsia="Times New Roman" w:hAnsi="Times New Roman" w:cs="Times New Roman"/>
          <w:sz w:val="24"/>
          <w:szCs w:val="24"/>
        </w:rPr>
        <w:t xml:space="preserve"> </w:t>
      </w:r>
      <w:r w:rsidR="00492592">
        <w:rPr>
          <w:rFonts w:ascii="Times New Roman" w:eastAsia="Times New Roman" w:hAnsi="Times New Roman" w:cs="Times New Roman"/>
          <w:sz w:val="24"/>
          <w:szCs w:val="24"/>
        </w:rPr>
        <w:t>question: “Describe the language(s) spoken in the home,” they</w:t>
      </w:r>
      <w:r w:rsidR="00BD185D">
        <w:rPr>
          <w:rFonts w:ascii="Times New Roman" w:eastAsia="Times New Roman" w:hAnsi="Times New Roman" w:cs="Times New Roman"/>
          <w:sz w:val="24"/>
          <w:szCs w:val="24"/>
        </w:rPr>
        <w:t xml:space="preserve"> select</w:t>
      </w:r>
      <w:r w:rsidR="000A4D23">
        <w:rPr>
          <w:rFonts w:ascii="Times New Roman" w:eastAsia="Times New Roman" w:hAnsi="Times New Roman" w:cs="Times New Roman"/>
          <w:sz w:val="24"/>
          <w:szCs w:val="24"/>
        </w:rPr>
        <w:t xml:space="preserve"> either “English Only, “Mostly English, Some Spanish,” “Bilingual,” “Mostly Spanish, Some English,” “Spanish </w:t>
      </w:r>
      <w:r w:rsidR="000A4D23">
        <w:rPr>
          <w:rFonts w:ascii="Times New Roman" w:eastAsia="Times New Roman" w:hAnsi="Times New Roman" w:cs="Times New Roman"/>
          <w:sz w:val="24"/>
          <w:szCs w:val="24"/>
        </w:rPr>
        <w:lastRenderedPageBreak/>
        <w:t>Only,” or “Other</w:t>
      </w:r>
      <w:r w:rsidR="00492592">
        <w:rPr>
          <w:rFonts w:ascii="Times New Roman" w:eastAsia="Times New Roman" w:hAnsi="Times New Roman" w:cs="Times New Roman"/>
          <w:sz w:val="24"/>
          <w:szCs w:val="24"/>
        </w:rPr>
        <w:t>.</w:t>
      </w:r>
      <w:r w:rsidR="000A4D23">
        <w:rPr>
          <w:rFonts w:ascii="Times New Roman" w:eastAsia="Times New Roman" w:hAnsi="Times New Roman" w:cs="Times New Roman"/>
          <w:sz w:val="24"/>
          <w:szCs w:val="24"/>
        </w:rPr>
        <w:t xml:space="preserve">” </w:t>
      </w:r>
      <w:r w:rsidR="00B65E2F">
        <w:rPr>
          <w:rFonts w:ascii="Times New Roman" w:eastAsia="Times New Roman" w:hAnsi="Times New Roman" w:cs="Times New Roman"/>
          <w:sz w:val="24"/>
          <w:szCs w:val="24"/>
        </w:rPr>
        <w:t xml:space="preserve">Parents </w:t>
      </w:r>
      <w:r w:rsidR="001A584D">
        <w:rPr>
          <w:rFonts w:ascii="Times New Roman" w:eastAsia="Times New Roman" w:hAnsi="Times New Roman" w:cs="Times New Roman"/>
          <w:sz w:val="24"/>
          <w:szCs w:val="24"/>
        </w:rPr>
        <w:t>also provide</w:t>
      </w:r>
      <w:r w:rsidR="00B65E2F">
        <w:rPr>
          <w:rFonts w:ascii="Times New Roman" w:eastAsia="Times New Roman" w:hAnsi="Times New Roman" w:cs="Times New Roman"/>
          <w:sz w:val="24"/>
          <w:szCs w:val="24"/>
        </w:rPr>
        <w:t xml:space="preserve"> the child’s age, grade, sex (male, female), race (American Indian/Alaska Native, Asian, Black or African American, Native Hawaiian or Other Pacific Islander, White, Other), ethnicity (Hispanic or Latino, Not Hispanic or Latino), maternal employment (full time, part time), and household income (&lt;10,000, 10,000-20,000, 20,000-30,000, 30,000-40,000, 40,000-50,000, 50,000-60,000, 60,000-70,000, 70,000-80,000, 80,000-90,000, 90,000-100,000, &gt;100,000). </w:t>
      </w:r>
    </w:p>
    <w:p w14:paraId="369E8EE3" w14:textId="77777777" w:rsidR="001167E5" w:rsidRPr="001167E5" w:rsidRDefault="001167E5" w:rsidP="001167E5">
      <w:pPr>
        <w:pStyle w:val="Normal1"/>
        <w:spacing w:after="0" w:line="480" w:lineRule="auto"/>
        <w:rPr>
          <w:rFonts w:ascii="Times New Roman" w:eastAsia="Times New Roman" w:hAnsi="Times New Roman" w:cs="Times New Roman"/>
          <w:b/>
          <w:sz w:val="24"/>
          <w:szCs w:val="24"/>
        </w:rPr>
      </w:pPr>
      <w:r w:rsidRPr="001167E5">
        <w:rPr>
          <w:rFonts w:ascii="Times New Roman" w:eastAsia="Times New Roman" w:hAnsi="Times New Roman" w:cs="Times New Roman"/>
          <w:b/>
          <w:sz w:val="24"/>
          <w:szCs w:val="24"/>
        </w:rPr>
        <w:t>Neuropsychological Assessment</w:t>
      </w:r>
    </w:p>
    <w:p w14:paraId="7BDC6012" w14:textId="40E680EF" w:rsidR="001167E5" w:rsidRDefault="004222F2" w:rsidP="001167E5">
      <w:pPr>
        <w:pStyle w:val="Normal1"/>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at the</w:t>
      </w:r>
      <w:r w:rsidR="002829C3">
        <w:rPr>
          <w:rFonts w:ascii="Times New Roman" w:eastAsia="Times New Roman" w:hAnsi="Times New Roman" w:cs="Times New Roman"/>
          <w:sz w:val="24"/>
          <w:szCs w:val="24"/>
        </w:rPr>
        <w:t xml:space="preserve"> clinic consists of an intake session, two or three testing sessions lasting approximately four to five hours in duration, and a feedback session with the family to share the results of testing. </w:t>
      </w:r>
      <w:r w:rsidR="001A584D">
        <w:rPr>
          <w:rFonts w:ascii="Times New Roman" w:eastAsia="Times New Roman" w:hAnsi="Times New Roman" w:cs="Times New Roman"/>
          <w:sz w:val="24"/>
          <w:szCs w:val="24"/>
        </w:rPr>
        <w:t xml:space="preserve"> </w:t>
      </w:r>
      <w:r w:rsidR="001167E5">
        <w:rPr>
          <w:rFonts w:ascii="Times New Roman" w:eastAsia="Times New Roman" w:hAnsi="Times New Roman" w:cs="Times New Roman"/>
          <w:sz w:val="24"/>
          <w:szCs w:val="24"/>
        </w:rPr>
        <w:t xml:space="preserve">A comprehensive battery measuring intelligence, attention/executive functioning, language, memory, visual-spatial, visual-motor and fine motor, academic, adaptive behavior, and social-emotional-behavioral functioning is completed. </w:t>
      </w:r>
    </w:p>
    <w:p w14:paraId="5573B9F9" w14:textId="462D4908" w:rsidR="00330A9A" w:rsidRPr="00BE50AB" w:rsidRDefault="00330A9A" w:rsidP="00330A9A">
      <w:pPr>
        <w:pStyle w:val="Normal1"/>
        <w:spacing w:after="0" w:line="480" w:lineRule="auto"/>
        <w:ind w:firstLine="720"/>
        <w:rPr>
          <w:rFonts w:ascii="Times New Roman" w:eastAsia="Times New Roman" w:hAnsi="Times New Roman" w:cs="Times New Roman"/>
          <w:color w:val="FF0000"/>
          <w:sz w:val="24"/>
          <w:szCs w:val="24"/>
        </w:rPr>
      </w:pPr>
      <w:r w:rsidRPr="00BE50AB">
        <w:rPr>
          <w:rFonts w:ascii="Times New Roman" w:eastAsia="Times New Roman" w:hAnsi="Times New Roman" w:cs="Times New Roman"/>
          <w:color w:val="FF0000"/>
          <w:sz w:val="24"/>
          <w:szCs w:val="24"/>
        </w:rPr>
        <w:t xml:space="preserve">Participants were diagnosed with a language disorder following a comprehensive neuropsychological evaluation which included standardized speech language assessment measures. Diagnoses were made according to DSM IV or DSM 5 criteria depending on which was current at the time of the assessment. The bilingual evaluator in the clinic made decisions about whether a child needed to be assessed in Spanish or in English. This decision was made </w:t>
      </w:r>
      <w:r w:rsidR="000B6781" w:rsidRPr="00BE50AB">
        <w:rPr>
          <w:rFonts w:ascii="Times New Roman" w:eastAsia="Times New Roman" w:hAnsi="Times New Roman" w:cs="Times New Roman"/>
          <w:color w:val="FF0000"/>
          <w:sz w:val="24"/>
          <w:szCs w:val="24"/>
        </w:rPr>
        <w:t xml:space="preserve">by </w:t>
      </w:r>
      <w:r w:rsidRPr="00BE50AB">
        <w:rPr>
          <w:rFonts w:ascii="Times New Roman" w:eastAsia="Times New Roman" w:hAnsi="Times New Roman" w:cs="Times New Roman"/>
          <w:color w:val="FF0000"/>
          <w:sz w:val="24"/>
          <w:szCs w:val="24"/>
        </w:rPr>
        <w:t>taking</w:t>
      </w:r>
      <w:r w:rsidR="000B6781" w:rsidRPr="00BE50AB">
        <w:rPr>
          <w:rFonts w:ascii="Times New Roman" w:eastAsia="Times New Roman" w:hAnsi="Times New Roman" w:cs="Times New Roman"/>
          <w:color w:val="FF0000"/>
          <w:sz w:val="24"/>
          <w:szCs w:val="24"/>
        </w:rPr>
        <w:t xml:space="preserve"> i</w:t>
      </w:r>
      <w:r w:rsidRPr="00BE50AB">
        <w:rPr>
          <w:rFonts w:ascii="Times New Roman" w:eastAsia="Times New Roman" w:hAnsi="Times New Roman" w:cs="Times New Roman"/>
          <w:color w:val="FF0000"/>
          <w:sz w:val="24"/>
          <w:szCs w:val="24"/>
        </w:rPr>
        <w:t>nto account information about a child’s language proficiency gather</w:t>
      </w:r>
      <w:r w:rsidR="000B6781" w:rsidRPr="00BE50AB">
        <w:rPr>
          <w:rFonts w:ascii="Times New Roman" w:eastAsia="Times New Roman" w:hAnsi="Times New Roman" w:cs="Times New Roman"/>
          <w:color w:val="FF0000"/>
          <w:sz w:val="24"/>
          <w:szCs w:val="24"/>
        </w:rPr>
        <w:t>ed</w:t>
      </w:r>
      <w:r w:rsidRPr="00BE50AB">
        <w:rPr>
          <w:rFonts w:ascii="Times New Roman" w:eastAsia="Times New Roman" w:hAnsi="Times New Roman" w:cs="Times New Roman"/>
          <w:color w:val="FF0000"/>
          <w:sz w:val="24"/>
          <w:szCs w:val="24"/>
        </w:rPr>
        <w:t xml:space="preserve"> from conversations with the child’s parents and school personnel such as teachers, as well as based on the child’s current school placement. </w:t>
      </w:r>
    </w:p>
    <w:p w14:paraId="53B26EF5" w14:textId="77777777" w:rsidR="00330A9A" w:rsidRDefault="00330A9A" w:rsidP="00330A9A">
      <w:pPr>
        <w:rPr>
          <w:rFonts w:ascii="Arial" w:eastAsia="Times New Roman" w:hAnsi="Arial" w:cs="Arial"/>
          <w:b/>
          <w:color w:val="222222"/>
        </w:rPr>
      </w:pPr>
    </w:p>
    <w:p w14:paraId="65ED2365" w14:textId="77777777" w:rsidR="00330A9A" w:rsidRDefault="00330A9A" w:rsidP="001167E5">
      <w:pPr>
        <w:pStyle w:val="Normal1"/>
        <w:spacing w:after="0" w:line="480" w:lineRule="auto"/>
        <w:ind w:firstLine="720"/>
        <w:rPr>
          <w:rFonts w:ascii="Times New Roman" w:eastAsia="Times New Roman" w:hAnsi="Times New Roman" w:cs="Times New Roman"/>
          <w:sz w:val="24"/>
          <w:szCs w:val="24"/>
        </w:rPr>
      </w:pPr>
    </w:p>
    <w:p w14:paraId="1990EBA5" w14:textId="77777777" w:rsidR="003C0962" w:rsidRDefault="003C0962" w:rsidP="000437DA">
      <w:pPr>
        <w:pStyle w:val="Normal1"/>
        <w:spacing w:after="0" w:line="480" w:lineRule="auto"/>
        <w:rPr>
          <w:rFonts w:ascii="Times New Roman" w:eastAsia="Times New Roman" w:hAnsi="Times New Roman" w:cs="Times New Roman"/>
          <w:sz w:val="24"/>
          <w:szCs w:val="24"/>
        </w:rPr>
      </w:pPr>
    </w:p>
    <w:p w14:paraId="5F486346" w14:textId="067BE72C" w:rsidR="00DE7674" w:rsidRPr="00ED1788" w:rsidRDefault="00DE7674" w:rsidP="00DE7674">
      <w:pPr>
        <w:rPr>
          <w:rFonts w:ascii="Times New Roman" w:eastAsia="Times New Roman" w:hAnsi="Times New Roman" w:cs="Times New Roman"/>
          <w:color w:val="auto"/>
          <w:sz w:val="24"/>
          <w:szCs w:val="24"/>
        </w:rPr>
      </w:pPr>
      <w:r w:rsidRPr="00ED1788">
        <w:rPr>
          <w:rFonts w:ascii="Times New Roman" w:eastAsia="Times New Roman" w:hAnsi="Times New Roman" w:cs="Times New Roman"/>
          <w:color w:val="auto"/>
          <w:sz w:val="24"/>
          <w:szCs w:val="24"/>
        </w:rPr>
        <w:lastRenderedPageBreak/>
        <w:t>Table S1. Average performance for children with and without RD on phonological memory, phonological awareness, word reading accuracy, and overall reading composite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1276"/>
        <w:gridCol w:w="1396"/>
      </w:tblGrid>
      <w:tr w:rsidR="00ED1788" w:rsidRPr="00ED1788" w14:paraId="10C0A25C" w14:textId="77777777" w:rsidTr="008F60A7">
        <w:tc>
          <w:tcPr>
            <w:tcW w:w="0" w:type="auto"/>
            <w:tcBorders>
              <w:top w:val="single" w:sz="4" w:space="0" w:color="auto"/>
              <w:bottom w:val="single" w:sz="4" w:space="0" w:color="auto"/>
            </w:tcBorders>
          </w:tcPr>
          <w:p w14:paraId="77155CE0"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Measure</w:t>
            </w:r>
          </w:p>
        </w:tc>
        <w:tc>
          <w:tcPr>
            <w:tcW w:w="0" w:type="auto"/>
            <w:tcBorders>
              <w:top w:val="single" w:sz="4" w:space="0" w:color="auto"/>
              <w:bottom w:val="single" w:sz="4" w:space="0" w:color="auto"/>
            </w:tcBorders>
            <w:vAlign w:val="center"/>
          </w:tcPr>
          <w:p w14:paraId="09990586" w14:textId="77777777" w:rsidR="00DE7674" w:rsidRPr="00ED1788" w:rsidRDefault="00DE7674" w:rsidP="008F60A7">
            <w:pPr>
              <w:jc w:val="center"/>
              <w:rPr>
                <w:rFonts w:ascii="Times New Roman" w:hAnsi="Times New Roman" w:cs="Times New Roman"/>
                <w:color w:val="auto"/>
              </w:rPr>
            </w:pPr>
            <w:r w:rsidRPr="00ED1788">
              <w:rPr>
                <w:rFonts w:ascii="Times New Roman" w:hAnsi="Times New Roman" w:cs="Times New Roman"/>
                <w:color w:val="auto"/>
              </w:rPr>
              <w:t>RD</w:t>
            </w:r>
          </w:p>
        </w:tc>
        <w:tc>
          <w:tcPr>
            <w:tcW w:w="0" w:type="auto"/>
            <w:tcBorders>
              <w:top w:val="single" w:sz="4" w:space="0" w:color="auto"/>
              <w:bottom w:val="single" w:sz="4" w:space="0" w:color="auto"/>
            </w:tcBorders>
            <w:vAlign w:val="center"/>
          </w:tcPr>
          <w:p w14:paraId="4E759ACE" w14:textId="42038550" w:rsidR="00DE7674" w:rsidRPr="00ED1788" w:rsidRDefault="00630ECB" w:rsidP="008F60A7">
            <w:pPr>
              <w:jc w:val="center"/>
              <w:rPr>
                <w:rFonts w:ascii="Times New Roman" w:hAnsi="Times New Roman" w:cs="Times New Roman"/>
                <w:color w:val="auto"/>
              </w:rPr>
            </w:pPr>
            <w:r w:rsidRPr="00ED1788">
              <w:rPr>
                <w:rFonts w:ascii="Times New Roman" w:hAnsi="Times New Roman" w:cs="Times New Roman"/>
                <w:color w:val="auto"/>
              </w:rPr>
              <w:t>Non-</w:t>
            </w:r>
            <w:r w:rsidR="00DE7674" w:rsidRPr="00ED1788">
              <w:rPr>
                <w:rFonts w:ascii="Times New Roman" w:hAnsi="Times New Roman" w:cs="Times New Roman"/>
                <w:color w:val="auto"/>
              </w:rPr>
              <w:t xml:space="preserve"> RD</w:t>
            </w:r>
          </w:p>
        </w:tc>
      </w:tr>
      <w:tr w:rsidR="00ED1788" w:rsidRPr="00ED1788" w14:paraId="56ADDEFA" w14:textId="77777777" w:rsidTr="008F60A7">
        <w:tc>
          <w:tcPr>
            <w:tcW w:w="0" w:type="auto"/>
            <w:tcBorders>
              <w:top w:val="single" w:sz="4" w:space="0" w:color="auto"/>
            </w:tcBorders>
          </w:tcPr>
          <w:p w14:paraId="49216EE0"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CTOPP Awareness</w:t>
            </w:r>
          </w:p>
        </w:tc>
        <w:tc>
          <w:tcPr>
            <w:tcW w:w="0" w:type="auto"/>
            <w:tcBorders>
              <w:top w:val="single" w:sz="4" w:space="0" w:color="auto"/>
            </w:tcBorders>
          </w:tcPr>
          <w:p w14:paraId="22A75DD8"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80.0 (14.2)</w:t>
            </w:r>
          </w:p>
        </w:tc>
        <w:tc>
          <w:tcPr>
            <w:tcW w:w="0" w:type="auto"/>
            <w:tcBorders>
              <w:top w:val="single" w:sz="4" w:space="0" w:color="auto"/>
            </w:tcBorders>
          </w:tcPr>
          <w:p w14:paraId="09C7F27A"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88.0 (13.2)</w:t>
            </w:r>
          </w:p>
        </w:tc>
      </w:tr>
      <w:tr w:rsidR="00ED1788" w:rsidRPr="00ED1788" w14:paraId="40156FAB" w14:textId="77777777" w:rsidTr="008F60A7">
        <w:tc>
          <w:tcPr>
            <w:tcW w:w="0" w:type="auto"/>
          </w:tcPr>
          <w:p w14:paraId="6750008C"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CTOPP Memory</w:t>
            </w:r>
          </w:p>
        </w:tc>
        <w:tc>
          <w:tcPr>
            <w:tcW w:w="0" w:type="auto"/>
          </w:tcPr>
          <w:p w14:paraId="0331F200"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85.0 (13.6)</w:t>
            </w:r>
          </w:p>
        </w:tc>
        <w:tc>
          <w:tcPr>
            <w:tcW w:w="0" w:type="auto"/>
          </w:tcPr>
          <w:p w14:paraId="2E1D9622"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93.0 (15.0)</w:t>
            </w:r>
          </w:p>
        </w:tc>
      </w:tr>
      <w:tr w:rsidR="00ED1788" w:rsidRPr="00ED1788" w14:paraId="0EB6E85F" w14:textId="77777777" w:rsidTr="008F60A7">
        <w:tc>
          <w:tcPr>
            <w:tcW w:w="0" w:type="auto"/>
          </w:tcPr>
          <w:p w14:paraId="1169D162"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GORT Accuracy</w:t>
            </w:r>
          </w:p>
        </w:tc>
        <w:tc>
          <w:tcPr>
            <w:tcW w:w="0" w:type="auto"/>
          </w:tcPr>
          <w:p w14:paraId="23926369"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5.3 (2.1)</w:t>
            </w:r>
          </w:p>
        </w:tc>
        <w:tc>
          <w:tcPr>
            <w:tcW w:w="0" w:type="auto"/>
          </w:tcPr>
          <w:p w14:paraId="41FC7F92"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8.4 (2.6)</w:t>
            </w:r>
          </w:p>
        </w:tc>
      </w:tr>
      <w:tr w:rsidR="00ED1788" w:rsidRPr="00ED1788" w14:paraId="1B7AC20D" w14:textId="77777777" w:rsidTr="008F60A7">
        <w:tc>
          <w:tcPr>
            <w:tcW w:w="0" w:type="auto"/>
          </w:tcPr>
          <w:p w14:paraId="19FD404F"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KTEA Letter Word</w:t>
            </w:r>
          </w:p>
        </w:tc>
        <w:tc>
          <w:tcPr>
            <w:tcW w:w="0" w:type="auto"/>
          </w:tcPr>
          <w:p w14:paraId="2398C83B"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81.0 (11.4)</w:t>
            </w:r>
          </w:p>
        </w:tc>
        <w:tc>
          <w:tcPr>
            <w:tcW w:w="0" w:type="auto"/>
          </w:tcPr>
          <w:p w14:paraId="37463562"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100.0 (12.3)</w:t>
            </w:r>
          </w:p>
        </w:tc>
      </w:tr>
      <w:tr w:rsidR="00ED1788" w:rsidRPr="00ED1788" w14:paraId="2F48D2A0" w14:textId="77777777" w:rsidTr="008F60A7">
        <w:tc>
          <w:tcPr>
            <w:tcW w:w="0" w:type="auto"/>
          </w:tcPr>
          <w:p w14:paraId="4F733135"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GORT Oral Reading</w:t>
            </w:r>
          </w:p>
        </w:tc>
        <w:tc>
          <w:tcPr>
            <w:tcW w:w="0" w:type="auto"/>
          </w:tcPr>
          <w:p w14:paraId="113398D8"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69.0 (20.1)</w:t>
            </w:r>
          </w:p>
        </w:tc>
        <w:tc>
          <w:tcPr>
            <w:tcW w:w="0" w:type="auto"/>
          </w:tcPr>
          <w:p w14:paraId="037B611A"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81.0 (25.0)</w:t>
            </w:r>
          </w:p>
        </w:tc>
      </w:tr>
      <w:tr w:rsidR="00ED1788" w:rsidRPr="00ED1788" w14:paraId="38B7E422" w14:textId="77777777" w:rsidTr="008F60A7">
        <w:tc>
          <w:tcPr>
            <w:tcW w:w="0" w:type="auto"/>
            <w:tcBorders>
              <w:bottom w:val="single" w:sz="4" w:space="0" w:color="auto"/>
            </w:tcBorders>
          </w:tcPr>
          <w:p w14:paraId="17C51619"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KTEA Reading Composite</w:t>
            </w:r>
          </w:p>
        </w:tc>
        <w:tc>
          <w:tcPr>
            <w:tcW w:w="0" w:type="auto"/>
            <w:tcBorders>
              <w:bottom w:val="single" w:sz="4" w:space="0" w:color="auto"/>
            </w:tcBorders>
          </w:tcPr>
          <w:p w14:paraId="7EED8BFA"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79.4 (10.0)</w:t>
            </w:r>
          </w:p>
        </w:tc>
        <w:tc>
          <w:tcPr>
            <w:tcW w:w="0" w:type="auto"/>
            <w:tcBorders>
              <w:bottom w:val="single" w:sz="4" w:space="0" w:color="auto"/>
            </w:tcBorders>
          </w:tcPr>
          <w:p w14:paraId="7A200049" w14:textId="77777777" w:rsidR="00DE7674" w:rsidRPr="00ED1788" w:rsidRDefault="00DE7674" w:rsidP="008F60A7">
            <w:pPr>
              <w:rPr>
                <w:rFonts w:ascii="Times New Roman" w:hAnsi="Times New Roman" w:cs="Times New Roman"/>
                <w:color w:val="auto"/>
              </w:rPr>
            </w:pPr>
            <w:r w:rsidRPr="00ED1788">
              <w:rPr>
                <w:rFonts w:ascii="Times New Roman" w:hAnsi="Times New Roman" w:cs="Times New Roman"/>
                <w:color w:val="auto"/>
              </w:rPr>
              <w:t>98.2 (12.5)</w:t>
            </w:r>
          </w:p>
        </w:tc>
      </w:tr>
    </w:tbl>
    <w:p w14:paraId="01B7D0AF" w14:textId="03CD855F" w:rsidR="00DE7674" w:rsidRPr="00ED1788" w:rsidRDefault="00DE7674" w:rsidP="00DE7674">
      <w:pPr>
        <w:rPr>
          <w:rFonts w:ascii="Times New Roman" w:eastAsia="Times New Roman" w:hAnsi="Times New Roman" w:cs="Times New Roman"/>
          <w:color w:val="auto"/>
          <w:sz w:val="24"/>
          <w:szCs w:val="24"/>
        </w:rPr>
      </w:pPr>
      <w:r w:rsidRPr="00ED1788">
        <w:rPr>
          <w:rFonts w:ascii="Times New Roman" w:eastAsia="Times New Roman" w:hAnsi="Times New Roman" w:cs="Times New Roman"/>
          <w:color w:val="auto"/>
          <w:sz w:val="24"/>
          <w:szCs w:val="24"/>
        </w:rPr>
        <w:t>Note: Scores reflect performance on the edition of the measure current at time of assessment.</w:t>
      </w:r>
    </w:p>
    <w:p w14:paraId="3BFC7605" w14:textId="1222B7B9" w:rsidR="003C0962" w:rsidRPr="00630ECB" w:rsidRDefault="00DE7674" w:rsidP="00DE7674">
      <w:pPr>
        <w:rPr>
          <w:rFonts w:ascii="Times New Roman" w:eastAsia="Times New Roman" w:hAnsi="Times New Roman" w:cs="Times New Roman"/>
          <w:color w:val="FF0000"/>
          <w:sz w:val="24"/>
          <w:szCs w:val="24"/>
        </w:rPr>
      </w:pPr>
      <w:r w:rsidRPr="00630ECB">
        <w:rPr>
          <w:rFonts w:ascii="Times New Roman" w:eastAsia="Times New Roman" w:hAnsi="Times New Roman" w:cs="Times New Roman"/>
          <w:color w:val="FF0000"/>
          <w:sz w:val="24"/>
          <w:szCs w:val="24"/>
        </w:rPr>
        <w:br w:type="page"/>
      </w:r>
      <w:bookmarkStart w:id="0" w:name="_GoBack"/>
      <w:bookmarkEnd w:id="0"/>
    </w:p>
    <w:p w14:paraId="2BE73CC6" w14:textId="77777777" w:rsidR="000437DA" w:rsidRDefault="000437DA" w:rsidP="000437DA">
      <w:pPr>
        <w:autoSpaceDE w:val="0"/>
        <w:autoSpaceDN w:val="0"/>
        <w:adjustRightInd w:val="0"/>
        <w:spacing w:after="0" w:line="240" w:lineRule="auto"/>
        <w:rPr>
          <w:rFonts w:ascii="Times New Roman" w:eastAsiaTheme="minorHAnsi" w:hAnsi="Times New Roman" w:cs="Times New Roman"/>
          <w:color w:val="auto"/>
          <w:sz w:val="24"/>
          <w:szCs w:val="24"/>
        </w:rPr>
      </w:pPr>
      <w:r w:rsidRPr="00BD62DB">
        <w:rPr>
          <w:rFonts w:ascii="Times New Roman" w:hAnsi="Times New Roman" w:cs="Times New Roman"/>
          <w:noProof/>
          <w:sz w:val="24"/>
          <w:szCs w:val="24"/>
          <w:lang w:val="en-GB" w:eastAsia="en-GB"/>
        </w:rPr>
        <w:lastRenderedPageBreak/>
        <w:drawing>
          <wp:inline distT="0" distB="0" distL="0" distR="0" wp14:anchorId="311FE289" wp14:editId="2F42619C">
            <wp:extent cx="5943600" cy="388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 cstate="print"/>
                    <a:srcRect b="18237"/>
                    <a:stretch/>
                  </pic:blipFill>
                  <pic:spPr bwMode="auto">
                    <a:xfrm>
                      <a:off x="0" y="0"/>
                      <a:ext cx="5943600" cy="3886200"/>
                    </a:xfrm>
                    <a:prstGeom prst="rect">
                      <a:avLst/>
                    </a:prstGeom>
                    <a:noFill/>
                    <a:ln>
                      <a:noFill/>
                    </a:ln>
                    <a:extLst>
                      <a:ext uri="{53640926-AAD7-44D8-BBD7-CCE9431645EC}">
                        <a14:shadowObscured xmlns:a14="http://schemas.microsoft.com/office/drawing/2010/main"/>
                      </a:ext>
                    </a:extLst>
                  </pic:spPr>
                </pic:pic>
              </a:graphicData>
            </a:graphic>
          </wp:inline>
        </w:drawing>
      </w:r>
    </w:p>
    <w:p w14:paraId="61133033" w14:textId="77777777" w:rsidR="000437DA" w:rsidRDefault="000437DA" w:rsidP="000437DA">
      <w:pPr>
        <w:pStyle w:val="Normal1"/>
        <w:spacing w:after="0" w:line="240" w:lineRule="auto"/>
        <w:rPr>
          <w:rFonts w:ascii="Times New Roman" w:eastAsia="Times New Roman" w:hAnsi="Times New Roman" w:cs="Times New Roman"/>
          <w:b/>
          <w:sz w:val="24"/>
          <w:szCs w:val="24"/>
        </w:rPr>
      </w:pPr>
    </w:p>
    <w:p w14:paraId="382CFE2D" w14:textId="2F2E989A" w:rsidR="000437DA" w:rsidRDefault="003C0962" w:rsidP="000437DA">
      <w:pPr>
        <w:pStyle w:val="Normal1"/>
        <w:spacing w:line="480" w:lineRule="auto"/>
        <w:rPr>
          <w:rFonts w:ascii="Times New Roman" w:eastAsia="Times New Roman" w:hAnsi="Times New Roman" w:cs="Times New Roman"/>
          <w:sz w:val="24"/>
        </w:rPr>
      </w:pPr>
      <w:r w:rsidRPr="003C1FAC">
        <w:rPr>
          <w:rFonts w:ascii="Times New Roman" w:eastAsia="Times New Roman" w:hAnsi="Times New Roman" w:cs="Times New Roman"/>
          <w:i/>
        </w:rPr>
        <w:t>Figure S1.</w:t>
      </w:r>
      <w:r>
        <w:rPr>
          <w:rFonts w:ascii="Times New Roman" w:eastAsia="Times New Roman" w:hAnsi="Times New Roman" w:cs="Times New Roman"/>
        </w:rPr>
        <w:t xml:space="preserve"> </w:t>
      </w:r>
      <w:r w:rsidR="000437DA" w:rsidRPr="003C1FAC">
        <w:rPr>
          <w:rFonts w:ascii="Times New Roman" w:eastAsia="Times New Roman" w:hAnsi="Times New Roman" w:cs="Times New Roman"/>
          <w:sz w:val="24"/>
          <w:szCs w:val="24"/>
        </w:rPr>
        <w:t>Percentage of families reporting language spoken at home within each home language environment. Among ED families, 45% spoke only English, 39% spoke mostly English, some Spanish, 11% identified as speaking equal parts English and Spanish (bilingual) and 5% endorsed, “other.” Seventy-one percent of LM families spoke mostly Spanish, some English, 20% spoke Spanish only, and 9% were bilingual.</w:t>
      </w:r>
    </w:p>
    <w:p w14:paraId="452B3A4C" w14:textId="77777777" w:rsidR="000437DA" w:rsidRDefault="000437DA" w:rsidP="000437DA">
      <w:pPr>
        <w:pStyle w:val="Normal1"/>
        <w:spacing w:after="0" w:line="480" w:lineRule="auto"/>
        <w:rPr>
          <w:rFonts w:ascii="Times New Roman" w:eastAsia="Times New Roman" w:hAnsi="Times New Roman" w:cs="Times New Roman"/>
          <w:sz w:val="24"/>
          <w:szCs w:val="24"/>
        </w:rPr>
      </w:pPr>
    </w:p>
    <w:p w14:paraId="246A5642" w14:textId="77777777" w:rsidR="003C0962" w:rsidRDefault="003C0962" w:rsidP="0007404B">
      <w:pPr>
        <w:pStyle w:val="Normal1"/>
        <w:spacing w:after="0" w:line="480" w:lineRule="auto"/>
        <w:rPr>
          <w:rFonts w:ascii="Times New Roman" w:eastAsia="Times New Roman" w:hAnsi="Times New Roman" w:cs="Times New Roman"/>
          <w:sz w:val="24"/>
          <w:szCs w:val="24"/>
        </w:rPr>
      </w:pPr>
    </w:p>
    <w:p w14:paraId="1E7BD814" w14:textId="77777777" w:rsidR="003C0962" w:rsidRDefault="003C0962" w:rsidP="0007404B">
      <w:pPr>
        <w:pStyle w:val="Normal1"/>
        <w:spacing w:after="0" w:line="480" w:lineRule="auto"/>
        <w:rPr>
          <w:rFonts w:ascii="Times New Roman" w:eastAsia="Times New Roman" w:hAnsi="Times New Roman" w:cs="Times New Roman"/>
          <w:sz w:val="24"/>
          <w:szCs w:val="24"/>
        </w:rPr>
      </w:pPr>
    </w:p>
    <w:p w14:paraId="101D304A" w14:textId="77777777" w:rsidR="003C0962" w:rsidRDefault="003C0962" w:rsidP="0007404B">
      <w:pPr>
        <w:pStyle w:val="Normal1"/>
        <w:spacing w:after="0" w:line="480" w:lineRule="auto"/>
        <w:rPr>
          <w:rFonts w:ascii="Times New Roman" w:eastAsia="Times New Roman" w:hAnsi="Times New Roman" w:cs="Times New Roman"/>
          <w:sz w:val="24"/>
          <w:szCs w:val="24"/>
        </w:rPr>
      </w:pPr>
    </w:p>
    <w:p w14:paraId="6965DC0D" w14:textId="77777777" w:rsidR="0007404B" w:rsidRDefault="0007404B" w:rsidP="0007404B">
      <w:pPr>
        <w:autoSpaceDE w:val="0"/>
        <w:autoSpaceDN w:val="0"/>
        <w:adjustRightInd w:val="0"/>
        <w:spacing w:after="0" w:line="240" w:lineRule="auto"/>
        <w:rPr>
          <w:rFonts w:ascii="Times New Roman" w:eastAsiaTheme="minorHAnsi" w:hAnsi="Times New Roman" w:cs="Times New Roman"/>
          <w:color w:val="auto"/>
          <w:sz w:val="24"/>
          <w:szCs w:val="24"/>
        </w:rPr>
      </w:pPr>
      <w:r>
        <w:rPr>
          <w:rFonts w:ascii="Times New Roman" w:eastAsiaTheme="minorHAnsi" w:hAnsi="Times New Roman" w:cs="Times New Roman"/>
          <w:noProof/>
          <w:color w:val="auto"/>
          <w:sz w:val="24"/>
          <w:szCs w:val="24"/>
          <w:lang w:val="en-GB" w:eastAsia="en-GB"/>
        </w:rPr>
        <w:lastRenderedPageBreak/>
        <w:drawing>
          <wp:inline distT="0" distB="0" distL="0" distR="0" wp14:anchorId="0EC98013" wp14:editId="6342FEF7">
            <wp:extent cx="5943600" cy="4752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752975"/>
                    </a:xfrm>
                    <a:prstGeom prst="rect">
                      <a:avLst/>
                    </a:prstGeom>
                    <a:noFill/>
                    <a:ln w="9525">
                      <a:noFill/>
                      <a:miter lim="800000"/>
                      <a:headEnd/>
                      <a:tailEnd/>
                    </a:ln>
                  </pic:spPr>
                </pic:pic>
              </a:graphicData>
            </a:graphic>
          </wp:inline>
        </w:drawing>
      </w:r>
    </w:p>
    <w:p w14:paraId="03B7C78D" w14:textId="77777777" w:rsidR="0007404B" w:rsidRPr="00AA3B01" w:rsidRDefault="0007404B" w:rsidP="0007404B">
      <w:pPr>
        <w:spacing w:after="0" w:line="240" w:lineRule="auto"/>
        <w:rPr>
          <w:rFonts w:ascii="Times New Roman" w:eastAsia="Times New Roman" w:hAnsi="Times New Roman" w:cs="Times New Roman"/>
          <w:b/>
          <w:color w:val="222222"/>
          <w:sz w:val="24"/>
          <w:szCs w:val="24"/>
          <w:highlight w:val="white"/>
        </w:rPr>
      </w:pPr>
    </w:p>
    <w:p w14:paraId="3C6F241F" w14:textId="24D1D083" w:rsidR="0007404B" w:rsidRPr="00AA3B01" w:rsidRDefault="003C0962" w:rsidP="0007404B">
      <w:pPr>
        <w:outlineLvl w:val="0"/>
        <w:rPr>
          <w:rFonts w:ascii="Times New Roman" w:hAnsi="Times New Roman" w:cs="Times New Roman"/>
          <w:color w:val="auto"/>
        </w:rPr>
      </w:pPr>
      <w:r w:rsidRPr="00693849">
        <w:rPr>
          <w:rFonts w:ascii="Times New Roman" w:hAnsi="Times New Roman" w:cs="Times New Roman"/>
          <w:i/>
          <w:color w:val="auto"/>
          <w:sz w:val="24"/>
        </w:rPr>
        <w:t>Figure S2.</w:t>
      </w:r>
      <w:r>
        <w:rPr>
          <w:rFonts w:ascii="Times New Roman" w:hAnsi="Times New Roman" w:cs="Times New Roman"/>
          <w:color w:val="auto"/>
          <w:sz w:val="24"/>
        </w:rPr>
        <w:t xml:space="preserve"> Frequency</w:t>
      </w:r>
      <w:r w:rsidR="0007404B" w:rsidRPr="00AA3B01">
        <w:rPr>
          <w:rFonts w:ascii="Times New Roman" w:hAnsi="Times New Roman" w:cs="Times New Roman"/>
          <w:color w:val="auto"/>
          <w:sz w:val="24"/>
        </w:rPr>
        <w:t xml:space="preserve"> of </w:t>
      </w:r>
      <w:r w:rsidR="0007404B" w:rsidRPr="00AA3B01">
        <w:rPr>
          <w:rFonts w:ascii="Times New Roman" w:hAnsi="Times New Roman" w:cs="Times New Roman"/>
          <w:color w:val="auto"/>
        </w:rPr>
        <w:t>comorbid diagnoses</w:t>
      </w:r>
      <w:r>
        <w:rPr>
          <w:rFonts w:ascii="Times New Roman" w:hAnsi="Times New Roman" w:cs="Times New Roman"/>
          <w:color w:val="auto"/>
        </w:rPr>
        <w:t xml:space="preserve"> in the sample</w:t>
      </w:r>
      <w:r w:rsidR="0007404B" w:rsidRPr="00AA3B01">
        <w:rPr>
          <w:rFonts w:ascii="Times New Roman" w:hAnsi="Times New Roman" w:cs="Times New Roman"/>
          <w:color w:val="auto"/>
        </w:rPr>
        <w:t>.</w:t>
      </w:r>
    </w:p>
    <w:p w14:paraId="505E88ED" w14:textId="77777777" w:rsidR="00D1092D" w:rsidRPr="00A7361C" w:rsidRDefault="00D1092D" w:rsidP="00A7361C">
      <w:pPr>
        <w:pStyle w:val="Normal1"/>
        <w:spacing w:after="0" w:line="480" w:lineRule="auto"/>
        <w:ind w:firstLine="720"/>
        <w:rPr>
          <w:rFonts w:ascii="Times New Roman" w:eastAsia="Times New Roman" w:hAnsi="Times New Roman" w:cs="Times New Roman"/>
          <w:sz w:val="24"/>
          <w:szCs w:val="24"/>
        </w:rPr>
      </w:pPr>
    </w:p>
    <w:sectPr w:rsidR="00D1092D" w:rsidRPr="00A73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3F"/>
    <w:rsid w:val="000360EB"/>
    <w:rsid w:val="000437DA"/>
    <w:rsid w:val="0007404B"/>
    <w:rsid w:val="000A4D23"/>
    <w:rsid w:val="000B6781"/>
    <w:rsid w:val="000C6D19"/>
    <w:rsid w:val="000F175C"/>
    <w:rsid w:val="001167E5"/>
    <w:rsid w:val="00137DF7"/>
    <w:rsid w:val="001A584D"/>
    <w:rsid w:val="00263AFE"/>
    <w:rsid w:val="002829C3"/>
    <w:rsid w:val="002B7D23"/>
    <w:rsid w:val="002D5AD2"/>
    <w:rsid w:val="00310700"/>
    <w:rsid w:val="00327A79"/>
    <w:rsid w:val="00330A9A"/>
    <w:rsid w:val="00346B88"/>
    <w:rsid w:val="0035611E"/>
    <w:rsid w:val="00360335"/>
    <w:rsid w:val="003A2E3F"/>
    <w:rsid w:val="003C04C7"/>
    <w:rsid w:val="003C0962"/>
    <w:rsid w:val="003C1FAC"/>
    <w:rsid w:val="00420C87"/>
    <w:rsid w:val="004222F2"/>
    <w:rsid w:val="00492592"/>
    <w:rsid w:val="0056438F"/>
    <w:rsid w:val="005746E9"/>
    <w:rsid w:val="0057669A"/>
    <w:rsid w:val="005A3CDF"/>
    <w:rsid w:val="00630ECB"/>
    <w:rsid w:val="00693849"/>
    <w:rsid w:val="006A4E51"/>
    <w:rsid w:val="008506DB"/>
    <w:rsid w:val="008608D9"/>
    <w:rsid w:val="008B4DF9"/>
    <w:rsid w:val="00956C61"/>
    <w:rsid w:val="00962029"/>
    <w:rsid w:val="00A7361C"/>
    <w:rsid w:val="00AA1DB8"/>
    <w:rsid w:val="00B4351D"/>
    <w:rsid w:val="00B5356D"/>
    <w:rsid w:val="00B65E2F"/>
    <w:rsid w:val="00B91CC2"/>
    <w:rsid w:val="00BD185D"/>
    <w:rsid w:val="00BE50AB"/>
    <w:rsid w:val="00BF056C"/>
    <w:rsid w:val="00C13714"/>
    <w:rsid w:val="00C17FC4"/>
    <w:rsid w:val="00C82752"/>
    <w:rsid w:val="00CC1B15"/>
    <w:rsid w:val="00D1092D"/>
    <w:rsid w:val="00DB5FB7"/>
    <w:rsid w:val="00DD20AB"/>
    <w:rsid w:val="00DE7674"/>
    <w:rsid w:val="00E73F97"/>
    <w:rsid w:val="00ED1788"/>
    <w:rsid w:val="00ED46DF"/>
    <w:rsid w:val="00ED547B"/>
    <w:rsid w:val="00F676FF"/>
    <w:rsid w:val="00F8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7DDE8"/>
  <w15:docId w15:val="{F1087E30-00AD-4E81-8223-6091EEBE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4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829C3"/>
    <w:rPr>
      <w:rFonts w:ascii="Calibri" w:eastAsia="Calibri" w:hAnsi="Calibri" w:cs="Calibri"/>
      <w:color w:val="000000"/>
    </w:rPr>
  </w:style>
  <w:style w:type="paragraph" w:styleId="BalloonText">
    <w:name w:val="Balloon Text"/>
    <w:basedOn w:val="Normal"/>
    <w:link w:val="BalloonTextChar"/>
    <w:uiPriority w:val="99"/>
    <w:semiHidden/>
    <w:unhideWhenUsed/>
    <w:rsid w:val="00A7361C"/>
    <w:pPr>
      <w:spacing w:after="0"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A7361C"/>
    <w:rPr>
      <w:rFonts w:ascii="Tahoma" w:hAnsi="Tahoma" w:cs="Tahoma"/>
      <w:sz w:val="16"/>
      <w:szCs w:val="16"/>
    </w:rPr>
  </w:style>
  <w:style w:type="character" w:styleId="CommentReference">
    <w:name w:val="annotation reference"/>
    <w:basedOn w:val="DefaultParagraphFont"/>
    <w:uiPriority w:val="99"/>
    <w:semiHidden/>
    <w:unhideWhenUsed/>
    <w:rsid w:val="001A584D"/>
    <w:rPr>
      <w:sz w:val="16"/>
      <w:szCs w:val="16"/>
    </w:rPr>
  </w:style>
  <w:style w:type="paragraph" w:styleId="CommentText">
    <w:name w:val="annotation text"/>
    <w:basedOn w:val="Normal"/>
    <w:link w:val="CommentTextChar"/>
    <w:uiPriority w:val="99"/>
    <w:semiHidden/>
    <w:unhideWhenUsed/>
    <w:rsid w:val="001A584D"/>
    <w:pP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1A584D"/>
    <w:rPr>
      <w:sz w:val="20"/>
      <w:szCs w:val="20"/>
    </w:rPr>
  </w:style>
  <w:style w:type="paragraph" w:styleId="CommentSubject">
    <w:name w:val="annotation subject"/>
    <w:basedOn w:val="CommentText"/>
    <w:next w:val="CommentText"/>
    <w:link w:val="CommentSubjectChar"/>
    <w:uiPriority w:val="99"/>
    <w:semiHidden/>
    <w:unhideWhenUsed/>
    <w:rsid w:val="001A584D"/>
    <w:rPr>
      <w:b/>
      <w:bCs/>
    </w:rPr>
  </w:style>
  <w:style w:type="character" w:customStyle="1" w:styleId="CommentSubjectChar">
    <w:name w:val="Comment Subject Char"/>
    <w:basedOn w:val="CommentTextChar"/>
    <w:link w:val="CommentSubject"/>
    <w:uiPriority w:val="99"/>
    <w:semiHidden/>
    <w:rsid w:val="001A584D"/>
    <w:rPr>
      <w:b/>
      <w:bCs/>
      <w:sz w:val="20"/>
      <w:szCs w:val="20"/>
    </w:rPr>
  </w:style>
  <w:style w:type="table" w:styleId="TableGrid">
    <w:name w:val="Table Grid"/>
    <w:basedOn w:val="TableNormal"/>
    <w:uiPriority w:val="39"/>
    <w:rsid w:val="00DE76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010">
      <w:bodyDiv w:val="1"/>
      <w:marLeft w:val="0"/>
      <w:marRight w:val="0"/>
      <w:marTop w:val="0"/>
      <w:marBottom w:val="0"/>
      <w:divBdr>
        <w:top w:val="none" w:sz="0" w:space="0" w:color="auto"/>
        <w:left w:val="none" w:sz="0" w:space="0" w:color="auto"/>
        <w:bottom w:val="none" w:sz="0" w:space="0" w:color="auto"/>
        <w:right w:val="none" w:sz="0" w:space="0" w:color="auto"/>
      </w:divBdr>
    </w:div>
    <w:div w:id="20925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NewYork-Presbyterian Hospital</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Miles Lambert</cp:lastModifiedBy>
  <cp:revision>2</cp:revision>
  <dcterms:created xsi:type="dcterms:W3CDTF">2019-08-05T11:12:00Z</dcterms:created>
  <dcterms:modified xsi:type="dcterms:W3CDTF">2019-08-05T11:12:00Z</dcterms:modified>
</cp:coreProperties>
</file>