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8D" w:rsidRPr="004A2FC2" w:rsidRDefault="001E4D8D">
      <w:pPr>
        <w:rPr>
          <w:rFonts w:ascii="Times New Roman" w:hAnsi="Times New Roman" w:cs="Times New Roman"/>
          <w:b/>
          <w:sz w:val="28"/>
          <w:szCs w:val="24"/>
          <w:lang w:val="en-US"/>
        </w:rPr>
      </w:pPr>
      <w:r w:rsidRPr="004A2FC2">
        <w:rPr>
          <w:rFonts w:ascii="Times New Roman" w:hAnsi="Times New Roman" w:cs="Times New Roman"/>
          <w:b/>
          <w:sz w:val="28"/>
          <w:szCs w:val="24"/>
          <w:lang w:val="en-US"/>
        </w:rPr>
        <w:t>Socio-cognitive engagement (but not socioeconomic status) predicts preschool children’s language and pragmatic abilities</w:t>
      </w:r>
    </w:p>
    <w:p w:rsidR="001E4D8D" w:rsidRPr="004A2FC2" w:rsidRDefault="001E4D8D">
      <w:pPr>
        <w:rPr>
          <w:rFonts w:ascii="Times New Roman" w:hAnsi="Times New Roman" w:cs="Times New Roman"/>
          <w:b/>
          <w:sz w:val="24"/>
          <w:szCs w:val="24"/>
          <w:lang w:val="en-US"/>
        </w:rPr>
      </w:pPr>
      <w:r w:rsidRPr="004A2FC2">
        <w:rPr>
          <w:rFonts w:ascii="Times New Roman" w:hAnsi="Times New Roman" w:cs="Times New Roman"/>
          <w:b/>
          <w:sz w:val="24"/>
          <w:szCs w:val="24"/>
          <w:lang w:val="en-US"/>
        </w:rPr>
        <w:t>Supplementary materials</w:t>
      </w:r>
    </w:p>
    <w:p w:rsidR="001E4D8D" w:rsidRPr="004A2FC2" w:rsidRDefault="001E4D8D">
      <w:pPr>
        <w:rPr>
          <w:rFonts w:ascii="Times New Roman" w:hAnsi="Times New Roman" w:cs="Times New Roman"/>
          <w:b/>
          <w:lang w:val="en-US"/>
        </w:rPr>
      </w:pPr>
      <w:r w:rsidRPr="004A2FC2">
        <w:rPr>
          <w:rFonts w:ascii="Times New Roman" w:hAnsi="Times New Roman" w:cs="Times New Roman"/>
          <w:b/>
          <w:sz w:val="24"/>
          <w:szCs w:val="24"/>
          <w:lang w:val="en-US"/>
        </w:rPr>
        <w:t xml:space="preserve">Cornelia Schulze &amp; Henrik </w:t>
      </w:r>
      <w:proofErr w:type="spellStart"/>
      <w:r w:rsidRPr="004A2FC2">
        <w:rPr>
          <w:rFonts w:ascii="Times New Roman" w:hAnsi="Times New Roman" w:cs="Times New Roman"/>
          <w:b/>
          <w:sz w:val="24"/>
          <w:szCs w:val="24"/>
          <w:lang w:val="en-US"/>
        </w:rPr>
        <w:t>Saalbach</w:t>
      </w:r>
      <w:proofErr w:type="spellEnd"/>
    </w:p>
    <w:p w:rsidR="001E4D8D" w:rsidRPr="004A2FC2" w:rsidRDefault="001E4D8D">
      <w:pPr>
        <w:rPr>
          <w:rFonts w:ascii="Times New Roman" w:hAnsi="Times New Roman" w:cs="Times New Roman"/>
          <w:lang w:val="en-US"/>
        </w:rPr>
      </w:pPr>
    </w:p>
    <w:p w:rsidR="001E4D8D" w:rsidRPr="004A2FC2" w:rsidRDefault="001E4D8D" w:rsidP="001E4D8D">
      <w:pPr>
        <w:spacing w:line="480" w:lineRule="auto"/>
        <w:rPr>
          <w:rFonts w:ascii="Times New Roman" w:hAnsi="Times New Roman" w:cs="Times New Roman"/>
          <w:sz w:val="24"/>
          <w:lang w:val="en-US"/>
        </w:rPr>
      </w:pPr>
      <w:r w:rsidRPr="004A2FC2">
        <w:rPr>
          <w:rFonts w:ascii="Times New Roman" w:hAnsi="Times New Roman" w:cs="Times New Roman"/>
          <w:sz w:val="24"/>
          <w:lang w:val="en-US"/>
        </w:rPr>
        <w:t>Table</w:t>
      </w:r>
      <w:r w:rsidR="004A2FC2" w:rsidRPr="004A2FC2">
        <w:rPr>
          <w:rFonts w:ascii="Times New Roman" w:hAnsi="Times New Roman" w:cs="Times New Roman"/>
          <w:sz w:val="24"/>
          <w:lang w:val="en-US"/>
        </w:rPr>
        <w:t xml:space="preserve"> S1</w:t>
      </w:r>
      <w:r w:rsidRPr="004A2FC2">
        <w:rPr>
          <w:rFonts w:ascii="Times New Roman" w:hAnsi="Times New Roman" w:cs="Times New Roman"/>
          <w:sz w:val="24"/>
          <w:lang w:val="en-US"/>
        </w:rPr>
        <w:t xml:space="preserve"> provides an overview of the families’ composition, that is, how</w:t>
      </w:r>
      <w:r w:rsidR="00255782">
        <w:rPr>
          <w:rFonts w:ascii="Times New Roman" w:hAnsi="Times New Roman" w:cs="Times New Roman"/>
          <w:sz w:val="24"/>
          <w:lang w:val="en-US"/>
        </w:rPr>
        <w:t xml:space="preserve"> many</w:t>
      </w:r>
      <w:bookmarkStart w:id="0" w:name="_GoBack"/>
      <w:bookmarkEnd w:id="0"/>
      <w:r w:rsidRPr="004A2FC2">
        <w:rPr>
          <w:rFonts w:ascii="Times New Roman" w:hAnsi="Times New Roman" w:cs="Times New Roman"/>
          <w:sz w:val="24"/>
          <w:lang w:val="en-US"/>
        </w:rPr>
        <w:t xml:space="preserve"> persons lived in the child’s household (and the number of cases per age group) as well as how many of these persons were adults (that is, parents, grandparents, older siblings, other persons). For instance, in 4-year-olds, there were 3 families with two persons in the household, one of them being an adult. </w:t>
      </w:r>
    </w:p>
    <w:p w:rsidR="004A2FC2" w:rsidRPr="004A2FC2" w:rsidRDefault="004A2FC2">
      <w:pPr>
        <w:rPr>
          <w:rFonts w:ascii="Times New Roman" w:hAnsi="Times New Roman" w:cs="Times New Roman"/>
          <w:b/>
          <w:sz w:val="24"/>
          <w:szCs w:val="24"/>
          <w:lang w:val="en-US"/>
        </w:rPr>
      </w:pPr>
      <w:r w:rsidRPr="004A2FC2">
        <w:rPr>
          <w:rFonts w:ascii="Times New Roman" w:hAnsi="Times New Roman" w:cs="Times New Roman"/>
          <w:b/>
          <w:sz w:val="24"/>
          <w:szCs w:val="24"/>
          <w:lang w:val="en-US"/>
        </w:rPr>
        <w:t>Table S1</w:t>
      </w:r>
    </w:p>
    <w:p w:rsidR="00F968AE" w:rsidRPr="004A2FC2" w:rsidRDefault="0037120D">
      <w:pPr>
        <w:rPr>
          <w:rFonts w:ascii="Times New Roman" w:hAnsi="Times New Roman" w:cs="Times New Roman"/>
          <w:sz w:val="24"/>
          <w:szCs w:val="24"/>
          <w:lang w:val="en-US"/>
        </w:rPr>
      </w:pPr>
      <w:r w:rsidRPr="004A2FC2">
        <w:rPr>
          <w:rFonts w:ascii="Times New Roman" w:hAnsi="Times New Roman" w:cs="Times New Roman"/>
          <w:sz w:val="24"/>
          <w:szCs w:val="24"/>
          <w:lang w:val="en-US"/>
        </w:rPr>
        <w:t>Family composition</w:t>
      </w:r>
      <w:r w:rsidR="001E4D8D" w:rsidRPr="004A2FC2">
        <w:rPr>
          <w:rFonts w:ascii="Times New Roman" w:hAnsi="Times New Roman" w:cs="Times New Roman"/>
          <w:sz w:val="24"/>
          <w:szCs w:val="24"/>
          <w:lang w:val="en-US"/>
        </w:rPr>
        <w:t xml:space="preserve"> per age group</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1587"/>
        <w:gridCol w:w="1587"/>
      </w:tblGrid>
      <w:tr w:rsidR="001E4D8D" w:rsidRPr="004A2FC2" w:rsidTr="004A2FC2">
        <w:trPr>
          <w:trHeight w:val="567"/>
        </w:trPr>
        <w:tc>
          <w:tcPr>
            <w:tcW w:w="1134" w:type="dxa"/>
            <w:tcBorders>
              <w:top w:val="single" w:sz="12"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Age group</w:t>
            </w:r>
          </w:p>
        </w:tc>
        <w:tc>
          <w:tcPr>
            <w:tcW w:w="1587" w:type="dxa"/>
            <w:tcBorders>
              <w:top w:val="single" w:sz="12"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Persons in the household</w:t>
            </w:r>
          </w:p>
        </w:tc>
        <w:tc>
          <w:tcPr>
            <w:tcW w:w="1587" w:type="dxa"/>
            <w:tcBorders>
              <w:top w:val="single" w:sz="12"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Adults in the household</w:t>
            </w:r>
          </w:p>
        </w:tc>
      </w:tr>
      <w:tr w:rsidR="00A23F0D" w:rsidRPr="004A2FC2" w:rsidTr="004A2FC2">
        <w:trPr>
          <w:trHeight w:val="567"/>
        </w:trPr>
        <w:tc>
          <w:tcPr>
            <w:tcW w:w="1134" w:type="dxa"/>
            <w:vMerge w:val="restart"/>
            <w:tcBorders>
              <w:top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4</w:t>
            </w:r>
          </w:p>
        </w:tc>
        <w:tc>
          <w:tcPr>
            <w:tcW w:w="1587" w:type="dxa"/>
            <w:tcBorders>
              <w:top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3)</w:t>
            </w:r>
          </w:p>
        </w:tc>
        <w:tc>
          <w:tcPr>
            <w:tcW w:w="1587" w:type="dxa"/>
            <w:tcBorders>
              <w:top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1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3)</w:t>
            </w:r>
          </w:p>
        </w:tc>
      </w:tr>
      <w:tr w:rsidR="00A23F0D" w:rsidRPr="004A2FC2" w:rsidTr="004A2FC2">
        <w:trPr>
          <w:trHeight w:val="567"/>
        </w:trPr>
        <w:tc>
          <w:tcPr>
            <w:tcW w:w="1134" w:type="dxa"/>
            <w:vMerge/>
            <w:vAlign w:val="center"/>
          </w:tcPr>
          <w:p w:rsidR="00A23F0D" w:rsidRPr="004A2FC2" w:rsidRDefault="00A23F0D" w:rsidP="004A2FC2">
            <w:pPr>
              <w:rPr>
                <w:rFonts w:ascii="Times New Roman" w:hAnsi="Times New Roman" w:cs="Times New Roman"/>
                <w:sz w:val="24"/>
                <w:szCs w:val="24"/>
                <w:lang w:val="en-US"/>
              </w:rPr>
            </w:pPr>
          </w:p>
        </w:tc>
        <w:tc>
          <w:tcPr>
            <w:tcW w:w="1587" w:type="dxa"/>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3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21)</w:t>
            </w:r>
          </w:p>
        </w:tc>
        <w:tc>
          <w:tcPr>
            <w:tcW w:w="1587" w:type="dxa"/>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21)</w:t>
            </w:r>
          </w:p>
        </w:tc>
      </w:tr>
      <w:tr w:rsidR="00A23F0D" w:rsidRPr="004A2FC2" w:rsidTr="004A2FC2">
        <w:trPr>
          <w:trHeight w:val="567"/>
        </w:trPr>
        <w:tc>
          <w:tcPr>
            <w:tcW w:w="1134" w:type="dxa"/>
            <w:vMerge/>
            <w:vAlign w:val="center"/>
          </w:tcPr>
          <w:p w:rsidR="00A23F0D" w:rsidRPr="004A2FC2" w:rsidRDefault="00A23F0D" w:rsidP="004A2FC2">
            <w:pPr>
              <w:rPr>
                <w:rFonts w:ascii="Times New Roman" w:hAnsi="Times New Roman" w:cs="Times New Roman"/>
                <w:sz w:val="24"/>
                <w:szCs w:val="24"/>
                <w:lang w:val="en-US"/>
              </w:rPr>
            </w:pPr>
          </w:p>
        </w:tc>
        <w:tc>
          <w:tcPr>
            <w:tcW w:w="1587" w:type="dxa"/>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4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20)</w:t>
            </w:r>
          </w:p>
        </w:tc>
        <w:tc>
          <w:tcPr>
            <w:tcW w:w="1587" w:type="dxa"/>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20)</w:t>
            </w:r>
          </w:p>
        </w:tc>
      </w:tr>
      <w:tr w:rsidR="00A23F0D" w:rsidRPr="004A2FC2" w:rsidTr="004A2FC2">
        <w:trPr>
          <w:trHeight w:val="567"/>
        </w:trPr>
        <w:tc>
          <w:tcPr>
            <w:tcW w:w="1134" w:type="dxa"/>
            <w:vMerge/>
            <w:vAlign w:val="center"/>
          </w:tcPr>
          <w:p w:rsidR="00A23F0D" w:rsidRPr="004A2FC2" w:rsidRDefault="00A23F0D" w:rsidP="004A2FC2">
            <w:pPr>
              <w:rPr>
                <w:rFonts w:ascii="Times New Roman" w:hAnsi="Times New Roman" w:cs="Times New Roman"/>
                <w:sz w:val="24"/>
                <w:szCs w:val="24"/>
                <w:lang w:val="en-US"/>
              </w:rPr>
            </w:pPr>
          </w:p>
        </w:tc>
        <w:tc>
          <w:tcPr>
            <w:tcW w:w="1587" w:type="dxa"/>
            <w:vMerge w:val="restart"/>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5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6)</w:t>
            </w:r>
          </w:p>
        </w:tc>
        <w:tc>
          <w:tcPr>
            <w:tcW w:w="1587" w:type="dxa"/>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5)</w:t>
            </w:r>
          </w:p>
        </w:tc>
      </w:tr>
      <w:tr w:rsidR="00A23F0D" w:rsidRPr="004A2FC2" w:rsidTr="004A2FC2">
        <w:trPr>
          <w:trHeight w:val="567"/>
        </w:trPr>
        <w:tc>
          <w:tcPr>
            <w:tcW w:w="1134" w:type="dxa"/>
            <w:vMerge/>
            <w:vAlign w:val="center"/>
          </w:tcPr>
          <w:p w:rsidR="00A23F0D" w:rsidRPr="004A2FC2" w:rsidRDefault="00A23F0D" w:rsidP="004A2FC2">
            <w:pPr>
              <w:rPr>
                <w:rFonts w:ascii="Times New Roman" w:hAnsi="Times New Roman" w:cs="Times New Roman"/>
                <w:sz w:val="24"/>
                <w:szCs w:val="24"/>
                <w:lang w:val="en-US"/>
              </w:rPr>
            </w:pPr>
          </w:p>
        </w:tc>
        <w:tc>
          <w:tcPr>
            <w:tcW w:w="1587" w:type="dxa"/>
            <w:vMerge/>
            <w:vAlign w:val="center"/>
          </w:tcPr>
          <w:p w:rsidR="00A23F0D" w:rsidRPr="004A2FC2" w:rsidRDefault="00A23F0D" w:rsidP="004A2FC2">
            <w:pPr>
              <w:rPr>
                <w:rFonts w:ascii="Times New Roman" w:hAnsi="Times New Roman" w:cs="Times New Roman"/>
                <w:sz w:val="24"/>
                <w:szCs w:val="24"/>
                <w:lang w:val="en-US"/>
              </w:rPr>
            </w:pPr>
          </w:p>
        </w:tc>
        <w:tc>
          <w:tcPr>
            <w:tcW w:w="1587" w:type="dxa"/>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3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1)</w:t>
            </w:r>
          </w:p>
        </w:tc>
      </w:tr>
      <w:tr w:rsidR="00A23F0D" w:rsidRPr="004A2FC2" w:rsidTr="004A2FC2">
        <w:trPr>
          <w:trHeight w:val="567"/>
        </w:trPr>
        <w:tc>
          <w:tcPr>
            <w:tcW w:w="1134" w:type="dxa"/>
            <w:vMerge/>
            <w:tcBorders>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tcBorders>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15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1)</w:t>
            </w:r>
          </w:p>
        </w:tc>
        <w:tc>
          <w:tcPr>
            <w:tcW w:w="1587" w:type="dxa"/>
            <w:tcBorders>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12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1)</w:t>
            </w:r>
          </w:p>
        </w:tc>
      </w:tr>
      <w:tr w:rsidR="00A23F0D" w:rsidRPr="004A2FC2" w:rsidTr="004A2FC2">
        <w:trPr>
          <w:trHeight w:val="567"/>
        </w:trPr>
        <w:tc>
          <w:tcPr>
            <w:tcW w:w="1134" w:type="dxa"/>
            <w:vMerge w:val="restart"/>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6</w:t>
            </w: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4)</w:t>
            </w: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1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3)</w:t>
            </w:r>
          </w:p>
        </w:tc>
      </w:tr>
      <w:tr w:rsidR="00A23F0D" w:rsidRPr="004A2FC2" w:rsidTr="004A2FC2">
        <w:trPr>
          <w:trHeight w:val="567"/>
        </w:trPr>
        <w:tc>
          <w:tcPr>
            <w:tcW w:w="1134" w:type="dxa"/>
            <w:vMerge/>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vMerge w:val="restart"/>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3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10)</w:t>
            </w: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1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w:t>
            </w:r>
          </w:p>
        </w:tc>
      </w:tr>
      <w:tr w:rsidR="00A23F0D" w:rsidRPr="004A2FC2" w:rsidTr="004A2FC2">
        <w:trPr>
          <w:trHeight w:val="567"/>
        </w:trPr>
        <w:tc>
          <w:tcPr>
            <w:tcW w:w="1134" w:type="dxa"/>
            <w:vMerge/>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vMerge/>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8)</w:t>
            </w:r>
          </w:p>
        </w:tc>
      </w:tr>
      <w:tr w:rsidR="00A23F0D" w:rsidRPr="004A2FC2" w:rsidTr="004A2FC2">
        <w:trPr>
          <w:trHeight w:val="567"/>
        </w:trPr>
        <w:tc>
          <w:tcPr>
            <w:tcW w:w="1134" w:type="dxa"/>
            <w:vMerge/>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4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24)</w:t>
            </w: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24)</w:t>
            </w:r>
          </w:p>
        </w:tc>
      </w:tr>
      <w:tr w:rsidR="00A23F0D" w:rsidRPr="004A2FC2" w:rsidTr="004A2FC2">
        <w:trPr>
          <w:trHeight w:val="567"/>
        </w:trPr>
        <w:tc>
          <w:tcPr>
            <w:tcW w:w="1134" w:type="dxa"/>
            <w:vMerge/>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5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w:t>
            </w:r>
          </w:p>
        </w:tc>
        <w:tc>
          <w:tcPr>
            <w:tcW w:w="1587" w:type="dxa"/>
            <w:tcBorders>
              <w:top w:val="single" w:sz="4" w:space="0" w:color="auto"/>
              <w:bottom w:val="single" w:sz="4"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2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2)</w:t>
            </w:r>
          </w:p>
        </w:tc>
      </w:tr>
      <w:tr w:rsidR="00A23F0D" w:rsidRPr="004A2FC2" w:rsidTr="004A2FC2">
        <w:trPr>
          <w:trHeight w:val="567"/>
        </w:trPr>
        <w:tc>
          <w:tcPr>
            <w:tcW w:w="1134" w:type="dxa"/>
            <w:vMerge/>
            <w:tcBorders>
              <w:top w:val="single" w:sz="4" w:space="0" w:color="auto"/>
              <w:bottom w:val="single" w:sz="12" w:space="0" w:color="auto"/>
            </w:tcBorders>
            <w:vAlign w:val="center"/>
          </w:tcPr>
          <w:p w:rsidR="00A23F0D" w:rsidRPr="004A2FC2" w:rsidRDefault="00A23F0D" w:rsidP="004A2FC2">
            <w:pPr>
              <w:rPr>
                <w:rFonts w:ascii="Times New Roman" w:hAnsi="Times New Roman" w:cs="Times New Roman"/>
                <w:sz w:val="24"/>
                <w:szCs w:val="24"/>
                <w:lang w:val="en-US"/>
              </w:rPr>
            </w:pPr>
          </w:p>
        </w:tc>
        <w:tc>
          <w:tcPr>
            <w:tcW w:w="1587" w:type="dxa"/>
            <w:tcBorders>
              <w:top w:val="single" w:sz="4" w:space="0" w:color="auto"/>
              <w:bottom w:val="single" w:sz="12"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6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1)</w:t>
            </w:r>
          </w:p>
        </w:tc>
        <w:tc>
          <w:tcPr>
            <w:tcW w:w="1587" w:type="dxa"/>
            <w:tcBorders>
              <w:top w:val="single" w:sz="4" w:space="0" w:color="auto"/>
              <w:bottom w:val="single" w:sz="12" w:space="0" w:color="auto"/>
            </w:tcBorders>
            <w:vAlign w:val="center"/>
          </w:tcPr>
          <w:p w:rsidR="00A23F0D" w:rsidRPr="004A2FC2" w:rsidRDefault="00A23F0D" w:rsidP="004A2FC2">
            <w:pPr>
              <w:rPr>
                <w:rFonts w:ascii="Times New Roman" w:hAnsi="Times New Roman" w:cs="Times New Roman"/>
                <w:sz w:val="24"/>
                <w:szCs w:val="24"/>
                <w:lang w:val="en-US"/>
              </w:rPr>
            </w:pPr>
            <w:r w:rsidRPr="004A2FC2">
              <w:rPr>
                <w:rFonts w:ascii="Times New Roman" w:hAnsi="Times New Roman" w:cs="Times New Roman"/>
                <w:sz w:val="24"/>
                <w:szCs w:val="24"/>
                <w:lang w:val="en-US"/>
              </w:rPr>
              <w:t>5 (</w:t>
            </w:r>
            <w:r w:rsidRPr="004A2FC2">
              <w:rPr>
                <w:rFonts w:ascii="Times New Roman" w:hAnsi="Times New Roman" w:cs="Times New Roman"/>
                <w:i/>
                <w:sz w:val="24"/>
                <w:szCs w:val="24"/>
                <w:lang w:val="en-US"/>
              </w:rPr>
              <w:t>n</w:t>
            </w:r>
            <w:r w:rsidRPr="004A2FC2">
              <w:rPr>
                <w:rFonts w:ascii="Times New Roman" w:hAnsi="Times New Roman" w:cs="Times New Roman"/>
                <w:sz w:val="24"/>
                <w:szCs w:val="24"/>
                <w:lang w:val="en-US"/>
              </w:rPr>
              <w:t xml:space="preserve"> = 1)</w:t>
            </w:r>
          </w:p>
        </w:tc>
      </w:tr>
    </w:tbl>
    <w:p w:rsidR="0037120D" w:rsidRPr="004A2FC2" w:rsidRDefault="0037120D" w:rsidP="0037120D">
      <w:pPr>
        <w:rPr>
          <w:rFonts w:ascii="Times New Roman" w:hAnsi="Times New Roman" w:cs="Times New Roman"/>
          <w:sz w:val="24"/>
          <w:szCs w:val="24"/>
          <w:lang w:val="en-US"/>
        </w:rPr>
      </w:pPr>
    </w:p>
    <w:p w:rsidR="001E4D8D" w:rsidRPr="004A2FC2" w:rsidRDefault="00244A62" w:rsidP="00244A62">
      <w:pPr>
        <w:spacing w:line="480" w:lineRule="auto"/>
        <w:rPr>
          <w:rFonts w:ascii="Times New Roman" w:hAnsi="Times New Roman" w:cs="Times New Roman"/>
          <w:sz w:val="24"/>
          <w:lang w:val="en-US"/>
        </w:rPr>
      </w:pPr>
      <w:r w:rsidRPr="004A2FC2">
        <w:rPr>
          <w:rFonts w:ascii="Times New Roman" w:hAnsi="Times New Roman" w:cs="Times New Roman"/>
          <w:sz w:val="24"/>
          <w:lang w:val="en-US"/>
        </w:rPr>
        <w:lastRenderedPageBreak/>
        <w:t xml:space="preserve">Moreover, </w:t>
      </w:r>
      <w:r w:rsidR="004A2FC2" w:rsidRPr="004A2FC2">
        <w:rPr>
          <w:rFonts w:ascii="Times New Roman" w:hAnsi="Times New Roman" w:cs="Times New Roman"/>
          <w:sz w:val="24"/>
          <w:lang w:val="en-US"/>
        </w:rPr>
        <w:t>Figures S1 and S2</w:t>
      </w:r>
      <w:r w:rsidRPr="004A2FC2">
        <w:rPr>
          <w:rFonts w:ascii="Times New Roman" w:hAnsi="Times New Roman" w:cs="Times New Roman"/>
          <w:sz w:val="24"/>
          <w:lang w:val="en-US"/>
        </w:rPr>
        <w:t xml:space="preserve"> illustrate the data acquired with the questionnaire on </w:t>
      </w:r>
      <w:r w:rsidR="003E4196" w:rsidRPr="004A2FC2">
        <w:rPr>
          <w:rFonts w:ascii="Times New Roman" w:hAnsi="Times New Roman" w:cs="Times New Roman"/>
          <w:sz w:val="24"/>
          <w:lang w:val="en-US"/>
        </w:rPr>
        <w:t>joint parent-child activities</w:t>
      </w:r>
      <w:r w:rsidRPr="004A2FC2">
        <w:rPr>
          <w:rFonts w:ascii="Times New Roman" w:hAnsi="Times New Roman" w:cs="Times New Roman"/>
          <w:sz w:val="24"/>
          <w:lang w:val="en-US"/>
        </w:rPr>
        <w:t xml:space="preserve"> (German AKFRA, see </w:t>
      </w:r>
      <w:proofErr w:type="spellStart"/>
      <w:r w:rsidRPr="004A2FC2">
        <w:rPr>
          <w:rFonts w:ascii="Times New Roman" w:hAnsi="Times New Roman" w:cs="Times New Roman"/>
          <w:sz w:val="24"/>
          <w:lang w:val="en-US"/>
        </w:rPr>
        <w:t>Roßbach</w:t>
      </w:r>
      <w:proofErr w:type="spellEnd"/>
      <w:r w:rsidRPr="004A2FC2">
        <w:rPr>
          <w:rFonts w:ascii="Times New Roman" w:hAnsi="Times New Roman" w:cs="Times New Roman"/>
          <w:sz w:val="24"/>
          <w:lang w:val="en-US"/>
        </w:rPr>
        <w:t xml:space="preserve"> &amp; Leal, 1993; see also the documentation of instruments for the national assessment of education in early childhood (NUBBEK) in </w:t>
      </w:r>
      <w:proofErr w:type="spellStart"/>
      <w:r w:rsidRPr="004A2FC2">
        <w:rPr>
          <w:rFonts w:ascii="Times New Roman" w:hAnsi="Times New Roman" w:cs="Times New Roman"/>
          <w:sz w:val="24"/>
          <w:lang w:val="en-US"/>
        </w:rPr>
        <w:t>Eckhardt</w:t>
      </w:r>
      <w:proofErr w:type="spellEnd"/>
      <w:r w:rsidRPr="004A2FC2">
        <w:rPr>
          <w:rFonts w:ascii="Times New Roman" w:hAnsi="Times New Roman" w:cs="Times New Roman"/>
          <w:sz w:val="24"/>
          <w:lang w:val="en-US"/>
        </w:rPr>
        <w:t xml:space="preserve"> et al., 2011).</w:t>
      </w:r>
    </w:p>
    <w:p w:rsidR="004A2FC2" w:rsidRPr="004A2FC2" w:rsidRDefault="004A2FC2" w:rsidP="004A2FC2">
      <w:pPr>
        <w:spacing w:after="0" w:line="480" w:lineRule="auto"/>
        <w:rPr>
          <w:rFonts w:ascii="Times New Roman" w:hAnsi="Times New Roman" w:cs="Times New Roman"/>
          <w:b/>
          <w:sz w:val="24"/>
          <w:lang w:val="en-US"/>
        </w:rPr>
      </w:pPr>
      <w:r w:rsidRPr="004A2FC2">
        <w:rPr>
          <w:rFonts w:ascii="Times New Roman" w:hAnsi="Times New Roman" w:cs="Times New Roman"/>
          <w:b/>
          <w:sz w:val="24"/>
          <w:lang w:val="en-US"/>
        </w:rPr>
        <w:t>Figure S1</w:t>
      </w:r>
    </w:p>
    <w:p w:rsidR="00244A62" w:rsidRPr="004A2FC2" w:rsidRDefault="003E4196" w:rsidP="004A2FC2">
      <w:pPr>
        <w:spacing w:line="480" w:lineRule="auto"/>
        <w:rPr>
          <w:rFonts w:ascii="Times New Roman" w:hAnsi="Times New Roman" w:cs="Times New Roman"/>
          <w:sz w:val="24"/>
          <w:szCs w:val="24"/>
          <w:lang w:val="en-US"/>
        </w:rPr>
      </w:pPr>
      <w:r w:rsidRPr="004A2FC2">
        <w:rPr>
          <w:rFonts w:ascii="Times New Roman" w:hAnsi="Times New Roman" w:cs="Times New Roman"/>
          <w:sz w:val="24"/>
          <w:szCs w:val="24"/>
          <w:lang w:val="en-US"/>
        </w:rPr>
        <w:t>Joint parent-child</w:t>
      </w:r>
      <w:r w:rsidR="00244A62" w:rsidRPr="004A2FC2">
        <w:rPr>
          <w:rFonts w:ascii="Times New Roman" w:hAnsi="Times New Roman" w:cs="Times New Roman"/>
          <w:sz w:val="24"/>
          <w:szCs w:val="24"/>
          <w:lang w:val="en-US"/>
        </w:rPr>
        <w:t xml:space="preserve"> activities in 4-year-old children</w:t>
      </w:r>
      <w:r w:rsidR="004A2FC2" w:rsidRPr="004A2FC2">
        <w:rPr>
          <w:rFonts w:ascii="Times New Roman" w:hAnsi="Times New Roman" w:cs="Times New Roman"/>
          <w:sz w:val="24"/>
          <w:szCs w:val="24"/>
          <w:lang w:val="en-US"/>
        </w:rPr>
        <w:t>.</w:t>
      </w:r>
    </w:p>
    <w:p w:rsidR="00244A62" w:rsidRPr="004A2FC2" w:rsidRDefault="00244A62" w:rsidP="0037120D">
      <w:pPr>
        <w:rPr>
          <w:rFonts w:ascii="Times New Roman" w:hAnsi="Times New Roman" w:cs="Times New Roman"/>
          <w:sz w:val="24"/>
          <w:szCs w:val="24"/>
          <w:lang w:val="en-US"/>
        </w:rPr>
      </w:pPr>
      <w:r w:rsidRPr="004A2FC2">
        <w:rPr>
          <w:noProof/>
          <w:lang w:val="en-US" w:eastAsia="de-DE"/>
        </w:rPr>
        <w:drawing>
          <wp:inline distT="0" distB="0" distL="0" distR="0" wp14:anchorId="69F9792D" wp14:editId="06D71B01">
            <wp:extent cx="5580000" cy="2700000"/>
            <wp:effectExtent l="0" t="0" r="1905" b="571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244A62" w:rsidRPr="004A2FC2" w:rsidRDefault="00244A62" w:rsidP="0037120D">
      <w:pPr>
        <w:rPr>
          <w:rFonts w:ascii="Times New Roman" w:hAnsi="Times New Roman" w:cs="Times New Roman"/>
          <w:sz w:val="24"/>
          <w:szCs w:val="24"/>
          <w:lang w:val="en-US"/>
        </w:rPr>
      </w:pPr>
    </w:p>
    <w:p w:rsidR="004A2FC2" w:rsidRPr="004A2FC2" w:rsidRDefault="004A2FC2" w:rsidP="0037120D">
      <w:pPr>
        <w:rPr>
          <w:rFonts w:ascii="Times New Roman" w:hAnsi="Times New Roman" w:cs="Times New Roman"/>
          <w:b/>
          <w:sz w:val="24"/>
          <w:szCs w:val="24"/>
          <w:lang w:val="en-US"/>
        </w:rPr>
      </w:pPr>
      <w:r w:rsidRPr="004A2FC2">
        <w:rPr>
          <w:rFonts w:ascii="Times New Roman" w:hAnsi="Times New Roman" w:cs="Times New Roman"/>
          <w:b/>
          <w:sz w:val="24"/>
          <w:szCs w:val="24"/>
          <w:lang w:val="en-US"/>
        </w:rPr>
        <w:t>Figure S2</w:t>
      </w:r>
    </w:p>
    <w:p w:rsidR="00244A62" w:rsidRPr="004A2FC2" w:rsidRDefault="003E4196" w:rsidP="00244A62">
      <w:pPr>
        <w:rPr>
          <w:rFonts w:ascii="Times New Roman" w:hAnsi="Times New Roman" w:cs="Times New Roman"/>
          <w:sz w:val="24"/>
          <w:szCs w:val="24"/>
          <w:lang w:val="en-US"/>
        </w:rPr>
      </w:pPr>
      <w:r w:rsidRPr="004A2FC2">
        <w:rPr>
          <w:rFonts w:ascii="Times New Roman" w:hAnsi="Times New Roman" w:cs="Times New Roman"/>
          <w:sz w:val="24"/>
          <w:szCs w:val="24"/>
          <w:lang w:val="en-US"/>
        </w:rPr>
        <w:t>Joint parent-child</w:t>
      </w:r>
      <w:r w:rsidR="00244A62" w:rsidRPr="004A2FC2">
        <w:rPr>
          <w:rFonts w:ascii="Times New Roman" w:hAnsi="Times New Roman" w:cs="Times New Roman"/>
          <w:sz w:val="24"/>
          <w:szCs w:val="24"/>
          <w:lang w:val="en-US"/>
        </w:rPr>
        <w:t xml:space="preserve"> activities in 6-year-old children</w:t>
      </w:r>
      <w:r w:rsidR="004A2FC2" w:rsidRPr="004A2FC2">
        <w:rPr>
          <w:rFonts w:ascii="Times New Roman" w:hAnsi="Times New Roman" w:cs="Times New Roman"/>
          <w:sz w:val="24"/>
          <w:szCs w:val="24"/>
          <w:lang w:val="en-US"/>
        </w:rPr>
        <w:t>.</w:t>
      </w:r>
    </w:p>
    <w:p w:rsidR="00244A62" w:rsidRPr="004A2FC2" w:rsidRDefault="00244A62" w:rsidP="0037120D">
      <w:pPr>
        <w:rPr>
          <w:rFonts w:ascii="Times New Roman" w:hAnsi="Times New Roman" w:cs="Times New Roman"/>
          <w:sz w:val="24"/>
          <w:szCs w:val="24"/>
          <w:lang w:val="en-US"/>
        </w:rPr>
      </w:pPr>
      <w:r w:rsidRPr="004A2FC2">
        <w:rPr>
          <w:noProof/>
          <w:lang w:val="en-US" w:eastAsia="de-DE"/>
        </w:rPr>
        <w:drawing>
          <wp:inline distT="0" distB="0" distL="0" distR="0" wp14:anchorId="2CAFB173" wp14:editId="41D2D27E">
            <wp:extent cx="5580000" cy="2700000"/>
            <wp:effectExtent l="0" t="0" r="1905" b="571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A2FC2" w:rsidRPr="004A2FC2" w:rsidRDefault="004A2FC2" w:rsidP="0037120D">
      <w:pPr>
        <w:rPr>
          <w:rFonts w:ascii="Times New Roman" w:hAnsi="Times New Roman" w:cs="Times New Roman"/>
          <w:sz w:val="24"/>
          <w:szCs w:val="24"/>
          <w:lang w:val="en-US"/>
        </w:rPr>
      </w:pPr>
    </w:p>
    <w:sectPr w:rsidR="004A2FC2" w:rsidRPr="004A2F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0D"/>
    <w:rsid w:val="001E4D8D"/>
    <w:rsid w:val="00244A62"/>
    <w:rsid w:val="00255782"/>
    <w:rsid w:val="0037120D"/>
    <w:rsid w:val="003E4196"/>
    <w:rsid w:val="004A2FC2"/>
    <w:rsid w:val="007E37EB"/>
    <w:rsid w:val="008A4B98"/>
    <w:rsid w:val="00A23F0D"/>
    <w:rsid w:val="00AD0B33"/>
    <w:rsid w:val="00B82155"/>
    <w:rsid w:val="00DB18BA"/>
    <w:rsid w:val="00F968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03B39-99BC-4780-BA9A-7A556491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7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23F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3F0D"/>
    <w:rPr>
      <w:rFonts w:ascii="Segoe UI" w:hAnsi="Segoe UI" w:cs="Segoe UI"/>
      <w:sz w:val="18"/>
      <w:szCs w:val="18"/>
    </w:rPr>
  </w:style>
  <w:style w:type="paragraph" w:customStyle="1" w:styleId="paper">
    <w:name w:val="paper"/>
    <w:basedOn w:val="Standard"/>
    <w:rsid w:val="004A2FC2"/>
    <w:pPr>
      <w:spacing w:after="0" w:line="480" w:lineRule="auto"/>
      <w:ind w:firstLine="720"/>
    </w:pPr>
    <w:rPr>
      <w:rFonts w:ascii="Times New Roman" w:eastAsia="Arial Unicode MS" w:hAnsi="Times New Roman" w:cs="Times New Roman"/>
      <w:noProof/>
      <w:kern w:val="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F:\Daten\002%20Studies\RIcult_RIproc\geschlossen\Auswertung\RIcult_Tablet\SES%20AKFRA\RIcult%20Tablet%20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aten\002%20Studies\RIcult_RIproc\geschlossen\Auswertung\RIcult_Tablet\SES%20AKFRA\RIcult%20Tablet%20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Tabelle2!$C$98</c:f>
              <c:strCache>
                <c:ptCount val="1"/>
                <c:pt idx="0">
                  <c:v>never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Tabelle2!$D$98:$P$98</c:f>
              <c:numCache>
                <c:formatCode>General</c:formatCode>
                <c:ptCount val="13"/>
                <c:pt idx="0">
                  <c:v>0</c:v>
                </c:pt>
                <c:pt idx="1">
                  <c:v>0</c:v>
                </c:pt>
                <c:pt idx="2">
                  <c:v>0</c:v>
                </c:pt>
                <c:pt idx="3">
                  <c:v>1</c:v>
                </c:pt>
                <c:pt idx="4">
                  <c:v>1</c:v>
                </c:pt>
                <c:pt idx="5">
                  <c:v>2</c:v>
                </c:pt>
                <c:pt idx="6">
                  <c:v>0</c:v>
                </c:pt>
                <c:pt idx="7">
                  <c:v>0</c:v>
                </c:pt>
                <c:pt idx="8">
                  <c:v>7</c:v>
                </c:pt>
                <c:pt idx="9">
                  <c:v>4</c:v>
                </c:pt>
                <c:pt idx="10">
                  <c:v>1</c:v>
                </c:pt>
                <c:pt idx="11">
                  <c:v>7</c:v>
                </c:pt>
                <c:pt idx="12">
                  <c:v>1</c:v>
                </c:pt>
              </c:numCache>
            </c:numRef>
          </c:val>
        </c:ser>
        <c:ser>
          <c:idx val="1"/>
          <c:order val="1"/>
          <c:tx>
            <c:strRef>
              <c:f>Tabelle2!$C$99</c:f>
              <c:strCache>
                <c:ptCount val="1"/>
                <c:pt idx="0">
                  <c:v>Once a month</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Tabelle2!$D$99:$P$99</c:f>
              <c:numCache>
                <c:formatCode>General</c:formatCode>
                <c:ptCount val="13"/>
                <c:pt idx="0">
                  <c:v>1</c:v>
                </c:pt>
                <c:pt idx="1">
                  <c:v>0</c:v>
                </c:pt>
                <c:pt idx="2">
                  <c:v>1</c:v>
                </c:pt>
                <c:pt idx="3">
                  <c:v>2</c:v>
                </c:pt>
                <c:pt idx="4">
                  <c:v>2</c:v>
                </c:pt>
                <c:pt idx="5">
                  <c:v>4</c:v>
                </c:pt>
                <c:pt idx="6">
                  <c:v>7</c:v>
                </c:pt>
                <c:pt idx="7">
                  <c:v>6</c:v>
                </c:pt>
                <c:pt idx="8">
                  <c:v>6</c:v>
                </c:pt>
                <c:pt idx="9">
                  <c:v>5</c:v>
                </c:pt>
                <c:pt idx="10">
                  <c:v>0</c:v>
                </c:pt>
                <c:pt idx="11">
                  <c:v>9</c:v>
                </c:pt>
                <c:pt idx="12">
                  <c:v>4</c:v>
                </c:pt>
              </c:numCache>
            </c:numRef>
          </c:val>
        </c:ser>
        <c:ser>
          <c:idx val="2"/>
          <c:order val="2"/>
          <c:tx>
            <c:strRef>
              <c:f>Tabelle2!$C$100</c:f>
              <c:strCache>
                <c:ptCount val="1"/>
                <c:pt idx="0">
                  <c:v>Every two weeks</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Tabelle2!$D$100:$P$100</c:f>
              <c:numCache>
                <c:formatCode>General</c:formatCode>
                <c:ptCount val="13"/>
                <c:pt idx="0">
                  <c:v>0</c:v>
                </c:pt>
                <c:pt idx="1">
                  <c:v>2</c:v>
                </c:pt>
                <c:pt idx="2">
                  <c:v>2</c:v>
                </c:pt>
                <c:pt idx="3">
                  <c:v>8</c:v>
                </c:pt>
                <c:pt idx="4">
                  <c:v>8</c:v>
                </c:pt>
                <c:pt idx="5">
                  <c:v>12</c:v>
                </c:pt>
                <c:pt idx="6">
                  <c:v>2</c:v>
                </c:pt>
                <c:pt idx="7">
                  <c:v>4</c:v>
                </c:pt>
                <c:pt idx="8">
                  <c:v>8</c:v>
                </c:pt>
                <c:pt idx="9">
                  <c:v>9</c:v>
                </c:pt>
                <c:pt idx="10">
                  <c:v>3</c:v>
                </c:pt>
                <c:pt idx="11">
                  <c:v>5</c:v>
                </c:pt>
                <c:pt idx="12">
                  <c:v>9</c:v>
                </c:pt>
              </c:numCache>
            </c:numRef>
          </c:val>
        </c:ser>
        <c:ser>
          <c:idx val="3"/>
          <c:order val="3"/>
          <c:tx>
            <c:strRef>
              <c:f>Tabelle2!$C$101</c:f>
              <c:strCache>
                <c:ptCount val="1"/>
                <c:pt idx="0">
                  <c:v>Once a week</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Tabelle2!$D$101:$P$101</c:f>
              <c:numCache>
                <c:formatCode>General</c:formatCode>
                <c:ptCount val="13"/>
                <c:pt idx="0">
                  <c:v>0</c:v>
                </c:pt>
                <c:pt idx="1">
                  <c:v>3</c:v>
                </c:pt>
                <c:pt idx="2">
                  <c:v>4</c:v>
                </c:pt>
                <c:pt idx="3">
                  <c:v>12</c:v>
                </c:pt>
                <c:pt idx="4">
                  <c:v>9</c:v>
                </c:pt>
                <c:pt idx="5">
                  <c:v>20</c:v>
                </c:pt>
                <c:pt idx="6">
                  <c:v>21</c:v>
                </c:pt>
                <c:pt idx="7">
                  <c:v>12</c:v>
                </c:pt>
                <c:pt idx="8">
                  <c:v>15</c:v>
                </c:pt>
                <c:pt idx="9">
                  <c:v>12</c:v>
                </c:pt>
                <c:pt idx="10">
                  <c:v>4</c:v>
                </c:pt>
                <c:pt idx="11">
                  <c:v>9</c:v>
                </c:pt>
                <c:pt idx="12">
                  <c:v>17</c:v>
                </c:pt>
              </c:numCache>
            </c:numRef>
          </c:val>
        </c:ser>
        <c:ser>
          <c:idx val="4"/>
          <c:order val="4"/>
          <c:tx>
            <c:strRef>
              <c:f>Tabelle2!$C$102</c:f>
              <c:strCache>
                <c:ptCount val="1"/>
                <c:pt idx="0">
                  <c:v>More than once a week</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Tabelle2!$D$102:$P$102</c:f>
              <c:numCache>
                <c:formatCode>General</c:formatCode>
                <c:ptCount val="13"/>
                <c:pt idx="0">
                  <c:v>13</c:v>
                </c:pt>
                <c:pt idx="1">
                  <c:v>26</c:v>
                </c:pt>
                <c:pt idx="2">
                  <c:v>25</c:v>
                </c:pt>
                <c:pt idx="3">
                  <c:v>24</c:v>
                </c:pt>
                <c:pt idx="4">
                  <c:v>19</c:v>
                </c:pt>
                <c:pt idx="5">
                  <c:v>9</c:v>
                </c:pt>
                <c:pt idx="6">
                  <c:v>19</c:v>
                </c:pt>
                <c:pt idx="7">
                  <c:v>16</c:v>
                </c:pt>
                <c:pt idx="8">
                  <c:v>8</c:v>
                </c:pt>
                <c:pt idx="9">
                  <c:v>13</c:v>
                </c:pt>
                <c:pt idx="10">
                  <c:v>22</c:v>
                </c:pt>
                <c:pt idx="11">
                  <c:v>20</c:v>
                </c:pt>
                <c:pt idx="12">
                  <c:v>19</c:v>
                </c:pt>
              </c:numCache>
            </c:numRef>
          </c:val>
        </c:ser>
        <c:ser>
          <c:idx val="5"/>
          <c:order val="5"/>
          <c:tx>
            <c:strRef>
              <c:f>Tabelle2!$C$103</c:f>
              <c:strCache>
                <c:ptCount val="1"/>
                <c:pt idx="0">
                  <c:v>Daily</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Tabelle2!$D$103:$P$103</c:f>
              <c:numCache>
                <c:formatCode>General</c:formatCode>
                <c:ptCount val="13"/>
                <c:pt idx="0">
                  <c:v>37</c:v>
                </c:pt>
                <c:pt idx="1">
                  <c:v>20</c:v>
                </c:pt>
                <c:pt idx="2">
                  <c:v>19</c:v>
                </c:pt>
                <c:pt idx="3">
                  <c:v>4</c:v>
                </c:pt>
                <c:pt idx="4">
                  <c:v>12</c:v>
                </c:pt>
                <c:pt idx="5">
                  <c:v>4</c:v>
                </c:pt>
                <c:pt idx="6">
                  <c:v>2</c:v>
                </c:pt>
                <c:pt idx="7">
                  <c:v>13</c:v>
                </c:pt>
                <c:pt idx="8">
                  <c:v>7</c:v>
                </c:pt>
                <c:pt idx="9">
                  <c:v>8</c:v>
                </c:pt>
                <c:pt idx="10">
                  <c:v>21</c:v>
                </c:pt>
                <c:pt idx="11">
                  <c:v>1</c:v>
                </c:pt>
                <c:pt idx="12">
                  <c:v>1</c:v>
                </c:pt>
              </c:numCache>
            </c:numRef>
          </c:val>
        </c:ser>
        <c:dLbls>
          <c:showLegendKey val="0"/>
          <c:showVal val="0"/>
          <c:showCatName val="0"/>
          <c:showSerName val="0"/>
          <c:showPercent val="0"/>
          <c:showBubbleSize val="0"/>
        </c:dLbls>
        <c:gapWidth val="150"/>
        <c:overlap val="100"/>
        <c:axId val="326875520"/>
        <c:axId val="326875128"/>
      </c:barChart>
      <c:catAx>
        <c:axId val="32687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crossAx val="326875128"/>
        <c:crosses val="autoZero"/>
        <c:auto val="1"/>
        <c:lblAlgn val="ctr"/>
        <c:lblOffset val="100"/>
        <c:noMultiLvlLbl val="0"/>
      </c:catAx>
      <c:valAx>
        <c:axId val="32687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crossAx val="326875520"/>
        <c:crosses val="autoZero"/>
        <c:crossBetween val="between"/>
      </c:valAx>
      <c:spPr>
        <a:noFill/>
        <a:ln>
          <a:noFill/>
        </a:ln>
        <a:effectLst/>
      </c:spPr>
    </c:plotArea>
    <c:legend>
      <c:legendPos val="r"/>
      <c:layout>
        <c:manualLayout>
          <c:xMode val="edge"/>
          <c:yMode val="edge"/>
          <c:x val="0.76091085086249555"/>
          <c:y val="0.17971160440667081"/>
          <c:w val="0.22585871914852981"/>
          <c:h val="0.446530137426316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Tabelle2!$C$104</c:f>
              <c:strCache>
                <c:ptCount val="1"/>
                <c:pt idx="0">
                  <c:v>never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Tabelle2!$D$104:$P$104</c:f>
              <c:numCache>
                <c:formatCode>General</c:formatCode>
                <c:ptCount val="13"/>
                <c:pt idx="0">
                  <c:v>0</c:v>
                </c:pt>
                <c:pt idx="1">
                  <c:v>0</c:v>
                </c:pt>
                <c:pt idx="2">
                  <c:v>1</c:v>
                </c:pt>
                <c:pt idx="3">
                  <c:v>0</c:v>
                </c:pt>
                <c:pt idx="4">
                  <c:v>3</c:v>
                </c:pt>
                <c:pt idx="5">
                  <c:v>2</c:v>
                </c:pt>
                <c:pt idx="6">
                  <c:v>2</c:v>
                </c:pt>
                <c:pt idx="7">
                  <c:v>3</c:v>
                </c:pt>
                <c:pt idx="8">
                  <c:v>5</c:v>
                </c:pt>
                <c:pt idx="9">
                  <c:v>0</c:v>
                </c:pt>
                <c:pt idx="10">
                  <c:v>0</c:v>
                </c:pt>
                <c:pt idx="11">
                  <c:v>3</c:v>
                </c:pt>
                <c:pt idx="12">
                  <c:v>0</c:v>
                </c:pt>
              </c:numCache>
            </c:numRef>
          </c:val>
        </c:ser>
        <c:ser>
          <c:idx val="1"/>
          <c:order val="1"/>
          <c:tx>
            <c:strRef>
              <c:f>Tabelle2!$C$105</c:f>
              <c:strCache>
                <c:ptCount val="1"/>
                <c:pt idx="0">
                  <c:v>Once a month</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Tabelle2!$D$105:$P$105</c:f>
              <c:numCache>
                <c:formatCode>General</c:formatCode>
                <c:ptCount val="13"/>
                <c:pt idx="0">
                  <c:v>0</c:v>
                </c:pt>
                <c:pt idx="1">
                  <c:v>1</c:v>
                </c:pt>
                <c:pt idx="2">
                  <c:v>1</c:v>
                </c:pt>
                <c:pt idx="3">
                  <c:v>5</c:v>
                </c:pt>
                <c:pt idx="4">
                  <c:v>5</c:v>
                </c:pt>
                <c:pt idx="5">
                  <c:v>11</c:v>
                </c:pt>
                <c:pt idx="6">
                  <c:v>6</c:v>
                </c:pt>
                <c:pt idx="7">
                  <c:v>10</c:v>
                </c:pt>
                <c:pt idx="8">
                  <c:v>5</c:v>
                </c:pt>
                <c:pt idx="9">
                  <c:v>1</c:v>
                </c:pt>
                <c:pt idx="10">
                  <c:v>0</c:v>
                </c:pt>
                <c:pt idx="11">
                  <c:v>11</c:v>
                </c:pt>
                <c:pt idx="12">
                  <c:v>5</c:v>
                </c:pt>
              </c:numCache>
            </c:numRef>
          </c:val>
        </c:ser>
        <c:ser>
          <c:idx val="2"/>
          <c:order val="2"/>
          <c:tx>
            <c:strRef>
              <c:f>Tabelle2!$C$106</c:f>
              <c:strCache>
                <c:ptCount val="1"/>
                <c:pt idx="0">
                  <c:v>Every two weeks</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Tabelle2!$D$106:$P$106</c:f>
              <c:numCache>
                <c:formatCode>General</c:formatCode>
                <c:ptCount val="13"/>
                <c:pt idx="0">
                  <c:v>2</c:v>
                </c:pt>
                <c:pt idx="1">
                  <c:v>1</c:v>
                </c:pt>
                <c:pt idx="2">
                  <c:v>3</c:v>
                </c:pt>
                <c:pt idx="3">
                  <c:v>7</c:v>
                </c:pt>
                <c:pt idx="4">
                  <c:v>2</c:v>
                </c:pt>
                <c:pt idx="5">
                  <c:v>11</c:v>
                </c:pt>
                <c:pt idx="6">
                  <c:v>10</c:v>
                </c:pt>
                <c:pt idx="7">
                  <c:v>6</c:v>
                </c:pt>
                <c:pt idx="8">
                  <c:v>4</c:v>
                </c:pt>
                <c:pt idx="9">
                  <c:v>11</c:v>
                </c:pt>
                <c:pt idx="10">
                  <c:v>1</c:v>
                </c:pt>
                <c:pt idx="11">
                  <c:v>6</c:v>
                </c:pt>
                <c:pt idx="12">
                  <c:v>8</c:v>
                </c:pt>
              </c:numCache>
            </c:numRef>
          </c:val>
        </c:ser>
        <c:ser>
          <c:idx val="3"/>
          <c:order val="3"/>
          <c:tx>
            <c:strRef>
              <c:f>Tabelle2!$C$107</c:f>
              <c:strCache>
                <c:ptCount val="1"/>
                <c:pt idx="0">
                  <c:v>Once a week</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Tabelle2!$D$107:$P$107</c:f>
              <c:numCache>
                <c:formatCode>General</c:formatCode>
                <c:ptCount val="13"/>
                <c:pt idx="0">
                  <c:v>4</c:v>
                </c:pt>
                <c:pt idx="1">
                  <c:v>5</c:v>
                </c:pt>
                <c:pt idx="2">
                  <c:v>9</c:v>
                </c:pt>
                <c:pt idx="3">
                  <c:v>9</c:v>
                </c:pt>
                <c:pt idx="4">
                  <c:v>4</c:v>
                </c:pt>
                <c:pt idx="5">
                  <c:v>10</c:v>
                </c:pt>
                <c:pt idx="6">
                  <c:v>10</c:v>
                </c:pt>
                <c:pt idx="7">
                  <c:v>5</c:v>
                </c:pt>
                <c:pt idx="8">
                  <c:v>14</c:v>
                </c:pt>
                <c:pt idx="9">
                  <c:v>11</c:v>
                </c:pt>
                <c:pt idx="10">
                  <c:v>1</c:v>
                </c:pt>
                <c:pt idx="11">
                  <c:v>11</c:v>
                </c:pt>
                <c:pt idx="12">
                  <c:v>15</c:v>
                </c:pt>
              </c:numCache>
            </c:numRef>
          </c:val>
        </c:ser>
        <c:ser>
          <c:idx val="4"/>
          <c:order val="4"/>
          <c:tx>
            <c:strRef>
              <c:f>Tabelle2!$C$108</c:f>
              <c:strCache>
                <c:ptCount val="1"/>
                <c:pt idx="0">
                  <c:v>More than once a week</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Tabelle2!$D$108:$P$108</c:f>
              <c:numCache>
                <c:formatCode>General</c:formatCode>
                <c:ptCount val="13"/>
                <c:pt idx="0">
                  <c:v>13</c:v>
                </c:pt>
                <c:pt idx="1">
                  <c:v>19</c:v>
                </c:pt>
                <c:pt idx="2">
                  <c:v>15</c:v>
                </c:pt>
                <c:pt idx="3">
                  <c:v>15</c:v>
                </c:pt>
                <c:pt idx="4">
                  <c:v>19</c:v>
                </c:pt>
                <c:pt idx="5">
                  <c:v>7</c:v>
                </c:pt>
                <c:pt idx="6">
                  <c:v>9</c:v>
                </c:pt>
                <c:pt idx="7">
                  <c:v>11</c:v>
                </c:pt>
                <c:pt idx="8">
                  <c:v>8</c:v>
                </c:pt>
                <c:pt idx="9">
                  <c:v>15</c:v>
                </c:pt>
                <c:pt idx="10">
                  <c:v>20</c:v>
                </c:pt>
                <c:pt idx="11">
                  <c:v>9</c:v>
                </c:pt>
                <c:pt idx="12">
                  <c:v>11</c:v>
                </c:pt>
              </c:numCache>
            </c:numRef>
          </c:val>
        </c:ser>
        <c:ser>
          <c:idx val="5"/>
          <c:order val="5"/>
          <c:tx>
            <c:strRef>
              <c:f>Tabelle2!$C$109</c:f>
              <c:strCache>
                <c:ptCount val="1"/>
                <c:pt idx="0">
                  <c:v>Daily</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Tabelle2!$D$97:$P$97</c:f>
              <c:strCache>
                <c:ptCount val="13"/>
                <c:pt idx="0">
                  <c:v>Reading activies</c:v>
                </c:pt>
                <c:pt idx="1">
                  <c:v>Musical activies</c:v>
                </c:pt>
                <c:pt idx="2">
                  <c:v>Physical activies</c:v>
                </c:pt>
                <c:pt idx="3">
                  <c:v>Painting and arts</c:v>
                </c:pt>
                <c:pt idx="4">
                  <c:v>Constructing</c:v>
                </c:pt>
                <c:pt idx="5">
                  <c:v>Jig-saw puzzles</c:v>
                </c:pt>
                <c:pt idx="6">
                  <c:v>Ball sports</c:v>
                </c:pt>
                <c:pt idx="7">
                  <c:v>Role plays</c:v>
                </c:pt>
                <c:pt idx="8">
                  <c:v>Language activities</c:v>
                </c:pt>
                <c:pt idx="9">
                  <c:v>Letter and number games</c:v>
                </c:pt>
                <c:pt idx="10">
                  <c:v>Talking about problems</c:v>
                </c:pt>
                <c:pt idx="11">
                  <c:v>Playing with peers</c:v>
                </c:pt>
                <c:pt idx="12">
                  <c:v>Visit friends</c:v>
                </c:pt>
              </c:strCache>
            </c:strRef>
          </c:cat>
          <c:val>
            <c:numRef>
              <c:f>Tabelle2!$D$109:$P$109</c:f>
              <c:numCache>
                <c:formatCode>General</c:formatCode>
                <c:ptCount val="13"/>
                <c:pt idx="0">
                  <c:v>22</c:v>
                </c:pt>
                <c:pt idx="1">
                  <c:v>15</c:v>
                </c:pt>
                <c:pt idx="2">
                  <c:v>12</c:v>
                </c:pt>
                <c:pt idx="3">
                  <c:v>5</c:v>
                </c:pt>
                <c:pt idx="4">
                  <c:v>8</c:v>
                </c:pt>
                <c:pt idx="5">
                  <c:v>0</c:v>
                </c:pt>
                <c:pt idx="6">
                  <c:v>4</c:v>
                </c:pt>
                <c:pt idx="7">
                  <c:v>6</c:v>
                </c:pt>
                <c:pt idx="8">
                  <c:v>5</c:v>
                </c:pt>
                <c:pt idx="9">
                  <c:v>3</c:v>
                </c:pt>
                <c:pt idx="10">
                  <c:v>19</c:v>
                </c:pt>
                <c:pt idx="11">
                  <c:v>1</c:v>
                </c:pt>
                <c:pt idx="12">
                  <c:v>2</c:v>
                </c:pt>
              </c:numCache>
            </c:numRef>
          </c:val>
        </c:ser>
        <c:dLbls>
          <c:showLegendKey val="0"/>
          <c:showVal val="0"/>
          <c:showCatName val="0"/>
          <c:showSerName val="0"/>
          <c:showPercent val="0"/>
          <c:showBubbleSize val="0"/>
        </c:dLbls>
        <c:gapWidth val="150"/>
        <c:overlap val="100"/>
        <c:axId val="326876304"/>
        <c:axId val="326873560"/>
      </c:barChart>
      <c:catAx>
        <c:axId val="32687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crossAx val="326873560"/>
        <c:crosses val="autoZero"/>
        <c:auto val="1"/>
        <c:lblAlgn val="ctr"/>
        <c:lblOffset val="100"/>
        <c:noMultiLvlLbl val="0"/>
      </c:catAx>
      <c:valAx>
        <c:axId val="326873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crossAx val="326876304"/>
        <c:crosses val="autoZero"/>
        <c:crossBetween val="between"/>
      </c:valAx>
      <c:spPr>
        <a:noFill/>
        <a:ln>
          <a:noFill/>
        </a:ln>
        <a:effectLst/>
      </c:spPr>
    </c:plotArea>
    <c:legend>
      <c:legendPos val="r"/>
      <c:layout>
        <c:manualLayout>
          <c:xMode val="edge"/>
          <c:yMode val="edge"/>
          <c:x val="0.76091085086249555"/>
          <c:y val="0.17089131774735436"/>
          <c:w val="0.22585871914852981"/>
          <c:h val="0.446530137426316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Cornelia</dc:creator>
  <cp:keywords/>
  <dc:description/>
  <cp:lastModifiedBy>Schulze, Cornelia</cp:lastModifiedBy>
  <cp:revision>8</cp:revision>
  <dcterms:created xsi:type="dcterms:W3CDTF">2020-12-10T10:41:00Z</dcterms:created>
  <dcterms:modified xsi:type="dcterms:W3CDTF">2021-01-04T09:42:00Z</dcterms:modified>
</cp:coreProperties>
</file>