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E85FA" w14:textId="77777777" w:rsidR="00AA676D" w:rsidRDefault="00AA676D" w:rsidP="00AA676D">
      <w:pPr>
        <w:spacing w:line="48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Appendix A. Type/ Token Frequency of -Ar and -Ir-taking verbs in Turkish </w:t>
      </w:r>
    </w:p>
    <w:p w14:paraId="40B6AF12" w14:textId="77777777" w:rsidR="00AA676D" w:rsidRPr="005D565E" w:rsidRDefault="00AA676D" w:rsidP="00AA676D">
      <w:pPr>
        <w:spacing w:line="276" w:lineRule="auto"/>
        <w:jc w:val="both"/>
        <w:rPr>
          <w:sz w:val="22"/>
          <w:szCs w:val="22"/>
        </w:rPr>
      </w:pPr>
      <w:r w:rsidRPr="005D565E">
        <w:rPr>
          <w:sz w:val="22"/>
          <w:szCs w:val="22"/>
        </w:rPr>
        <w:t xml:space="preserve">Table A and Table B below show type and token counts of -Ar-taking and -Ir-taking monosyllabic and multisyllabic verbs in Turkish. Values were taken from the BOUN corpus (Sak et al., 2008) that contains around 425 million tokens. </w:t>
      </w:r>
    </w:p>
    <w:p w14:paraId="3B672AEB" w14:textId="77777777" w:rsidR="00AA676D" w:rsidRPr="005D565E" w:rsidRDefault="00AA676D" w:rsidP="00AA67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Liberation Serif" w:eastAsia="Liberation Serif" w:hAnsi="Liberation Serif" w:cs="Liberation Serif"/>
          <w:sz w:val="22"/>
          <w:szCs w:val="22"/>
        </w:rPr>
      </w:pPr>
    </w:p>
    <w:p w14:paraId="7FE649FE" w14:textId="77777777" w:rsidR="00AA676D" w:rsidRPr="005D565E" w:rsidRDefault="00AA676D" w:rsidP="00AA676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360" w:lineRule="auto"/>
        <w:jc w:val="both"/>
        <w:rPr>
          <w:sz w:val="22"/>
          <w:szCs w:val="22"/>
        </w:rPr>
      </w:pPr>
      <w:r w:rsidRPr="005D565E">
        <w:rPr>
          <w:sz w:val="22"/>
          <w:szCs w:val="22"/>
        </w:rPr>
        <w:t>Table A. -Ar/ -Ir types and tokens with monosyllabic verbs</w:t>
      </w:r>
    </w:p>
    <w:p w14:paraId="40B18032" w14:textId="77777777" w:rsidR="00AA676D" w:rsidRPr="005D565E" w:rsidRDefault="00AA676D" w:rsidP="00AA676D">
      <w:pPr>
        <w:jc w:val="both"/>
        <w:rPr>
          <w:sz w:val="22"/>
          <w:szCs w:val="22"/>
        </w:rPr>
      </w:pPr>
    </w:p>
    <w:tbl>
      <w:tblPr>
        <w:tblW w:w="8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6"/>
        <w:gridCol w:w="1126"/>
        <w:gridCol w:w="1012"/>
        <w:gridCol w:w="881"/>
        <w:gridCol w:w="984"/>
        <w:gridCol w:w="715"/>
        <w:gridCol w:w="1069"/>
      </w:tblGrid>
      <w:tr w:rsidR="00AA676D" w:rsidRPr="005D565E" w14:paraId="503060AC" w14:textId="77777777" w:rsidTr="00A11625">
        <w:trPr>
          <w:trHeight w:val="108"/>
        </w:trPr>
        <w:tc>
          <w:tcPr>
            <w:tcW w:w="2526" w:type="dxa"/>
            <w:shd w:val="clear" w:color="auto" w:fill="auto"/>
          </w:tcPr>
          <w:p w14:paraId="748FDFCB" w14:textId="77777777" w:rsidR="00AA676D" w:rsidRPr="005D565E" w:rsidRDefault="00AA676D" w:rsidP="00A1162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Monosyllabic verbs</w:t>
            </w:r>
          </w:p>
        </w:tc>
        <w:tc>
          <w:tcPr>
            <w:tcW w:w="2138" w:type="dxa"/>
            <w:gridSpan w:val="2"/>
            <w:shd w:val="clear" w:color="auto" w:fill="auto"/>
          </w:tcPr>
          <w:p w14:paraId="4E896296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-Ar</w:t>
            </w:r>
          </w:p>
        </w:tc>
        <w:tc>
          <w:tcPr>
            <w:tcW w:w="1865" w:type="dxa"/>
            <w:gridSpan w:val="2"/>
            <w:shd w:val="clear" w:color="auto" w:fill="auto"/>
          </w:tcPr>
          <w:p w14:paraId="0797E771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-Ir</w:t>
            </w:r>
          </w:p>
        </w:tc>
        <w:tc>
          <w:tcPr>
            <w:tcW w:w="1784" w:type="dxa"/>
            <w:gridSpan w:val="2"/>
            <w:shd w:val="clear" w:color="auto" w:fill="auto"/>
          </w:tcPr>
          <w:p w14:paraId="69969072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Total</w:t>
            </w:r>
          </w:p>
        </w:tc>
      </w:tr>
      <w:tr w:rsidR="00AA676D" w:rsidRPr="005D565E" w14:paraId="2F39D869" w14:textId="77777777" w:rsidTr="00A11625">
        <w:tc>
          <w:tcPr>
            <w:tcW w:w="2526" w:type="dxa"/>
            <w:shd w:val="clear" w:color="auto" w:fill="auto"/>
          </w:tcPr>
          <w:p w14:paraId="6AF9789A" w14:textId="77777777" w:rsidR="00AA676D" w:rsidRPr="005D565E" w:rsidRDefault="00AA676D" w:rsidP="00A11625">
            <w:pPr>
              <w:rPr>
                <w:b/>
                <w:sz w:val="20"/>
                <w:szCs w:val="20"/>
              </w:rPr>
            </w:pPr>
            <w:r w:rsidRPr="005D565E">
              <w:rPr>
                <w:b/>
                <w:sz w:val="20"/>
                <w:szCs w:val="20"/>
              </w:rPr>
              <w:t>Consonant-ending</w:t>
            </w:r>
          </w:p>
        </w:tc>
        <w:tc>
          <w:tcPr>
            <w:tcW w:w="1126" w:type="dxa"/>
            <w:shd w:val="clear" w:color="auto" w:fill="auto"/>
          </w:tcPr>
          <w:p w14:paraId="7F94AF24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Type</w:t>
            </w:r>
          </w:p>
        </w:tc>
        <w:tc>
          <w:tcPr>
            <w:tcW w:w="1012" w:type="dxa"/>
            <w:shd w:val="clear" w:color="auto" w:fill="auto"/>
          </w:tcPr>
          <w:p w14:paraId="060FFA62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Token frequency per million</w:t>
            </w:r>
          </w:p>
        </w:tc>
        <w:tc>
          <w:tcPr>
            <w:tcW w:w="881" w:type="dxa"/>
            <w:shd w:val="clear" w:color="auto" w:fill="auto"/>
          </w:tcPr>
          <w:p w14:paraId="2E053049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Type</w:t>
            </w:r>
          </w:p>
        </w:tc>
        <w:tc>
          <w:tcPr>
            <w:tcW w:w="984" w:type="dxa"/>
            <w:shd w:val="clear" w:color="auto" w:fill="auto"/>
          </w:tcPr>
          <w:p w14:paraId="181A1A38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Token frequency per million</w:t>
            </w:r>
          </w:p>
        </w:tc>
        <w:tc>
          <w:tcPr>
            <w:tcW w:w="715" w:type="dxa"/>
            <w:shd w:val="clear" w:color="auto" w:fill="auto"/>
          </w:tcPr>
          <w:p w14:paraId="3C6C8493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Type</w:t>
            </w:r>
          </w:p>
        </w:tc>
        <w:tc>
          <w:tcPr>
            <w:tcW w:w="1069" w:type="dxa"/>
            <w:shd w:val="clear" w:color="auto" w:fill="auto"/>
          </w:tcPr>
          <w:p w14:paraId="2A26D804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Token frequency per million</w:t>
            </w:r>
          </w:p>
        </w:tc>
      </w:tr>
      <w:tr w:rsidR="00AA676D" w:rsidRPr="005D565E" w14:paraId="669FD18A" w14:textId="77777777" w:rsidTr="00A11625">
        <w:tc>
          <w:tcPr>
            <w:tcW w:w="2526" w:type="dxa"/>
            <w:shd w:val="clear" w:color="auto" w:fill="auto"/>
          </w:tcPr>
          <w:p w14:paraId="59300E82" w14:textId="77777777" w:rsidR="00AA676D" w:rsidRPr="005D565E" w:rsidRDefault="00AA676D" w:rsidP="00A11625">
            <w:pPr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 xml:space="preserve">      </w:t>
            </w:r>
            <w:proofErr w:type="gramStart"/>
            <w:r w:rsidRPr="005D565E">
              <w:rPr>
                <w:sz w:val="20"/>
                <w:szCs w:val="20"/>
              </w:rPr>
              <w:t>sonorant</w:t>
            </w:r>
            <w:proofErr w:type="gramEnd"/>
            <w:r w:rsidRPr="005D56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</w:tcPr>
          <w:p w14:paraId="23A96D51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47</w:t>
            </w:r>
          </w:p>
        </w:tc>
        <w:tc>
          <w:tcPr>
            <w:tcW w:w="1012" w:type="dxa"/>
          </w:tcPr>
          <w:p w14:paraId="35D378F8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310</w:t>
            </w:r>
          </w:p>
        </w:tc>
        <w:tc>
          <w:tcPr>
            <w:tcW w:w="881" w:type="dxa"/>
          </w:tcPr>
          <w:p w14:paraId="0CD492F2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13</w:t>
            </w:r>
          </w:p>
        </w:tc>
        <w:tc>
          <w:tcPr>
            <w:tcW w:w="984" w:type="dxa"/>
          </w:tcPr>
          <w:p w14:paraId="52160104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1863</w:t>
            </w:r>
          </w:p>
        </w:tc>
        <w:tc>
          <w:tcPr>
            <w:tcW w:w="715" w:type="dxa"/>
          </w:tcPr>
          <w:p w14:paraId="3131CBA6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60</w:t>
            </w:r>
          </w:p>
        </w:tc>
        <w:tc>
          <w:tcPr>
            <w:tcW w:w="1069" w:type="dxa"/>
          </w:tcPr>
          <w:p w14:paraId="5E5E66EF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2173</w:t>
            </w:r>
          </w:p>
        </w:tc>
      </w:tr>
      <w:tr w:rsidR="00AA676D" w:rsidRPr="005D565E" w14:paraId="1DE15C38" w14:textId="77777777" w:rsidTr="00A11625">
        <w:tc>
          <w:tcPr>
            <w:tcW w:w="2526" w:type="dxa"/>
            <w:shd w:val="clear" w:color="auto" w:fill="auto"/>
          </w:tcPr>
          <w:p w14:paraId="1C36787F" w14:textId="77777777" w:rsidR="00AA676D" w:rsidRPr="005D565E" w:rsidRDefault="00AA676D" w:rsidP="00A11625">
            <w:pPr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 xml:space="preserve">      </w:t>
            </w:r>
            <w:proofErr w:type="gramStart"/>
            <w:r w:rsidRPr="005D565E">
              <w:rPr>
                <w:sz w:val="20"/>
                <w:szCs w:val="20"/>
              </w:rPr>
              <w:t>non</w:t>
            </w:r>
            <w:proofErr w:type="gramEnd"/>
            <w:r w:rsidRPr="005D565E">
              <w:rPr>
                <w:sz w:val="20"/>
                <w:szCs w:val="20"/>
              </w:rPr>
              <w:t xml:space="preserve">-sonorant  </w:t>
            </w:r>
          </w:p>
        </w:tc>
        <w:tc>
          <w:tcPr>
            <w:tcW w:w="1126" w:type="dxa"/>
          </w:tcPr>
          <w:p w14:paraId="70B9600C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169</w:t>
            </w:r>
          </w:p>
        </w:tc>
        <w:tc>
          <w:tcPr>
            <w:tcW w:w="1012" w:type="dxa"/>
          </w:tcPr>
          <w:p w14:paraId="12A6AA3E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1851</w:t>
            </w:r>
          </w:p>
        </w:tc>
        <w:tc>
          <w:tcPr>
            <w:tcW w:w="881" w:type="dxa"/>
          </w:tcPr>
          <w:p w14:paraId="1EDDC5FF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14:paraId="3D018754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0</w:t>
            </w:r>
          </w:p>
        </w:tc>
        <w:tc>
          <w:tcPr>
            <w:tcW w:w="715" w:type="dxa"/>
          </w:tcPr>
          <w:p w14:paraId="7EB16420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169</w:t>
            </w:r>
          </w:p>
        </w:tc>
        <w:tc>
          <w:tcPr>
            <w:tcW w:w="1069" w:type="dxa"/>
          </w:tcPr>
          <w:p w14:paraId="765B0BD2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1856</w:t>
            </w:r>
          </w:p>
        </w:tc>
      </w:tr>
      <w:tr w:rsidR="00AA676D" w:rsidRPr="005D565E" w14:paraId="6970292E" w14:textId="77777777" w:rsidTr="00A11625">
        <w:tc>
          <w:tcPr>
            <w:tcW w:w="2526" w:type="dxa"/>
            <w:shd w:val="clear" w:color="auto" w:fill="auto"/>
          </w:tcPr>
          <w:p w14:paraId="699B9D98" w14:textId="77777777" w:rsidR="00AA676D" w:rsidRPr="005D565E" w:rsidRDefault="00AA676D" w:rsidP="00A11625">
            <w:pPr>
              <w:rPr>
                <w:b/>
                <w:sz w:val="20"/>
                <w:szCs w:val="20"/>
              </w:rPr>
            </w:pPr>
            <w:r w:rsidRPr="005D565E">
              <w:rPr>
                <w:b/>
                <w:sz w:val="20"/>
                <w:szCs w:val="20"/>
              </w:rPr>
              <w:t xml:space="preserve">Vowel-ending </w:t>
            </w:r>
          </w:p>
        </w:tc>
        <w:tc>
          <w:tcPr>
            <w:tcW w:w="1126" w:type="dxa"/>
            <w:shd w:val="clear" w:color="auto" w:fill="auto"/>
          </w:tcPr>
          <w:p w14:paraId="11F9B47A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338D6125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auto"/>
          </w:tcPr>
          <w:p w14:paraId="51D4A474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65B5D213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14:paraId="0B491E3D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</w:tcPr>
          <w:p w14:paraId="0F19BCE4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A676D" w:rsidRPr="005D565E" w14:paraId="1AF3B884" w14:textId="77777777" w:rsidTr="00A11625">
        <w:trPr>
          <w:trHeight w:val="187"/>
        </w:trPr>
        <w:tc>
          <w:tcPr>
            <w:tcW w:w="2526" w:type="dxa"/>
            <w:shd w:val="clear" w:color="auto" w:fill="auto"/>
          </w:tcPr>
          <w:p w14:paraId="0EE8A5F3" w14:textId="77777777" w:rsidR="00AA676D" w:rsidRPr="005D565E" w:rsidRDefault="00AA676D" w:rsidP="00A11625">
            <w:pPr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 xml:space="preserve">       Non-high vowel </w:t>
            </w:r>
          </w:p>
        </w:tc>
        <w:tc>
          <w:tcPr>
            <w:tcW w:w="1126" w:type="dxa"/>
          </w:tcPr>
          <w:p w14:paraId="0E3325C2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2</w:t>
            </w:r>
            <w:r w:rsidRPr="005D565E">
              <w:rPr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012" w:type="dxa"/>
          </w:tcPr>
          <w:p w14:paraId="5B3C4C15" w14:textId="77777777" w:rsidR="00AA676D" w:rsidRPr="005D565E" w:rsidRDefault="00AA676D" w:rsidP="00A11625">
            <w:pPr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133</w:t>
            </w:r>
          </w:p>
        </w:tc>
        <w:tc>
          <w:tcPr>
            <w:tcW w:w="881" w:type="dxa"/>
          </w:tcPr>
          <w:p w14:paraId="333F9BD8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14:paraId="2A4A7B9F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0</w:t>
            </w:r>
          </w:p>
        </w:tc>
        <w:tc>
          <w:tcPr>
            <w:tcW w:w="715" w:type="dxa"/>
          </w:tcPr>
          <w:p w14:paraId="0675478D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2</w:t>
            </w:r>
          </w:p>
        </w:tc>
        <w:tc>
          <w:tcPr>
            <w:tcW w:w="1069" w:type="dxa"/>
          </w:tcPr>
          <w:p w14:paraId="5C4695F5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133</w:t>
            </w:r>
          </w:p>
        </w:tc>
      </w:tr>
      <w:tr w:rsidR="00AA676D" w:rsidRPr="005D565E" w14:paraId="73BFC146" w14:textId="77777777" w:rsidTr="00A11625">
        <w:trPr>
          <w:trHeight w:val="186"/>
        </w:trPr>
        <w:tc>
          <w:tcPr>
            <w:tcW w:w="2526" w:type="dxa"/>
            <w:shd w:val="clear" w:color="auto" w:fill="auto"/>
          </w:tcPr>
          <w:p w14:paraId="12FA51A2" w14:textId="77777777" w:rsidR="00AA676D" w:rsidRPr="005D565E" w:rsidRDefault="00AA676D" w:rsidP="00A11625">
            <w:pPr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 xml:space="preserve">       High-vowel </w:t>
            </w:r>
          </w:p>
        </w:tc>
        <w:tc>
          <w:tcPr>
            <w:tcW w:w="1126" w:type="dxa"/>
          </w:tcPr>
          <w:p w14:paraId="281A77BD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0</w:t>
            </w:r>
          </w:p>
        </w:tc>
        <w:tc>
          <w:tcPr>
            <w:tcW w:w="1012" w:type="dxa"/>
          </w:tcPr>
          <w:p w14:paraId="1A7056DE" w14:textId="77777777" w:rsidR="00AA676D" w:rsidRPr="005D565E" w:rsidRDefault="00AA676D" w:rsidP="00A11625">
            <w:pPr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</w:tcPr>
          <w:p w14:paraId="62C147E1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14:paraId="2BEF7CA6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0</w:t>
            </w:r>
          </w:p>
        </w:tc>
        <w:tc>
          <w:tcPr>
            <w:tcW w:w="715" w:type="dxa"/>
          </w:tcPr>
          <w:p w14:paraId="1D8DB417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0</w:t>
            </w:r>
          </w:p>
        </w:tc>
        <w:tc>
          <w:tcPr>
            <w:tcW w:w="1069" w:type="dxa"/>
          </w:tcPr>
          <w:p w14:paraId="60428A47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0</w:t>
            </w:r>
          </w:p>
        </w:tc>
      </w:tr>
      <w:tr w:rsidR="00AA676D" w:rsidRPr="005D565E" w14:paraId="3B94A4B0" w14:textId="77777777" w:rsidTr="00A11625">
        <w:trPr>
          <w:trHeight w:val="316"/>
        </w:trPr>
        <w:tc>
          <w:tcPr>
            <w:tcW w:w="2526" w:type="dxa"/>
            <w:shd w:val="clear" w:color="auto" w:fill="D9D9D9"/>
          </w:tcPr>
          <w:p w14:paraId="1E668175" w14:textId="77777777" w:rsidR="00AA676D" w:rsidRPr="005D565E" w:rsidRDefault="00AA676D" w:rsidP="00A11625">
            <w:pPr>
              <w:rPr>
                <w:b/>
                <w:sz w:val="20"/>
                <w:szCs w:val="20"/>
              </w:rPr>
            </w:pPr>
            <w:r w:rsidRPr="005D565E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126" w:type="dxa"/>
            <w:shd w:val="clear" w:color="auto" w:fill="D9D9D9"/>
          </w:tcPr>
          <w:p w14:paraId="5D81360D" w14:textId="77777777" w:rsidR="00AA676D" w:rsidRPr="005D565E" w:rsidRDefault="00AA676D" w:rsidP="00A11625">
            <w:pPr>
              <w:keepNext/>
              <w:tabs>
                <w:tab w:val="center" w:pos="458"/>
              </w:tabs>
              <w:spacing w:line="276" w:lineRule="auto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ab/>
              <w:t>218</w:t>
            </w:r>
          </w:p>
        </w:tc>
        <w:tc>
          <w:tcPr>
            <w:tcW w:w="1012" w:type="dxa"/>
            <w:shd w:val="clear" w:color="auto" w:fill="D9D9D9"/>
          </w:tcPr>
          <w:p w14:paraId="410374AD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2294</w:t>
            </w:r>
          </w:p>
        </w:tc>
        <w:tc>
          <w:tcPr>
            <w:tcW w:w="881" w:type="dxa"/>
            <w:shd w:val="clear" w:color="auto" w:fill="D9D9D9"/>
          </w:tcPr>
          <w:p w14:paraId="3C9FF687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13</w:t>
            </w:r>
          </w:p>
        </w:tc>
        <w:tc>
          <w:tcPr>
            <w:tcW w:w="984" w:type="dxa"/>
            <w:shd w:val="clear" w:color="auto" w:fill="D9D9D9"/>
          </w:tcPr>
          <w:p w14:paraId="5FC15F2D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1863</w:t>
            </w:r>
          </w:p>
        </w:tc>
        <w:tc>
          <w:tcPr>
            <w:tcW w:w="715" w:type="dxa"/>
            <w:shd w:val="clear" w:color="auto" w:fill="D9D9D9"/>
          </w:tcPr>
          <w:p w14:paraId="186D1BCA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231</w:t>
            </w:r>
          </w:p>
        </w:tc>
        <w:tc>
          <w:tcPr>
            <w:tcW w:w="1069" w:type="dxa"/>
            <w:shd w:val="clear" w:color="auto" w:fill="D9D9D9"/>
          </w:tcPr>
          <w:p w14:paraId="2CCFD114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4162</w:t>
            </w:r>
          </w:p>
        </w:tc>
      </w:tr>
    </w:tbl>
    <w:p w14:paraId="507EC529" w14:textId="77777777" w:rsidR="00AA676D" w:rsidRPr="005D565E" w:rsidRDefault="00AA676D" w:rsidP="00AA67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Liberation Serif" w:eastAsia="Liberation Serif" w:hAnsi="Liberation Serif" w:cs="Liberation Serif"/>
          <w:sz w:val="22"/>
          <w:szCs w:val="22"/>
        </w:rPr>
      </w:pPr>
    </w:p>
    <w:p w14:paraId="2A5E8BD7" w14:textId="77777777" w:rsidR="00AA676D" w:rsidRPr="005D565E" w:rsidRDefault="00AA676D" w:rsidP="00AA676D">
      <w:pPr>
        <w:pBdr>
          <w:bottom w:val="single" w:sz="4" w:space="1" w:color="000000"/>
        </w:pBdr>
        <w:spacing w:line="480" w:lineRule="auto"/>
        <w:jc w:val="both"/>
        <w:rPr>
          <w:b/>
          <w:sz w:val="22"/>
          <w:szCs w:val="22"/>
        </w:rPr>
      </w:pPr>
      <w:r w:rsidRPr="005D565E">
        <w:rPr>
          <w:sz w:val="22"/>
          <w:szCs w:val="22"/>
        </w:rPr>
        <w:t>Table B. -Ar/ -Ir types and tokens with multisyllabic verbs</w:t>
      </w:r>
    </w:p>
    <w:p w14:paraId="082777B3" w14:textId="77777777" w:rsidR="00AA676D" w:rsidRPr="005D565E" w:rsidRDefault="00AA676D" w:rsidP="00AA676D">
      <w:pPr>
        <w:jc w:val="both"/>
        <w:rPr>
          <w:sz w:val="22"/>
          <w:szCs w:val="22"/>
        </w:rPr>
      </w:pPr>
    </w:p>
    <w:tbl>
      <w:tblPr>
        <w:tblW w:w="8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30"/>
        <w:gridCol w:w="1056"/>
        <w:gridCol w:w="1020"/>
        <w:gridCol w:w="730"/>
        <w:gridCol w:w="1020"/>
        <w:gridCol w:w="792"/>
        <w:gridCol w:w="1065"/>
      </w:tblGrid>
      <w:tr w:rsidR="00AA676D" w:rsidRPr="005D565E" w14:paraId="204CC993" w14:textId="77777777" w:rsidTr="00A11625">
        <w:trPr>
          <w:trHeight w:val="108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7B12B" w14:textId="77777777" w:rsidR="00AA676D" w:rsidRPr="005D565E" w:rsidRDefault="00AA676D" w:rsidP="00A1162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5D565E">
              <w:rPr>
                <w:b/>
                <w:sz w:val="20"/>
                <w:szCs w:val="20"/>
              </w:rPr>
              <w:t>Multisyllabic roots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49FBB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b/>
                <w:sz w:val="20"/>
                <w:szCs w:val="20"/>
              </w:rPr>
              <w:t>-Ar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08BFE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b/>
                <w:sz w:val="20"/>
                <w:szCs w:val="20"/>
              </w:rPr>
              <w:t>-Ir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77EEB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b/>
                <w:sz w:val="20"/>
                <w:szCs w:val="20"/>
              </w:rPr>
              <w:t>Total</w:t>
            </w:r>
          </w:p>
        </w:tc>
      </w:tr>
      <w:tr w:rsidR="00AA676D" w:rsidRPr="005D565E" w14:paraId="1DAE4E2F" w14:textId="77777777" w:rsidTr="00A11625">
        <w:trPr>
          <w:trHeight w:val="1042"/>
        </w:trPr>
        <w:tc>
          <w:tcPr>
            <w:tcW w:w="2630" w:type="dxa"/>
            <w:tcBorders>
              <w:top w:val="single" w:sz="4" w:space="0" w:color="000000"/>
            </w:tcBorders>
            <w:shd w:val="clear" w:color="auto" w:fill="auto"/>
          </w:tcPr>
          <w:p w14:paraId="3CDDDBD4" w14:textId="77777777" w:rsidR="00AA676D" w:rsidRPr="005D565E" w:rsidRDefault="00AA676D" w:rsidP="00A11625">
            <w:pPr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 xml:space="preserve">Consonant-ending </w:t>
            </w:r>
          </w:p>
        </w:tc>
        <w:tc>
          <w:tcPr>
            <w:tcW w:w="1056" w:type="dxa"/>
            <w:tcBorders>
              <w:top w:val="single" w:sz="4" w:space="0" w:color="000000"/>
            </w:tcBorders>
            <w:shd w:val="clear" w:color="auto" w:fill="auto"/>
          </w:tcPr>
          <w:p w14:paraId="26471C2C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Type</w:t>
            </w:r>
          </w:p>
        </w:tc>
        <w:tc>
          <w:tcPr>
            <w:tcW w:w="1020" w:type="dxa"/>
            <w:tcBorders>
              <w:top w:val="single" w:sz="4" w:space="0" w:color="000000"/>
            </w:tcBorders>
            <w:shd w:val="clear" w:color="auto" w:fill="auto"/>
          </w:tcPr>
          <w:p w14:paraId="11109AC1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Token frequency per million</w:t>
            </w:r>
          </w:p>
        </w:tc>
        <w:tc>
          <w:tcPr>
            <w:tcW w:w="730" w:type="dxa"/>
            <w:tcBorders>
              <w:top w:val="single" w:sz="4" w:space="0" w:color="000000"/>
            </w:tcBorders>
            <w:shd w:val="clear" w:color="auto" w:fill="auto"/>
          </w:tcPr>
          <w:p w14:paraId="450D9EA0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Type</w:t>
            </w:r>
          </w:p>
        </w:tc>
        <w:tc>
          <w:tcPr>
            <w:tcW w:w="1020" w:type="dxa"/>
            <w:tcBorders>
              <w:top w:val="single" w:sz="4" w:space="0" w:color="000000"/>
            </w:tcBorders>
            <w:shd w:val="clear" w:color="auto" w:fill="auto"/>
          </w:tcPr>
          <w:p w14:paraId="368B4907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Token frequency per million</w:t>
            </w:r>
          </w:p>
        </w:tc>
        <w:tc>
          <w:tcPr>
            <w:tcW w:w="792" w:type="dxa"/>
            <w:tcBorders>
              <w:top w:val="single" w:sz="4" w:space="0" w:color="000000"/>
            </w:tcBorders>
            <w:shd w:val="clear" w:color="auto" w:fill="auto"/>
          </w:tcPr>
          <w:p w14:paraId="187D5069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Type</w:t>
            </w:r>
          </w:p>
        </w:tc>
        <w:tc>
          <w:tcPr>
            <w:tcW w:w="1065" w:type="dxa"/>
            <w:tcBorders>
              <w:top w:val="single" w:sz="4" w:space="0" w:color="000000"/>
            </w:tcBorders>
            <w:shd w:val="clear" w:color="auto" w:fill="auto"/>
          </w:tcPr>
          <w:p w14:paraId="1A828ED5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Token frequency per million</w:t>
            </w:r>
          </w:p>
        </w:tc>
      </w:tr>
      <w:tr w:rsidR="00AA676D" w:rsidRPr="005D565E" w14:paraId="24FD31D3" w14:textId="77777777" w:rsidTr="00A11625">
        <w:tc>
          <w:tcPr>
            <w:tcW w:w="2630" w:type="dxa"/>
            <w:shd w:val="clear" w:color="auto" w:fill="auto"/>
          </w:tcPr>
          <w:p w14:paraId="42FA1B85" w14:textId="77777777" w:rsidR="00AA676D" w:rsidRPr="005D565E" w:rsidRDefault="00AA676D" w:rsidP="00A11625">
            <w:pPr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 xml:space="preserve">              </w:t>
            </w:r>
            <w:r w:rsidRPr="005D565E">
              <w:rPr>
                <w:b/>
                <w:sz w:val="20"/>
                <w:szCs w:val="20"/>
              </w:rPr>
              <w:t xml:space="preserve">Sonorant </w:t>
            </w:r>
          </w:p>
        </w:tc>
        <w:tc>
          <w:tcPr>
            <w:tcW w:w="1056" w:type="dxa"/>
            <w:shd w:val="clear" w:color="auto" w:fill="auto"/>
          </w:tcPr>
          <w:p w14:paraId="0FFE8ADF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shd w:val="clear" w:color="auto" w:fill="auto"/>
          </w:tcPr>
          <w:p w14:paraId="3322406A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.1</w:t>
            </w:r>
          </w:p>
        </w:tc>
        <w:tc>
          <w:tcPr>
            <w:tcW w:w="730" w:type="dxa"/>
            <w:shd w:val="clear" w:color="auto" w:fill="auto"/>
          </w:tcPr>
          <w:p w14:paraId="440DED36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7976</w:t>
            </w:r>
          </w:p>
        </w:tc>
        <w:tc>
          <w:tcPr>
            <w:tcW w:w="1020" w:type="dxa"/>
            <w:shd w:val="clear" w:color="auto" w:fill="auto"/>
          </w:tcPr>
          <w:p w14:paraId="65520E20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4992</w:t>
            </w:r>
          </w:p>
        </w:tc>
        <w:tc>
          <w:tcPr>
            <w:tcW w:w="792" w:type="dxa"/>
            <w:shd w:val="clear" w:color="auto" w:fill="auto"/>
          </w:tcPr>
          <w:p w14:paraId="17F4D5D7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7977</w:t>
            </w:r>
          </w:p>
        </w:tc>
        <w:tc>
          <w:tcPr>
            <w:tcW w:w="1065" w:type="dxa"/>
            <w:shd w:val="clear" w:color="auto" w:fill="auto"/>
          </w:tcPr>
          <w:p w14:paraId="26BC6862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4992</w:t>
            </w:r>
          </w:p>
        </w:tc>
      </w:tr>
      <w:tr w:rsidR="00AA676D" w:rsidRPr="005D565E" w14:paraId="4784D602" w14:textId="77777777" w:rsidTr="00A11625">
        <w:tc>
          <w:tcPr>
            <w:tcW w:w="2630" w:type="dxa"/>
            <w:shd w:val="clear" w:color="auto" w:fill="auto"/>
          </w:tcPr>
          <w:p w14:paraId="206D244D" w14:textId="77777777" w:rsidR="00AA676D" w:rsidRPr="005D565E" w:rsidRDefault="00AA676D" w:rsidP="00A11625">
            <w:pPr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 xml:space="preserve">              </w:t>
            </w:r>
            <w:r w:rsidRPr="005D565E">
              <w:rPr>
                <w:b/>
                <w:sz w:val="20"/>
                <w:szCs w:val="20"/>
              </w:rPr>
              <w:t xml:space="preserve">Non-sonorant </w:t>
            </w:r>
          </w:p>
        </w:tc>
        <w:tc>
          <w:tcPr>
            <w:tcW w:w="1056" w:type="dxa"/>
            <w:shd w:val="clear" w:color="auto" w:fill="auto"/>
          </w:tcPr>
          <w:p w14:paraId="16165DBD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88</w:t>
            </w:r>
            <w:r w:rsidRPr="005D565E">
              <w:rPr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1020" w:type="dxa"/>
            <w:shd w:val="clear" w:color="auto" w:fill="auto"/>
          </w:tcPr>
          <w:p w14:paraId="7316E53D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101</w:t>
            </w:r>
          </w:p>
        </w:tc>
        <w:tc>
          <w:tcPr>
            <w:tcW w:w="730" w:type="dxa"/>
            <w:shd w:val="clear" w:color="auto" w:fill="auto"/>
          </w:tcPr>
          <w:p w14:paraId="50653D3C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1393</w:t>
            </w:r>
          </w:p>
        </w:tc>
        <w:tc>
          <w:tcPr>
            <w:tcW w:w="1020" w:type="dxa"/>
            <w:shd w:val="clear" w:color="auto" w:fill="auto"/>
          </w:tcPr>
          <w:p w14:paraId="56EB0C2C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1006</w:t>
            </w:r>
          </w:p>
        </w:tc>
        <w:tc>
          <w:tcPr>
            <w:tcW w:w="792" w:type="dxa"/>
            <w:shd w:val="clear" w:color="auto" w:fill="auto"/>
          </w:tcPr>
          <w:p w14:paraId="123EEAF9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1481</w:t>
            </w:r>
          </w:p>
        </w:tc>
        <w:tc>
          <w:tcPr>
            <w:tcW w:w="1065" w:type="dxa"/>
            <w:shd w:val="clear" w:color="auto" w:fill="auto"/>
          </w:tcPr>
          <w:p w14:paraId="12C91705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1107</w:t>
            </w:r>
          </w:p>
        </w:tc>
      </w:tr>
      <w:tr w:rsidR="00AA676D" w:rsidRPr="005D565E" w14:paraId="11133EC6" w14:textId="77777777" w:rsidTr="00A11625">
        <w:tc>
          <w:tcPr>
            <w:tcW w:w="2630" w:type="dxa"/>
            <w:shd w:val="clear" w:color="auto" w:fill="auto"/>
          </w:tcPr>
          <w:p w14:paraId="4E12F799" w14:textId="77777777" w:rsidR="00AA676D" w:rsidRPr="005D565E" w:rsidRDefault="00AA676D" w:rsidP="00A11625">
            <w:pPr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 xml:space="preserve">Vowel-ending </w:t>
            </w:r>
          </w:p>
        </w:tc>
        <w:tc>
          <w:tcPr>
            <w:tcW w:w="1056" w:type="dxa"/>
            <w:shd w:val="clear" w:color="auto" w:fill="auto"/>
          </w:tcPr>
          <w:p w14:paraId="48B17F80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5C751FF3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auto"/>
          </w:tcPr>
          <w:p w14:paraId="14578DF0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7DECEFCC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14:paraId="05B86D7C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14:paraId="0F4CD1A4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A676D" w:rsidRPr="005D565E" w14:paraId="45CCAE52" w14:textId="77777777" w:rsidTr="00A11625">
        <w:tc>
          <w:tcPr>
            <w:tcW w:w="2630" w:type="dxa"/>
            <w:shd w:val="clear" w:color="auto" w:fill="FFFFFF"/>
          </w:tcPr>
          <w:p w14:paraId="2A5BDC44" w14:textId="77777777" w:rsidR="00AA676D" w:rsidRPr="005D565E" w:rsidRDefault="00AA676D" w:rsidP="00A11625">
            <w:pPr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 xml:space="preserve">             </w:t>
            </w:r>
            <w:r w:rsidRPr="005D565E">
              <w:rPr>
                <w:b/>
                <w:sz w:val="20"/>
                <w:szCs w:val="20"/>
              </w:rPr>
              <w:t>High vowel</w:t>
            </w:r>
          </w:p>
        </w:tc>
        <w:tc>
          <w:tcPr>
            <w:tcW w:w="1056" w:type="dxa"/>
            <w:shd w:val="clear" w:color="auto" w:fill="FFFFFF"/>
          </w:tcPr>
          <w:p w14:paraId="211DE83C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0</w:t>
            </w:r>
          </w:p>
        </w:tc>
        <w:tc>
          <w:tcPr>
            <w:tcW w:w="1020" w:type="dxa"/>
            <w:shd w:val="clear" w:color="auto" w:fill="FFFFFF"/>
          </w:tcPr>
          <w:p w14:paraId="1362FCDF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14:paraId="578BBDE5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51</w:t>
            </w:r>
          </w:p>
        </w:tc>
        <w:tc>
          <w:tcPr>
            <w:tcW w:w="1020" w:type="dxa"/>
            <w:shd w:val="clear" w:color="auto" w:fill="FFFFFF"/>
          </w:tcPr>
          <w:p w14:paraId="2700CD97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137</w:t>
            </w:r>
          </w:p>
        </w:tc>
        <w:tc>
          <w:tcPr>
            <w:tcW w:w="792" w:type="dxa"/>
            <w:shd w:val="clear" w:color="auto" w:fill="FFFFFF"/>
          </w:tcPr>
          <w:p w14:paraId="64DBD3B3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51</w:t>
            </w:r>
          </w:p>
        </w:tc>
        <w:tc>
          <w:tcPr>
            <w:tcW w:w="1065" w:type="dxa"/>
            <w:shd w:val="clear" w:color="auto" w:fill="FFFFFF"/>
          </w:tcPr>
          <w:p w14:paraId="60555C8E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137</w:t>
            </w:r>
          </w:p>
        </w:tc>
      </w:tr>
      <w:tr w:rsidR="00AA676D" w:rsidRPr="005D565E" w14:paraId="1036BF3A" w14:textId="77777777" w:rsidTr="00A11625">
        <w:tc>
          <w:tcPr>
            <w:tcW w:w="2630" w:type="dxa"/>
            <w:shd w:val="clear" w:color="auto" w:fill="FFFFFF"/>
          </w:tcPr>
          <w:p w14:paraId="5848477F" w14:textId="77777777" w:rsidR="00AA676D" w:rsidRPr="005D565E" w:rsidRDefault="00AA676D" w:rsidP="00A11625">
            <w:pPr>
              <w:rPr>
                <w:sz w:val="20"/>
                <w:szCs w:val="20"/>
              </w:rPr>
            </w:pPr>
            <w:r w:rsidRPr="005D565E">
              <w:rPr>
                <w:b/>
                <w:sz w:val="20"/>
                <w:szCs w:val="20"/>
              </w:rPr>
              <w:t xml:space="preserve">             Non-high vowel</w:t>
            </w:r>
          </w:p>
        </w:tc>
        <w:tc>
          <w:tcPr>
            <w:tcW w:w="1056" w:type="dxa"/>
            <w:shd w:val="clear" w:color="auto" w:fill="FFFFFF"/>
          </w:tcPr>
          <w:p w14:paraId="67EBA674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693</w:t>
            </w:r>
          </w:p>
        </w:tc>
        <w:tc>
          <w:tcPr>
            <w:tcW w:w="1020" w:type="dxa"/>
            <w:shd w:val="clear" w:color="auto" w:fill="FFFFFF"/>
          </w:tcPr>
          <w:p w14:paraId="565DAFBE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1224</w:t>
            </w:r>
          </w:p>
        </w:tc>
        <w:tc>
          <w:tcPr>
            <w:tcW w:w="730" w:type="dxa"/>
            <w:shd w:val="clear" w:color="auto" w:fill="FFFFFF"/>
          </w:tcPr>
          <w:p w14:paraId="632BF2AC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0</w:t>
            </w:r>
          </w:p>
        </w:tc>
        <w:tc>
          <w:tcPr>
            <w:tcW w:w="1020" w:type="dxa"/>
            <w:shd w:val="clear" w:color="auto" w:fill="FFFFFF"/>
          </w:tcPr>
          <w:p w14:paraId="2809AAD8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  <w:shd w:val="clear" w:color="auto" w:fill="FFFFFF"/>
          </w:tcPr>
          <w:p w14:paraId="15EBEBB3" w14:textId="77777777" w:rsidR="00AA676D" w:rsidRPr="005D565E" w:rsidRDefault="00AA676D" w:rsidP="00A11625">
            <w:pPr>
              <w:keepNext/>
              <w:spacing w:line="276" w:lineRule="auto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 xml:space="preserve"> 693</w:t>
            </w:r>
          </w:p>
        </w:tc>
        <w:tc>
          <w:tcPr>
            <w:tcW w:w="1065" w:type="dxa"/>
            <w:shd w:val="clear" w:color="auto" w:fill="FFFFFF"/>
          </w:tcPr>
          <w:p w14:paraId="16BDF398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1224</w:t>
            </w:r>
          </w:p>
        </w:tc>
      </w:tr>
      <w:tr w:rsidR="00AA676D" w:rsidRPr="005D565E" w14:paraId="1B69C673" w14:textId="77777777" w:rsidTr="00A11625">
        <w:tc>
          <w:tcPr>
            <w:tcW w:w="2630" w:type="dxa"/>
            <w:shd w:val="clear" w:color="auto" w:fill="D9D9D9"/>
          </w:tcPr>
          <w:p w14:paraId="1F52BF9B" w14:textId="77777777" w:rsidR="00AA676D" w:rsidRPr="005D565E" w:rsidRDefault="00AA676D" w:rsidP="00A11625">
            <w:pPr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Total</w:t>
            </w:r>
          </w:p>
        </w:tc>
        <w:tc>
          <w:tcPr>
            <w:tcW w:w="1056" w:type="dxa"/>
            <w:shd w:val="clear" w:color="auto" w:fill="D9D9D9"/>
          </w:tcPr>
          <w:p w14:paraId="448D653D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782</w:t>
            </w:r>
          </w:p>
        </w:tc>
        <w:tc>
          <w:tcPr>
            <w:tcW w:w="1020" w:type="dxa"/>
            <w:shd w:val="clear" w:color="auto" w:fill="D9D9D9"/>
          </w:tcPr>
          <w:p w14:paraId="7F71BD62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1325</w:t>
            </w:r>
          </w:p>
        </w:tc>
        <w:tc>
          <w:tcPr>
            <w:tcW w:w="730" w:type="dxa"/>
            <w:shd w:val="clear" w:color="auto" w:fill="D9D9D9"/>
          </w:tcPr>
          <w:p w14:paraId="497B4BD7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9420</w:t>
            </w:r>
          </w:p>
        </w:tc>
        <w:tc>
          <w:tcPr>
            <w:tcW w:w="1020" w:type="dxa"/>
            <w:shd w:val="clear" w:color="auto" w:fill="D9D9D9"/>
          </w:tcPr>
          <w:p w14:paraId="1A195F09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6135</w:t>
            </w:r>
          </w:p>
        </w:tc>
        <w:tc>
          <w:tcPr>
            <w:tcW w:w="792" w:type="dxa"/>
            <w:shd w:val="clear" w:color="auto" w:fill="D9D9D9"/>
          </w:tcPr>
          <w:p w14:paraId="5A5F8D45" w14:textId="77777777" w:rsidR="00AA676D" w:rsidRPr="005D565E" w:rsidRDefault="00AA676D" w:rsidP="00A11625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>10202</w:t>
            </w:r>
          </w:p>
        </w:tc>
        <w:tc>
          <w:tcPr>
            <w:tcW w:w="1065" w:type="dxa"/>
            <w:shd w:val="clear" w:color="auto" w:fill="D9D9D9"/>
          </w:tcPr>
          <w:p w14:paraId="1EBB8854" w14:textId="77777777" w:rsidR="00AA676D" w:rsidRPr="005D565E" w:rsidRDefault="00AA676D" w:rsidP="00A11625">
            <w:pPr>
              <w:keepNext/>
              <w:spacing w:line="276" w:lineRule="auto"/>
              <w:rPr>
                <w:sz w:val="20"/>
                <w:szCs w:val="20"/>
              </w:rPr>
            </w:pPr>
            <w:r w:rsidRPr="005D565E">
              <w:rPr>
                <w:sz w:val="20"/>
                <w:szCs w:val="20"/>
              </w:rPr>
              <w:t xml:space="preserve">     7460</w:t>
            </w:r>
          </w:p>
        </w:tc>
      </w:tr>
    </w:tbl>
    <w:p w14:paraId="43EEEBA4" w14:textId="77777777" w:rsidR="00AA676D" w:rsidRPr="005D565E" w:rsidRDefault="00AA676D" w:rsidP="00AA676D">
      <w:pPr>
        <w:spacing w:line="480" w:lineRule="auto"/>
        <w:jc w:val="both"/>
        <w:rPr>
          <w:b/>
          <w:sz w:val="22"/>
          <w:szCs w:val="22"/>
        </w:rPr>
      </w:pPr>
    </w:p>
    <w:p w14:paraId="3FD2BF74" w14:textId="77777777" w:rsidR="00AA676D" w:rsidRPr="005D565E" w:rsidRDefault="00AA676D" w:rsidP="00AA676D">
      <w:pPr>
        <w:spacing w:line="480" w:lineRule="auto"/>
        <w:jc w:val="both"/>
        <w:rPr>
          <w:b/>
          <w:sz w:val="22"/>
          <w:szCs w:val="22"/>
        </w:rPr>
      </w:pPr>
    </w:p>
    <w:p w14:paraId="1307ACEB" w14:textId="77777777" w:rsidR="00936B43" w:rsidRPr="005D565E" w:rsidRDefault="00936B43">
      <w:bookmarkStart w:id="0" w:name="_GoBack"/>
      <w:bookmarkEnd w:id="0"/>
    </w:p>
    <w:sectPr w:rsidR="00936B43" w:rsidRPr="005D565E" w:rsidSect="00FB214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113F8" w14:textId="77777777" w:rsidR="00AA676D" w:rsidRDefault="00AA676D" w:rsidP="00AA676D">
      <w:r>
        <w:separator/>
      </w:r>
    </w:p>
  </w:endnote>
  <w:endnote w:type="continuationSeparator" w:id="0">
    <w:p w14:paraId="7D8350C4" w14:textId="77777777" w:rsidR="00AA676D" w:rsidRDefault="00AA676D" w:rsidP="00AA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817CCD" w14:textId="77777777" w:rsidR="00AA676D" w:rsidRDefault="00AA676D" w:rsidP="00AA676D">
      <w:r>
        <w:separator/>
      </w:r>
    </w:p>
  </w:footnote>
  <w:footnote w:type="continuationSeparator" w:id="0">
    <w:p w14:paraId="5BDAB437" w14:textId="77777777" w:rsidR="00AA676D" w:rsidRDefault="00AA676D" w:rsidP="00AA676D">
      <w:r>
        <w:continuationSeparator/>
      </w:r>
    </w:p>
  </w:footnote>
  <w:footnote w:id="1">
    <w:p w14:paraId="37547BE0" w14:textId="77777777" w:rsidR="00AA676D" w:rsidRDefault="00AA676D" w:rsidP="00AA676D">
      <w:pPr>
        <w:jc w:val="both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For a more comprehensive frequency count of the monosyllabic and multisyllabic verbs, Michon (2017), treats the non-high vowel-ending verbs when attached the -r affix as -Ar exemplars (e.g., </w:t>
      </w:r>
      <w:r>
        <w:rPr>
          <w:i/>
          <w:color w:val="000000"/>
          <w:sz w:val="20"/>
          <w:szCs w:val="20"/>
        </w:rPr>
        <w:t>ye-r</w:t>
      </w:r>
      <w:r>
        <w:rPr>
          <w:color w:val="000000"/>
          <w:sz w:val="20"/>
          <w:szCs w:val="20"/>
        </w:rPr>
        <w:t xml:space="preserve"> ‘eats’ and </w:t>
      </w:r>
      <w:r>
        <w:rPr>
          <w:i/>
          <w:color w:val="000000"/>
          <w:sz w:val="20"/>
          <w:szCs w:val="20"/>
        </w:rPr>
        <w:t>yakala-r</w:t>
      </w:r>
      <w:r>
        <w:rPr>
          <w:color w:val="000000"/>
          <w:sz w:val="20"/>
          <w:szCs w:val="20"/>
        </w:rPr>
        <w:t xml:space="preserve"> ‘catches’) and high-vowel ending ones as -Ir exemplars (e.g., </w:t>
      </w:r>
      <w:r>
        <w:rPr>
          <w:i/>
          <w:color w:val="000000"/>
          <w:sz w:val="20"/>
          <w:szCs w:val="20"/>
        </w:rPr>
        <w:t>uyu-r</w:t>
      </w:r>
      <w:r>
        <w:rPr>
          <w:color w:val="000000"/>
          <w:sz w:val="20"/>
          <w:szCs w:val="20"/>
        </w:rPr>
        <w:t xml:space="preserve"> ‘sleeps’, </w:t>
      </w:r>
      <w:r>
        <w:rPr>
          <w:i/>
          <w:color w:val="000000"/>
          <w:sz w:val="20"/>
          <w:szCs w:val="20"/>
        </w:rPr>
        <w:t>oku-r</w:t>
      </w:r>
      <w:r>
        <w:rPr>
          <w:color w:val="000000"/>
          <w:sz w:val="20"/>
          <w:szCs w:val="20"/>
        </w:rPr>
        <w:t xml:space="preserve"> ‘reads’). </w:t>
      </w:r>
      <w:r>
        <w:rPr>
          <w:sz w:val="20"/>
          <w:szCs w:val="20"/>
        </w:rPr>
        <w:t xml:space="preserve">There are only two vowel-ending monosyllabic verbs in Turkish, </w:t>
      </w:r>
      <w:r>
        <w:rPr>
          <w:i/>
          <w:sz w:val="20"/>
          <w:szCs w:val="20"/>
        </w:rPr>
        <w:t>de-</w:t>
      </w:r>
      <w:r>
        <w:rPr>
          <w:sz w:val="20"/>
          <w:szCs w:val="20"/>
        </w:rPr>
        <w:t xml:space="preserve"> ‘say’ and </w:t>
      </w:r>
      <w:r>
        <w:rPr>
          <w:i/>
          <w:sz w:val="20"/>
          <w:szCs w:val="20"/>
        </w:rPr>
        <w:t>ye-</w:t>
      </w:r>
      <w:r>
        <w:rPr>
          <w:sz w:val="20"/>
          <w:szCs w:val="20"/>
        </w:rPr>
        <w:t xml:space="preserve"> ‘eat’ which surface as </w:t>
      </w:r>
      <w:r>
        <w:rPr>
          <w:i/>
          <w:sz w:val="20"/>
          <w:szCs w:val="20"/>
        </w:rPr>
        <w:t>de-r</w:t>
      </w:r>
      <w:r>
        <w:rPr>
          <w:sz w:val="20"/>
          <w:szCs w:val="20"/>
        </w:rPr>
        <w:t xml:space="preserve"> and </w:t>
      </w:r>
      <w:r>
        <w:rPr>
          <w:i/>
          <w:sz w:val="20"/>
          <w:szCs w:val="20"/>
        </w:rPr>
        <w:t>ye-r</w:t>
      </w:r>
      <w:r>
        <w:rPr>
          <w:sz w:val="20"/>
          <w:szCs w:val="20"/>
        </w:rPr>
        <w:t xml:space="preserve"> in the aorist. </w:t>
      </w:r>
    </w:p>
  </w:footnote>
  <w:footnote w:id="2">
    <w:p w14:paraId="3F20FEF1" w14:textId="77777777" w:rsidR="00AA676D" w:rsidRDefault="00AA676D" w:rsidP="00AA676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2"/>
          <w:szCs w:val="22"/>
          <w:vertAlign w:val="superscript"/>
        </w:rPr>
        <w:t xml:space="preserve"> </w:t>
      </w:r>
      <w:r>
        <w:rPr>
          <w:color w:val="000000"/>
          <w:sz w:val="20"/>
          <w:szCs w:val="20"/>
        </w:rPr>
        <w:t xml:space="preserve">88 multisyllabic compound verbs constructed with the monosyllabic root </w:t>
      </w:r>
      <w:r>
        <w:rPr>
          <w:i/>
          <w:color w:val="000000"/>
          <w:sz w:val="20"/>
          <w:szCs w:val="20"/>
        </w:rPr>
        <w:t>et-</w:t>
      </w:r>
      <w:r>
        <w:rPr>
          <w:color w:val="000000"/>
          <w:sz w:val="20"/>
          <w:szCs w:val="20"/>
        </w:rPr>
        <w:t xml:space="preserve"> 'do' in Turk</w:t>
      </w:r>
      <w:r>
        <w:rPr>
          <w:sz w:val="20"/>
          <w:szCs w:val="20"/>
        </w:rPr>
        <w:t>ish</w:t>
      </w:r>
      <w:r>
        <w:rPr>
          <w:color w:val="000000"/>
          <w:sz w:val="20"/>
          <w:szCs w:val="20"/>
        </w:rPr>
        <w:t xml:space="preserve">, surface with -Ar, as in </w:t>
      </w:r>
      <w:r>
        <w:rPr>
          <w:i/>
          <w:color w:val="000000"/>
          <w:sz w:val="20"/>
          <w:szCs w:val="20"/>
        </w:rPr>
        <w:t>affet/ affeder</w:t>
      </w:r>
      <w:r>
        <w:rPr>
          <w:color w:val="000000"/>
          <w:sz w:val="20"/>
          <w:szCs w:val="20"/>
        </w:rPr>
        <w:t xml:space="preserve"> ‘forgives’, </w:t>
      </w:r>
      <w:r>
        <w:rPr>
          <w:i/>
          <w:color w:val="000000"/>
          <w:sz w:val="20"/>
          <w:szCs w:val="20"/>
        </w:rPr>
        <w:t>farket/ farkeder</w:t>
      </w:r>
      <w:r>
        <w:rPr>
          <w:color w:val="000000"/>
          <w:sz w:val="20"/>
          <w:szCs w:val="20"/>
        </w:rPr>
        <w:t xml:space="preserve"> ‘notices’, </w:t>
      </w:r>
      <w:r>
        <w:rPr>
          <w:i/>
          <w:color w:val="000000"/>
          <w:sz w:val="20"/>
          <w:szCs w:val="20"/>
        </w:rPr>
        <w:t>hisset/ hisseder</w:t>
      </w:r>
      <w:r>
        <w:rPr>
          <w:color w:val="000000"/>
          <w:sz w:val="20"/>
          <w:szCs w:val="20"/>
        </w:rPr>
        <w:t xml:space="preserve"> ‘feels’, etc.</w:t>
      </w:r>
    </w:p>
    <w:p w14:paraId="6FE130B9" w14:textId="77777777" w:rsidR="00AA676D" w:rsidRDefault="00AA676D" w:rsidP="00AA676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76D"/>
    <w:rsid w:val="005D565E"/>
    <w:rsid w:val="00936B43"/>
    <w:rsid w:val="00AA676D"/>
    <w:rsid w:val="00F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977C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6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AA676D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6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AA67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Macintosh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 Nakipoglu</dc:creator>
  <cp:keywords/>
  <dc:description/>
  <cp:lastModifiedBy>Mine Nakipoglu</cp:lastModifiedBy>
  <cp:revision>2</cp:revision>
  <dcterms:created xsi:type="dcterms:W3CDTF">2021-09-15T13:54:00Z</dcterms:created>
  <dcterms:modified xsi:type="dcterms:W3CDTF">2021-09-15T13:55:00Z</dcterms:modified>
</cp:coreProperties>
</file>