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8B1E" w14:textId="158F4F8F" w:rsidR="00CE6CC1" w:rsidRPr="001250D2" w:rsidRDefault="00CE6CC1" w:rsidP="00BF2065">
      <w:pPr>
        <w:spacing w:after="0"/>
        <w:rPr>
          <w:rFonts w:ascii="Arial" w:hAnsi="Arial" w:cs="Arial"/>
          <w:b/>
        </w:rPr>
      </w:pPr>
      <w:bookmarkStart w:id="0" w:name="_GoBack"/>
      <w:bookmarkEnd w:id="0"/>
      <w:r w:rsidRPr="001250D2">
        <w:rPr>
          <w:rFonts w:ascii="Arial" w:hAnsi="Arial" w:cs="Arial"/>
          <w:b/>
        </w:rPr>
        <w:t xml:space="preserve">Time is Power: </w:t>
      </w:r>
      <w:r w:rsidRPr="001250D2">
        <w:rPr>
          <w:rFonts w:ascii="Arial" w:hAnsi="Arial" w:cs="Arial"/>
          <w:b/>
          <w:lang w:val="en-GB"/>
        </w:rPr>
        <w:t>Rethinking Meritocratic Political Selection in China</w:t>
      </w:r>
      <w:r w:rsidRPr="001250D2">
        <w:rPr>
          <w:rFonts w:ascii="Arial" w:hAnsi="Arial" w:cs="Arial"/>
          <w:b/>
        </w:rPr>
        <w:t xml:space="preserve"> </w:t>
      </w:r>
    </w:p>
    <w:p w14:paraId="760A2B85" w14:textId="1DC9FD34" w:rsidR="00CE6CC1" w:rsidRPr="001250D2" w:rsidRDefault="00CE6CC1" w:rsidP="00BF2065">
      <w:pPr>
        <w:spacing w:after="0"/>
        <w:rPr>
          <w:rFonts w:ascii="Arial" w:hAnsi="Arial" w:cs="Arial"/>
        </w:rPr>
      </w:pPr>
      <w:r w:rsidRPr="001250D2">
        <w:rPr>
          <w:rFonts w:ascii="Arial" w:hAnsi="Arial" w:cs="Arial"/>
        </w:rPr>
        <w:t>Yu Zeng and Stan Hok-wui Wong</w:t>
      </w:r>
    </w:p>
    <w:p w14:paraId="52D56FF0" w14:textId="5F5FB75C" w:rsidR="00CE6CC1" w:rsidRDefault="00CE6CC1" w:rsidP="00BF2065">
      <w:pPr>
        <w:spacing w:after="0"/>
        <w:rPr>
          <w:rFonts w:ascii="Times New Roman" w:hAnsi="Times New Roman" w:cs="Times New Roman"/>
          <w:b/>
        </w:rPr>
      </w:pPr>
    </w:p>
    <w:p w14:paraId="504DEEE2" w14:textId="0B036BC2" w:rsidR="00620C0C" w:rsidRPr="001250D2" w:rsidRDefault="001250D2" w:rsidP="00BF2065">
      <w:pPr>
        <w:spacing w:after="0"/>
        <w:rPr>
          <w:rFonts w:ascii="Arial" w:hAnsi="Arial" w:cs="Arial"/>
          <w:b/>
        </w:rPr>
      </w:pPr>
      <w:r w:rsidRPr="001250D2">
        <w:rPr>
          <w:rFonts w:ascii="Arial" w:hAnsi="Arial" w:cs="Arial"/>
          <w:b/>
        </w:rPr>
        <w:t>Supplementary M</w:t>
      </w:r>
      <w:r w:rsidR="00620C0C" w:rsidRPr="001250D2">
        <w:rPr>
          <w:rFonts w:ascii="Arial" w:hAnsi="Arial" w:cs="Arial"/>
          <w:b/>
        </w:rPr>
        <w:t>aterial</w:t>
      </w:r>
    </w:p>
    <w:p w14:paraId="79A62A13" w14:textId="77777777" w:rsidR="00620C0C" w:rsidRDefault="00620C0C" w:rsidP="00BF2065">
      <w:pPr>
        <w:spacing w:after="0"/>
        <w:rPr>
          <w:rFonts w:ascii="Times New Roman" w:hAnsi="Times New Roman" w:cs="Times New Roman"/>
          <w:b/>
        </w:rPr>
      </w:pPr>
    </w:p>
    <w:p w14:paraId="7CDDE68E" w14:textId="0044F480" w:rsidR="00FB475B" w:rsidRPr="005240D2" w:rsidRDefault="001250D2" w:rsidP="00BF2065">
      <w:pPr>
        <w:spacing w:after="0"/>
        <w:rPr>
          <w:rFonts w:ascii="Times New Roman" w:hAnsi="Times New Roman" w:cs="Times New Roman"/>
          <w:b/>
        </w:rPr>
      </w:pPr>
      <w:r>
        <w:rPr>
          <w:rFonts w:ascii="Times New Roman" w:hAnsi="Times New Roman" w:cs="Times New Roman"/>
        </w:rPr>
        <w:t>Appendix A:</w:t>
      </w:r>
      <w:r w:rsidR="00194765" w:rsidRPr="005240D2">
        <w:rPr>
          <w:rFonts w:ascii="Times New Roman" w:hAnsi="Times New Roman" w:cs="Times New Roman"/>
          <w:b/>
        </w:rPr>
        <w:t xml:space="preserve"> Data Sources</w:t>
      </w:r>
    </w:p>
    <w:p w14:paraId="67E2D0FE" w14:textId="446F2C6A" w:rsidR="00194765" w:rsidRDefault="00194765" w:rsidP="00BF2065">
      <w:pPr>
        <w:pStyle w:val="Newparagraph"/>
        <w:spacing w:line="240" w:lineRule="auto"/>
        <w:ind w:firstLine="0"/>
        <w:jc w:val="both"/>
      </w:pPr>
      <w:r>
        <w:t xml:space="preserve">For county leaders, we compiled a </w:t>
      </w:r>
      <w:r w:rsidR="001250D2">
        <w:t>name list of county leaders from</w:t>
      </w:r>
      <w:r>
        <w:t xml:space="preserve"> the Local Leader Dataset,</w:t>
      </w:r>
      <w:r>
        <w:rPr>
          <w:rStyle w:val="FootnoteReference"/>
        </w:rPr>
        <w:footnoteReference w:id="1"/>
      </w:r>
      <w:r w:rsidR="001250D2">
        <w:t xml:space="preserve"> province yearbooks</w:t>
      </w:r>
      <w:r>
        <w:t xml:space="preserve"> and other sources.</w:t>
      </w:r>
      <w:r>
        <w:rPr>
          <w:rStyle w:val="FootnoteReference"/>
        </w:rPr>
        <w:footnoteReference w:id="2"/>
      </w:r>
      <w:r>
        <w:t xml:space="preserve"> </w:t>
      </w:r>
      <w:r w:rsidR="001250D2">
        <w:t>Using</w:t>
      </w:r>
      <w:r>
        <w:t xml:space="preserve"> this name list, we searched </w:t>
      </w:r>
      <w:r w:rsidR="001250D2">
        <w:t xml:space="preserve">for </w:t>
      </w:r>
      <w:r>
        <w:t xml:space="preserve">officials’ curriculum vitae on government websites, online official appointment news, </w:t>
      </w:r>
      <w:r w:rsidRPr="00E315C3">
        <w:rPr>
          <w:i/>
        </w:rPr>
        <w:t xml:space="preserve">Baidu </w:t>
      </w:r>
      <w:r w:rsidR="00050C3D">
        <w:rPr>
          <w:i/>
        </w:rPr>
        <w:t>b</w:t>
      </w:r>
      <w:r w:rsidRPr="00E315C3">
        <w:rPr>
          <w:i/>
        </w:rPr>
        <w:t>aike</w:t>
      </w:r>
      <w:r>
        <w:rPr>
          <w:i/>
        </w:rPr>
        <w:t xml:space="preserve"> </w:t>
      </w:r>
      <w:r w:rsidRPr="001250D2">
        <w:rPr>
          <w:rFonts w:ascii="SimSun" w:eastAsia="SimSun" w:hAnsi="SimSun" w:hint="eastAsia"/>
          <w:lang w:eastAsia="zh-CN"/>
        </w:rPr>
        <w:t>百度百科</w:t>
      </w:r>
      <w:r>
        <w:t>, and other reliable online information source</w:t>
      </w:r>
      <w:r w:rsidR="001250D2">
        <w:t>s. Biographical information for 4,146 county P</w:t>
      </w:r>
      <w:r>
        <w:t>arty secretaries in 1,893 counties</w:t>
      </w:r>
      <w:r w:rsidR="00FC378D">
        <w:rPr>
          <w:rFonts w:ascii="SimSun" w:eastAsia="SimSun" w:hAnsi="SimSun"/>
          <w:lang w:eastAsia="zh-CN"/>
        </w:rPr>
        <w:t xml:space="preserve"> </w:t>
      </w:r>
      <w:r w:rsidR="00FC378D" w:rsidRPr="00C43857">
        <w:t xml:space="preserve">and </w:t>
      </w:r>
      <w:r w:rsidR="00FC378D" w:rsidRPr="00C43857">
        <w:rPr>
          <w:rFonts w:hint="eastAsia"/>
        </w:rPr>
        <w:t>count</w:t>
      </w:r>
      <w:r w:rsidR="00FC378D" w:rsidRPr="00C43857">
        <w:t>y</w:t>
      </w:r>
      <w:r w:rsidR="00137747" w:rsidRPr="00C43857">
        <w:t>-level cities</w:t>
      </w:r>
      <w:r>
        <w:t xml:space="preserve"> between 2010 and 2016 </w:t>
      </w:r>
      <w:r w:rsidR="001250D2">
        <w:t>was</w:t>
      </w:r>
      <w:r>
        <w:t xml:space="preserve"> collected. The figure shows th</w:t>
      </w:r>
      <w:r w:rsidR="001250D2">
        <w:t>at each county has 2.19 county P</w:t>
      </w:r>
      <w:r>
        <w:t>arty secretaries on average during the period of our analysis, which implies that these counties generally experience at least one leadership change.</w:t>
      </w:r>
    </w:p>
    <w:p w14:paraId="03788069" w14:textId="37CE196C" w:rsidR="00194765" w:rsidRDefault="00194765" w:rsidP="00BF2065">
      <w:pPr>
        <w:pStyle w:val="Newparagraph"/>
        <w:spacing w:line="240" w:lineRule="auto"/>
        <w:ind w:firstLineChars="100" w:firstLine="240"/>
        <w:jc w:val="both"/>
      </w:pPr>
      <w:r>
        <w:t xml:space="preserve">For the data on prefecture leaders, we first collected a list of </w:t>
      </w:r>
      <w:r w:rsidR="001250D2">
        <w:t>names of prefecture mayors and P</w:t>
      </w:r>
      <w:r>
        <w:t xml:space="preserve">arty secretaries based on province </w:t>
      </w:r>
      <w:r w:rsidR="001250D2">
        <w:t>yearbooks, prefecture yearbooks and prefecture government w</w:t>
      </w:r>
      <w:r>
        <w:t xml:space="preserve">ebsites. Our list covers the period between January 1997 and October 2015. It </w:t>
      </w:r>
      <w:r w:rsidR="001250D2">
        <w:t xml:space="preserve">includes </w:t>
      </w:r>
      <w:r>
        <w:t xml:space="preserve">332 prefectures </w:t>
      </w:r>
      <w:r w:rsidR="001250D2">
        <w:t xml:space="preserve">from </w:t>
      </w:r>
      <w:r>
        <w:t>27 provinces and autonomous regions. With this list, we then search</w:t>
      </w:r>
      <w:r w:rsidR="001250D2">
        <w:t>ed for</w:t>
      </w:r>
      <w:r>
        <w:t xml:space="preserve"> these officials’ biographical infor</w:t>
      </w:r>
      <w:r w:rsidR="001250D2">
        <w:t>mation and career history from w</w:t>
      </w:r>
      <w:r>
        <w:t>ebsites such as the Database of Chinese Leaders (</w:t>
      </w:r>
      <w:r w:rsidR="00CE6CC1">
        <w:rPr>
          <w:i/>
        </w:rPr>
        <w:t>Z</w:t>
      </w:r>
      <w:r w:rsidRPr="00E315C3">
        <w:rPr>
          <w:i/>
        </w:rPr>
        <w:t>hongguo lingdao ganbu ziliaoku</w:t>
      </w:r>
      <w:r w:rsidR="006902EF">
        <w:rPr>
          <w:i/>
        </w:rPr>
        <w:t xml:space="preserve"> </w:t>
      </w:r>
      <w:r w:rsidR="006902EF" w:rsidRPr="001250D2">
        <w:rPr>
          <w:rFonts w:ascii="SimSun" w:eastAsia="SimSun" w:hAnsi="SimSun" w:cs="PMingLiU" w:hint="eastAsia"/>
          <w:lang w:eastAsia="zh-TW"/>
        </w:rPr>
        <w:t>中</w:t>
      </w:r>
      <w:r w:rsidR="006902EF" w:rsidRPr="001250D2">
        <w:rPr>
          <w:rFonts w:ascii="SimSun" w:eastAsia="SimSun" w:hAnsi="SimSun" w:cs="SimSun" w:hint="eastAsia"/>
          <w:lang w:eastAsia="zh-TW"/>
        </w:rPr>
        <w:t>国领导干部资料库</w:t>
      </w:r>
      <w:r>
        <w:t xml:space="preserve">), prefecture government </w:t>
      </w:r>
      <w:r w:rsidR="001250D2">
        <w:t>websites</w:t>
      </w:r>
      <w:r>
        <w:t>, and</w:t>
      </w:r>
      <w:r w:rsidRPr="00E315C3">
        <w:rPr>
          <w:i/>
        </w:rPr>
        <w:t xml:space="preserve"> Baidu Baike</w:t>
      </w:r>
      <w:r>
        <w:t xml:space="preserve">, a Wikipedia-like online portal in China. Our variable of interest is economic growth. The data primarily come from </w:t>
      </w:r>
      <w:r w:rsidRPr="00E315C3">
        <w:rPr>
          <w:i/>
        </w:rPr>
        <w:t>Wind</w:t>
      </w:r>
      <w:r>
        <w:t>, a Chinese professional information provider for financial and economic data</w:t>
      </w:r>
      <w:r w:rsidR="001250D2">
        <w:t>,</w:t>
      </w:r>
      <w:r>
        <w:t xml:space="preserve"> similar to Bloomberg.</w:t>
      </w:r>
      <w:r>
        <w:rPr>
          <w:rStyle w:val="FootnoteReference"/>
        </w:rPr>
        <w:footnoteReference w:id="3"/>
      </w:r>
    </w:p>
    <w:p w14:paraId="40E2F158" w14:textId="77777777" w:rsidR="00194765" w:rsidRDefault="00194765" w:rsidP="00BF2065">
      <w:pPr>
        <w:spacing w:after="0"/>
      </w:pPr>
    </w:p>
    <w:p w14:paraId="5D519575" w14:textId="60CEB7E3" w:rsidR="00A30413" w:rsidRPr="005240D2" w:rsidRDefault="00A30413" w:rsidP="00BF2065">
      <w:pPr>
        <w:spacing w:after="0"/>
        <w:rPr>
          <w:rFonts w:ascii="Times New Roman" w:hAnsi="Times New Roman" w:cs="Times New Roman"/>
          <w:b/>
        </w:rPr>
      </w:pPr>
      <w:r w:rsidRPr="001250D2">
        <w:rPr>
          <w:rFonts w:ascii="Times New Roman" w:hAnsi="Times New Roman" w:cs="Times New Roman"/>
        </w:rPr>
        <w:t xml:space="preserve">Appendix </w:t>
      </w:r>
      <w:r w:rsidR="007E2555" w:rsidRPr="001250D2">
        <w:rPr>
          <w:rFonts w:ascii="Times New Roman" w:hAnsi="Times New Roman" w:cs="Times New Roman"/>
        </w:rPr>
        <w:t>B</w:t>
      </w:r>
      <w:r w:rsidR="001250D2" w:rsidRPr="001250D2">
        <w:rPr>
          <w:rFonts w:ascii="Times New Roman" w:hAnsi="Times New Roman" w:cs="Times New Roman"/>
        </w:rPr>
        <w:t>:</w:t>
      </w:r>
      <w:r w:rsidRPr="005240D2">
        <w:rPr>
          <w:rFonts w:ascii="Times New Roman" w:hAnsi="Times New Roman" w:cs="Times New Roman"/>
          <w:b/>
        </w:rPr>
        <w:t xml:space="preserve"> Estimation Strategies</w:t>
      </w:r>
    </w:p>
    <w:p w14:paraId="1DDF9734" w14:textId="59782A39" w:rsidR="00A30413" w:rsidRDefault="00A30413" w:rsidP="00BF2065">
      <w:pPr>
        <w:pStyle w:val="Newparagraph"/>
        <w:spacing w:line="240" w:lineRule="auto"/>
        <w:ind w:firstLine="0"/>
        <w:jc w:val="both"/>
      </w:pPr>
      <w:r>
        <w:t>The first estimation strategy is ordinary least squares regression, in wh</w:t>
      </w:r>
      <w:r w:rsidR="001250D2">
        <w:t>ich we regress a cadre’s time until promotion with</w:t>
      </w:r>
      <w:r>
        <w:t xml:space="preserve"> his or her average annual GDP growth rate, together with other control variables and various regional dummies. This is the typical fixed effects model. Our second estimation approach is a multilevel model, in which we treat the individual</w:t>
      </w:r>
      <w:r w:rsidR="001250D2">
        <w:t xml:space="preserve"> and local variations in time until</w:t>
      </w:r>
      <w:r>
        <w:t xml:space="preserve"> promotion as random effects. The advantage of the multilevel estimation is that it allows us to estimate the effects of time-invariant factors at regional levels, which cannot be estimated by fixed effects models. With the current d</w:t>
      </w:r>
      <w:r w:rsidR="001250D2">
        <w:t>ata structure, we treat county P</w:t>
      </w:r>
      <w:r>
        <w:t>arty secretaries as level-1, prefectures as level-2, and provinces as level-3. As recommended by A</w:t>
      </w:r>
      <w:r w:rsidR="00B527C1">
        <w:t>ndrew</w:t>
      </w:r>
      <w:r>
        <w:t xml:space="preserve"> Bell and </w:t>
      </w:r>
      <w:r w:rsidR="00B527C1">
        <w:t xml:space="preserve">Kelvyn </w:t>
      </w:r>
      <w:r>
        <w:t>Jones,</w:t>
      </w:r>
      <w:r>
        <w:rPr>
          <w:rStyle w:val="FootnoteReference"/>
        </w:rPr>
        <w:footnoteReference w:id="4"/>
      </w:r>
      <w:r>
        <w:t xml:space="preserve"> we include the cluster means of all level-1 variables in order to tackle the potential endogeneity between these variables and omitted characteristics of prefectures.</w:t>
      </w:r>
      <w:r>
        <w:rPr>
          <w:rStyle w:val="FootnoteReference"/>
        </w:rPr>
        <w:footnoteReference w:id="5"/>
      </w:r>
    </w:p>
    <w:p w14:paraId="25B8565F" w14:textId="57CE1BA6" w:rsidR="00A30413" w:rsidRDefault="00A30413" w:rsidP="00BF2065">
      <w:pPr>
        <w:pStyle w:val="Newparagraph"/>
        <w:spacing w:line="240" w:lineRule="auto"/>
        <w:ind w:firstLineChars="100" w:firstLine="240"/>
        <w:jc w:val="both"/>
      </w:pPr>
      <w:r>
        <w:lastRenderedPageBreak/>
        <w:t xml:space="preserve">For both fixed effects and multilevel models, we evaluate factors that affect time </w:t>
      </w:r>
      <w:r w:rsidR="001250D2">
        <w:t>until</w:t>
      </w:r>
      <w:r>
        <w:t xml:space="preserve"> promotion by excluding cadres who were not promoted. Although promoted leaders constitute the majority of the observations, it is instructive to examine why promotion fails to take place in some cases. Our last two estimation strategies, which come from the event history analysis, are well-suited for this purpose. As its name suggests, the event history analysis refers to a set of estimation techniques that focus not only on the occurrence of an event (i.e.</w:t>
      </w:r>
      <w:r w:rsidR="001250D2">
        <w:t xml:space="preserve"> promotion in our case)</w:t>
      </w:r>
      <w:r>
        <w:t xml:space="preserve"> but also on the history leading up to it. Our main event history model is the generalized gamma, which is known for its flexibility in modelling the distribution of the duration time to event.</w:t>
      </w:r>
      <w:r>
        <w:rPr>
          <w:rStyle w:val="FootnoteReference"/>
        </w:rPr>
        <w:footnoteReference w:id="6"/>
      </w:r>
      <w:r>
        <w:t xml:space="preserve"> The other event history model is the Cox proportional hazards (CPH) model. The CPH model is semi-parametric in the sense that researchers do not need to make assumptions about the underlying distribution of duration ti</w:t>
      </w:r>
      <w:r w:rsidR="001250D2">
        <w:t>me, which may be an advantage for</w:t>
      </w:r>
      <w:r>
        <w:t xml:space="preserve"> some applications where the researchers are primarily interested in the event occurrence.</w:t>
      </w:r>
    </w:p>
    <w:p w14:paraId="2BD641FF" w14:textId="77777777" w:rsidR="00A30413" w:rsidRDefault="00A30413" w:rsidP="00BF2065">
      <w:pPr>
        <w:spacing w:after="0"/>
        <w:rPr>
          <w:b/>
        </w:rPr>
      </w:pPr>
    </w:p>
    <w:p w14:paraId="0DE210EC" w14:textId="5144C0B1" w:rsidR="00D63BE5" w:rsidRPr="005240D2" w:rsidRDefault="001250D2" w:rsidP="00BF2065">
      <w:pPr>
        <w:spacing w:after="0"/>
        <w:rPr>
          <w:rFonts w:ascii="Times New Roman" w:hAnsi="Times New Roman" w:cs="Times New Roman"/>
          <w:b/>
        </w:rPr>
      </w:pPr>
      <w:r w:rsidRPr="001250D2">
        <w:rPr>
          <w:rFonts w:ascii="Times New Roman" w:hAnsi="Times New Roman" w:cs="Times New Roman"/>
        </w:rPr>
        <w:t>Appendix C:</w:t>
      </w:r>
      <w:r w:rsidR="00D63BE5" w:rsidRPr="005240D2">
        <w:rPr>
          <w:rFonts w:ascii="Times New Roman" w:hAnsi="Times New Roman" w:cs="Times New Roman"/>
          <w:b/>
        </w:rPr>
        <w:t xml:space="preserve"> Young County Superstars</w:t>
      </w:r>
    </w:p>
    <w:p w14:paraId="43EA496C" w14:textId="2A0E9384" w:rsidR="00D63BE5" w:rsidRDefault="00D63BE5" w:rsidP="00BF2065">
      <w:pPr>
        <w:pStyle w:val="Newparagraph"/>
        <w:spacing w:line="240" w:lineRule="auto"/>
        <w:ind w:firstLine="0"/>
        <w:jc w:val="both"/>
      </w:pPr>
      <w:r>
        <w:t xml:space="preserve">We </w:t>
      </w:r>
      <w:r w:rsidR="001250D2">
        <w:t xml:space="preserve">examine the biographies of the </w:t>
      </w:r>
      <w:r>
        <w:t xml:space="preserve">young county </w:t>
      </w:r>
      <w:r w:rsidR="001250D2">
        <w:t>“superstars”</w:t>
      </w:r>
      <w:r>
        <w:t xml:space="preserve"> in our dataset. We use 35 and 38 as the cut-off ag</w:t>
      </w:r>
      <w:r w:rsidR="001250D2">
        <w:t>e for county chiefs and county P</w:t>
      </w:r>
      <w:r>
        <w:t>arty secretaries, respectively</w:t>
      </w:r>
      <w:r w:rsidR="001250D2">
        <w:t>. These two numbers are about ten</w:t>
      </w:r>
      <w:r>
        <w:t xml:space="preserve"> years below the median age of the underlying county leader group. There are 11</w:t>
      </w:r>
      <w:r w:rsidR="001250D2">
        <w:t>4 county chiefs and 111 county P</w:t>
      </w:r>
      <w:r>
        <w:t>arty secretaries who are at or below the cut-off age. Their township leadershi</w:t>
      </w:r>
      <w:r w:rsidR="00D77CB4">
        <w:t>p experience is shown in Table A1</w:t>
      </w:r>
      <w:r>
        <w:t>. It turns out that less than 20 per</w:t>
      </w:r>
      <w:r w:rsidR="001250D2">
        <w:t xml:space="preserve"> </w:t>
      </w:r>
      <w:r>
        <w:t>cent of these promising county leaders have prior experience as a township leader. As a comparison, a large number of these young superstars have held leading positions in some local branches of the Communist Youth League (CYL). The result is consistent with the observation</w:t>
      </w:r>
      <w:r w:rsidR="001250D2">
        <w:t>s</w:t>
      </w:r>
      <w:r>
        <w:t xml:space="preserve"> of </w:t>
      </w:r>
      <w:r w:rsidR="00B527C1">
        <w:t xml:space="preserve">Chien-wen </w:t>
      </w:r>
      <w:r>
        <w:t xml:space="preserve">Kou and </w:t>
      </w:r>
      <w:r w:rsidR="00B527C1">
        <w:t xml:space="preserve">Xiaowei </w:t>
      </w:r>
      <w:r>
        <w:t>Tsai, who point out that the CYL experience provides fast-track promotion opportunities.</w:t>
      </w:r>
      <w:r>
        <w:rPr>
          <w:rStyle w:val="FootnoteReference"/>
        </w:rPr>
        <w:footnoteReference w:id="7"/>
      </w:r>
      <w:r>
        <w:t xml:space="preserve"> In fact, many young superstars with prior township experience are also secretaries for the CYL. It is unclear whether their CYL affiliation or their township performance accounts for their fast promotion. If we exclude these ambiguous cases, only 6.1 per</w:t>
      </w:r>
      <w:r w:rsidR="001250D2">
        <w:t xml:space="preserve"> </w:t>
      </w:r>
      <w:r>
        <w:t>cent of these county chiefs and 8.1 per</w:t>
      </w:r>
      <w:r w:rsidR="001250D2">
        <w:t xml:space="preserve"> </w:t>
      </w:r>
      <w:r>
        <w:t xml:space="preserve">cent of these county </w:t>
      </w:r>
      <w:r w:rsidR="001250D2">
        <w:t>P</w:t>
      </w:r>
      <w:r>
        <w:t>arty secretaries are promoted from township leaders.</w:t>
      </w:r>
    </w:p>
    <w:p w14:paraId="02E1C213" w14:textId="24EE0028" w:rsidR="00D63BE5" w:rsidRDefault="00D63BE5" w:rsidP="00BF2065">
      <w:pPr>
        <w:pStyle w:val="Tabletitle"/>
        <w:spacing w:line="240" w:lineRule="auto"/>
        <w:rPr>
          <w:b/>
        </w:rPr>
      </w:pPr>
      <w:r w:rsidRPr="00DC7348">
        <w:t xml:space="preserve">Table </w:t>
      </w:r>
      <w:r>
        <w:t>A1</w:t>
      </w:r>
      <w:r w:rsidRPr="00DC7348">
        <w:t xml:space="preserve">: </w:t>
      </w:r>
      <w:r w:rsidRPr="00B527C1">
        <w:rPr>
          <w:b/>
        </w:rPr>
        <w:t>Young County Leaders</w:t>
      </w:r>
    </w:p>
    <w:p w14:paraId="63B1A595" w14:textId="77777777" w:rsidR="00B527C1" w:rsidRPr="00B527C1" w:rsidRDefault="00B527C1" w:rsidP="00BF2065">
      <w:pPr>
        <w:spacing w:after="0"/>
        <w:rPr>
          <w:lang w:val="en-GB" w:eastAsia="en-GB"/>
        </w:rPr>
      </w:pPr>
    </w:p>
    <w:tbl>
      <w:tblPr>
        <w:tblW w:w="8511" w:type="dxa"/>
        <w:tblBorders>
          <w:top w:val="single" w:sz="4" w:space="0" w:color="auto"/>
        </w:tblBorders>
        <w:tblLook w:val="04A0" w:firstRow="1" w:lastRow="0" w:firstColumn="1" w:lastColumn="0" w:noHBand="0" w:noVBand="1"/>
      </w:tblPr>
      <w:tblGrid>
        <w:gridCol w:w="1632"/>
        <w:gridCol w:w="724"/>
        <w:gridCol w:w="716"/>
        <w:gridCol w:w="807"/>
        <w:gridCol w:w="1006"/>
        <w:gridCol w:w="807"/>
        <w:gridCol w:w="1006"/>
        <w:gridCol w:w="807"/>
        <w:gridCol w:w="1006"/>
      </w:tblGrid>
      <w:tr w:rsidR="00D63BE5" w:rsidRPr="002A28E1" w14:paraId="547D572B" w14:textId="77777777" w:rsidTr="00B527C1">
        <w:trPr>
          <w:trHeight w:val="291"/>
        </w:trPr>
        <w:tc>
          <w:tcPr>
            <w:tcW w:w="1632" w:type="dxa"/>
            <w:shd w:val="clear" w:color="auto" w:fill="auto"/>
            <w:vAlign w:val="center"/>
          </w:tcPr>
          <w:p w14:paraId="29DEFF1D" w14:textId="77777777" w:rsidR="00D63BE5" w:rsidRPr="002C79CA" w:rsidRDefault="00D63BE5" w:rsidP="00BF2065">
            <w:pPr>
              <w:spacing w:after="0"/>
              <w:rPr>
                <w:rFonts w:ascii="Times New Roman" w:eastAsia="DengXian" w:hAnsi="Times New Roman" w:cs="Times New Roman"/>
                <w:color w:val="000000"/>
                <w:sz w:val="18"/>
                <w:szCs w:val="18"/>
                <w:lang w:eastAsia="zh-CN"/>
              </w:rPr>
            </w:pPr>
          </w:p>
        </w:tc>
        <w:tc>
          <w:tcPr>
            <w:tcW w:w="724" w:type="dxa"/>
            <w:shd w:val="clear" w:color="auto" w:fill="auto"/>
            <w:vAlign w:val="center"/>
          </w:tcPr>
          <w:p w14:paraId="6AEDB574" w14:textId="77777777" w:rsidR="00D63BE5" w:rsidRPr="002C79CA" w:rsidRDefault="00D63BE5" w:rsidP="00BF2065">
            <w:pPr>
              <w:spacing w:after="0"/>
              <w:rPr>
                <w:rFonts w:ascii="Times New Roman" w:eastAsia="DengXian" w:hAnsi="Times New Roman" w:cs="Times New Roman"/>
                <w:color w:val="000000"/>
                <w:sz w:val="18"/>
                <w:szCs w:val="18"/>
                <w:lang w:eastAsia="zh-CN"/>
              </w:rPr>
            </w:pPr>
          </w:p>
        </w:tc>
        <w:tc>
          <w:tcPr>
            <w:tcW w:w="716" w:type="dxa"/>
            <w:shd w:val="clear" w:color="auto" w:fill="auto"/>
            <w:vAlign w:val="center"/>
          </w:tcPr>
          <w:p w14:paraId="3C5723A5" w14:textId="77777777" w:rsidR="00D63BE5" w:rsidRPr="002C79CA" w:rsidRDefault="00D63BE5" w:rsidP="00BF2065">
            <w:pPr>
              <w:spacing w:after="0"/>
              <w:rPr>
                <w:rFonts w:ascii="Times New Roman" w:eastAsia="DengXian" w:hAnsi="Times New Roman" w:cs="Times New Roman"/>
                <w:i/>
                <w:iCs/>
                <w:color w:val="000000"/>
                <w:sz w:val="18"/>
                <w:szCs w:val="18"/>
                <w:lang w:eastAsia="zh-CN"/>
              </w:rPr>
            </w:pPr>
          </w:p>
        </w:tc>
        <w:tc>
          <w:tcPr>
            <w:tcW w:w="3626" w:type="dxa"/>
            <w:gridSpan w:val="4"/>
            <w:shd w:val="clear" w:color="auto" w:fill="auto"/>
          </w:tcPr>
          <w:p w14:paraId="75FF3832" w14:textId="77777777" w:rsidR="00D63BE5" w:rsidRPr="00B527C1" w:rsidRDefault="00D63BE5" w:rsidP="00BF2065">
            <w:pPr>
              <w:spacing w:after="0"/>
              <w:jc w:val="center"/>
              <w:rPr>
                <w:rFonts w:ascii="Times New Roman" w:eastAsia="DengXian" w:hAnsi="Times New Roman" w:cs="Times New Roman"/>
                <w:b/>
                <w:color w:val="000000"/>
                <w:sz w:val="18"/>
                <w:szCs w:val="18"/>
                <w:lang w:eastAsia="zh-CN"/>
              </w:rPr>
            </w:pPr>
            <w:r w:rsidRPr="00B527C1">
              <w:rPr>
                <w:rFonts w:ascii="Times New Roman" w:eastAsia="DengXian" w:hAnsi="Times New Roman" w:cs="Times New Roman"/>
                <w:b/>
                <w:color w:val="000000"/>
                <w:sz w:val="18"/>
                <w:szCs w:val="18"/>
                <w:lang w:eastAsia="zh-CN"/>
              </w:rPr>
              <w:t>Township Leadership Experience</w:t>
            </w:r>
          </w:p>
        </w:tc>
        <w:tc>
          <w:tcPr>
            <w:tcW w:w="1813" w:type="dxa"/>
            <w:gridSpan w:val="2"/>
            <w:shd w:val="clear" w:color="auto" w:fill="auto"/>
          </w:tcPr>
          <w:p w14:paraId="5B1BCC66" w14:textId="77777777" w:rsidR="00D63BE5" w:rsidRPr="00B527C1" w:rsidRDefault="00D63BE5" w:rsidP="00BF2065">
            <w:pPr>
              <w:spacing w:after="0"/>
              <w:jc w:val="center"/>
              <w:rPr>
                <w:rFonts w:ascii="Times New Roman" w:eastAsia="DengXian" w:hAnsi="Times New Roman" w:cs="Times New Roman"/>
                <w:b/>
                <w:color w:val="000000"/>
                <w:sz w:val="18"/>
                <w:szCs w:val="18"/>
                <w:lang w:eastAsia="zh-CN"/>
              </w:rPr>
            </w:pPr>
            <w:r w:rsidRPr="00B527C1">
              <w:rPr>
                <w:rFonts w:ascii="Times New Roman" w:eastAsia="DengXian" w:hAnsi="Times New Roman" w:cs="Times New Roman"/>
                <w:b/>
                <w:color w:val="000000"/>
                <w:sz w:val="18"/>
                <w:szCs w:val="18"/>
                <w:lang w:eastAsia="zh-CN"/>
              </w:rPr>
              <w:t>Communist Youth League (CYL)</w:t>
            </w:r>
          </w:p>
        </w:tc>
      </w:tr>
      <w:tr w:rsidR="00D63BE5" w:rsidRPr="002A28E1" w14:paraId="2C1060F1" w14:textId="77777777" w:rsidTr="00B527C1">
        <w:trPr>
          <w:trHeight w:val="291"/>
        </w:trPr>
        <w:tc>
          <w:tcPr>
            <w:tcW w:w="1632" w:type="dxa"/>
            <w:shd w:val="clear" w:color="auto" w:fill="auto"/>
            <w:vAlign w:val="center"/>
          </w:tcPr>
          <w:p w14:paraId="6785FEF6" w14:textId="77777777" w:rsidR="00D63BE5" w:rsidRPr="002C79CA" w:rsidRDefault="00D63BE5" w:rsidP="00BF2065">
            <w:pPr>
              <w:spacing w:after="0"/>
              <w:rPr>
                <w:rFonts w:ascii="Times New Roman" w:eastAsia="DengXian" w:hAnsi="Times New Roman" w:cs="Times New Roman"/>
                <w:color w:val="000000"/>
                <w:sz w:val="18"/>
                <w:szCs w:val="18"/>
                <w:lang w:eastAsia="zh-CN"/>
              </w:rPr>
            </w:pPr>
          </w:p>
        </w:tc>
        <w:tc>
          <w:tcPr>
            <w:tcW w:w="724" w:type="dxa"/>
            <w:shd w:val="clear" w:color="auto" w:fill="auto"/>
            <w:vAlign w:val="center"/>
          </w:tcPr>
          <w:p w14:paraId="1A930441" w14:textId="77777777" w:rsidR="00D63BE5" w:rsidRPr="002C79CA" w:rsidRDefault="00D63BE5" w:rsidP="00BF2065">
            <w:pPr>
              <w:spacing w:after="0"/>
              <w:rPr>
                <w:rFonts w:ascii="Times New Roman" w:eastAsia="DengXian" w:hAnsi="Times New Roman" w:cs="Times New Roman"/>
                <w:color w:val="000000"/>
                <w:sz w:val="18"/>
                <w:szCs w:val="18"/>
                <w:lang w:eastAsia="zh-CN"/>
              </w:rPr>
            </w:pPr>
          </w:p>
        </w:tc>
        <w:tc>
          <w:tcPr>
            <w:tcW w:w="716" w:type="dxa"/>
            <w:shd w:val="clear" w:color="auto" w:fill="auto"/>
            <w:vAlign w:val="center"/>
          </w:tcPr>
          <w:p w14:paraId="1516DFC6" w14:textId="77777777" w:rsidR="00D63BE5" w:rsidRPr="002C79CA" w:rsidRDefault="00D63BE5" w:rsidP="00BF2065">
            <w:pPr>
              <w:spacing w:after="0"/>
              <w:rPr>
                <w:rFonts w:ascii="Times New Roman" w:eastAsia="DengXian" w:hAnsi="Times New Roman" w:cs="Times New Roman"/>
                <w:i/>
                <w:iCs/>
                <w:color w:val="000000"/>
                <w:sz w:val="18"/>
                <w:szCs w:val="18"/>
                <w:lang w:eastAsia="zh-CN"/>
              </w:rPr>
            </w:pPr>
          </w:p>
        </w:tc>
        <w:tc>
          <w:tcPr>
            <w:tcW w:w="1813" w:type="dxa"/>
            <w:gridSpan w:val="2"/>
            <w:shd w:val="clear" w:color="auto" w:fill="auto"/>
            <w:vAlign w:val="center"/>
          </w:tcPr>
          <w:p w14:paraId="29935E36" w14:textId="77777777" w:rsidR="00D63BE5" w:rsidRPr="00B527C1" w:rsidRDefault="00D63BE5" w:rsidP="00BF2065">
            <w:pPr>
              <w:spacing w:after="0"/>
              <w:jc w:val="center"/>
              <w:rPr>
                <w:rFonts w:ascii="Times New Roman" w:eastAsia="DengXian" w:hAnsi="Times New Roman" w:cs="Times New Roman"/>
                <w:i/>
                <w:color w:val="000000"/>
                <w:sz w:val="18"/>
                <w:szCs w:val="18"/>
                <w:lang w:eastAsia="zh-CN"/>
              </w:rPr>
            </w:pPr>
            <w:r w:rsidRPr="00B527C1">
              <w:rPr>
                <w:rFonts w:ascii="Times New Roman" w:eastAsia="DengXian" w:hAnsi="Times New Roman" w:cs="Times New Roman"/>
                <w:i/>
                <w:color w:val="000000"/>
                <w:sz w:val="18"/>
                <w:szCs w:val="18"/>
                <w:lang w:eastAsia="zh-CN"/>
              </w:rPr>
              <w:t>All</w:t>
            </w:r>
          </w:p>
        </w:tc>
        <w:tc>
          <w:tcPr>
            <w:tcW w:w="1813" w:type="dxa"/>
            <w:gridSpan w:val="2"/>
            <w:shd w:val="clear" w:color="auto" w:fill="auto"/>
            <w:vAlign w:val="center"/>
          </w:tcPr>
          <w:p w14:paraId="159208B3" w14:textId="77777777" w:rsidR="00D63BE5" w:rsidRPr="00B527C1" w:rsidRDefault="00D63BE5" w:rsidP="00BF2065">
            <w:pPr>
              <w:spacing w:after="0"/>
              <w:jc w:val="center"/>
              <w:rPr>
                <w:rFonts w:ascii="Times New Roman" w:eastAsia="DengXian" w:hAnsi="Times New Roman" w:cs="Times New Roman"/>
                <w:i/>
                <w:color w:val="000000"/>
                <w:sz w:val="18"/>
                <w:szCs w:val="18"/>
                <w:lang w:eastAsia="zh-CN"/>
              </w:rPr>
            </w:pPr>
            <w:r w:rsidRPr="00B527C1">
              <w:rPr>
                <w:rFonts w:ascii="Times New Roman" w:eastAsia="DengXian" w:hAnsi="Times New Roman" w:cs="Times New Roman"/>
                <w:i/>
                <w:color w:val="000000"/>
                <w:sz w:val="18"/>
                <w:szCs w:val="18"/>
                <w:lang w:eastAsia="zh-CN"/>
              </w:rPr>
              <w:t>Excluding CYL</w:t>
            </w:r>
          </w:p>
        </w:tc>
        <w:tc>
          <w:tcPr>
            <w:tcW w:w="807" w:type="dxa"/>
            <w:shd w:val="clear" w:color="auto" w:fill="auto"/>
            <w:vAlign w:val="center"/>
          </w:tcPr>
          <w:p w14:paraId="1E646EA8" w14:textId="77777777" w:rsidR="00D63BE5" w:rsidRPr="002C79CA" w:rsidRDefault="00D63BE5" w:rsidP="00BF2065">
            <w:pPr>
              <w:spacing w:after="0"/>
              <w:rPr>
                <w:rFonts w:ascii="Times New Roman" w:eastAsia="DengXian" w:hAnsi="Times New Roman" w:cs="Times New Roman"/>
                <w:color w:val="000000"/>
                <w:sz w:val="18"/>
                <w:szCs w:val="18"/>
                <w:lang w:eastAsia="zh-CN"/>
              </w:rPr>
            </w:pPr>
          </w:p>
        </w:tc>
        <w:tc>
          <w:tcPr>
            <w:tcW w:w="1006" w:type="dxa"/>
            <w:shd w:val="clear" w:color="auto" w:fill="auto"/>
            <w:vAlign w:val="center"/>
          </w:tcPr>
          <w:p w14:paraId="0DF5DC48" w14:textId="77777777" w:rsidR="00D63BE5" w:rsidRPr="002C79CA" w:rsidRDefault="00D63BE5" w:rsidP="00BF2065">
            <w:pPr>
              <w:spacing w:after="0"/>
              <w:rPr>
                <w:rFonts w:ascii="Times New Roman" w:eastAsia="DengXian" w:hAnsi="Times New Roman" w:cs="Times New Roman"/>
                <w:color w:val="000000"/>
                <w:sz w:val="18"/>
                <w:szCs w:val="18"/>
                <w:lang w:eastAsia="zh-CN"/>
              </w:rPr>
            </w:pPr>
          </w:p>
        </w:tc>
      </w:tr>
      <w:tr w:rsidR="00D63BE5" w:rsidRPr="002A28E1" w14:paraId="4A0187DE" w14:textId="77777777" w:rsidTr="00B527C1">
        <w:trPr>
          <w:trHeight w:val="291"/>
        </w:trPr>
        <w:tc>
          <w:tcPr>
            <w:tcW w:w="1632" w:type="dxa"/>
            <w:shd w:val="clear" w:color="auto" w:fill="auto"/>
            <w:vAlign w:val="center"/>
            <w:hideMark/>
          </w:tcPr>
          <w:p w14:paraId="0B63CC87"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Position</w:t>
            </w:r>
          </w:p>
        </w:tc>
        <w:tc>
          <w:tcPr>
            <w:tcW w:w="724" w:type="dxa"/>
            <w:shd w:val="clear" w:color="auto" w:fill="auto"/>
            <w:vAlign w:val="center"/>
            <w:hideMark/>
          </w:tcPr>
          <w:p w14:paraId="0EAA1BC1"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Age</w:t>
            </w:r>
          </w:p>
        </w:tc>
        <w:tc>
          <w:tcPr>
            <w:tcW w:w="716" w:type="dxa"/>
            <w:shd w:val="clear" w:color="auto" w:fill="auto"/>
            <w:vAlign w:val="center"/>
            <w:hideMark/>
          </w:tcPr>
          <w:p w14:paraId="2EF7843F" w14:textId="77777777" w:rsidR="00D63BE5" w:rsidRPr="002C79CA" w:rsidRDefault="00D63BE5" w:rsidP="00BF2065">
            <w:pPr>
              <w:spacing w:after="0"/>
              <w:rPr>
                <w:rFonts w:ascii="Times New Roman" w:eastAsia="DengXian" w:hAnsi="Times New Roman" w:cs="Times New Roman"/>
                <w:i/>
                <w:iCs/>
                <w:color w:val="000000"/>
                <w:sz w:val="18"/>
                <w:szCs w:val="18"/>
                <w:lang w:eastAsia="zh-CN"/>
              </w:rPr>
            </w:pPr>
            <w:r w:rsidRPr="002C79CA">
              <w:rPr>
                <w:rFonts w:ascii="Times New Roman" w:eastAsia="DengXian" w:hAnsi="Times New Roman" w:cs="Times New Roman"/>
                <w:i/>
                <w:iCs/>
                <w:color w:val="000000"/>
                <w:sz w:val="18"/>
                <w:szCs w:val="18"/>
                <w:lang w:eastAsia="zh-CN"/>
              </w:rPr>
              <w:t>N</w:t>
            </w:r>
          </w:p>
        </w:tc>
        <w:tc>
          <w:tcPr>
            <w:tcW w:w="807" w:type="dxa"/>
            <w:shd w:val="clear" w:color="auto" w:fill="auto"/>
            <w:vAlign w:val="center"/>
            <w:hideMark/>
          </w:tcPr>
          <w:p w14:paraId="68992326"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Number</w:t>
            </w:r>
          </w:p>
        </w:tc>
        <w:tc>
          <w:tcPr>
            <w:tcW w:w="1006" w:type="dxa"/>
            <w:shd w:val="clear" w:color="auto" w:fill="auto"/>
            <w:vAlign w:val="center"/>
            <w:hideMark/>
          </w:tcPr>
          <w:p w14:paraId="55E666D5"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 xml:space="preserve">Percentage </w:t>
            </w:r>
          </w:p>
        </w:tc>
        <w:tc>
          <w:tcPr>
            <w:tcW w:w="807" w:type="dxa"/>
            <w:shd w:val="clear" w:color="auto" w:fill="auto"/>
            <w:vAlign w:val="center"/>
            <w:hideMark/>
          </w:tcPr>
          <w:p w14:paraId="0303E727"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Number</w:t>
            </w:r>
          </w:p>
        </w:tc>
        <w:tc>
          <w:tcPr>
            <w:tcW w:w="1006" w:type="dxa"/>
            <w:shd w:val="clear" w:color="auto" w:fill="auto"/>
            <w:vAlign w:val="center"/>
            <w:hideMark/>
          </w:tcPr>
          <w:p w14:paraId="47C77A9D"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Percentage</w:t>
            </w:r>
          </w:p>
        </w:tc>
        <w:tc>
          <w:tcPr>
            <w:tcW w:w="807" w:type="dxa"/>
            <w:shd w:val="clear" w:color="auto" w:fill="auto"/>
            <w:vAlign w:val="center"/>
            <w:hideMark/>
          </w:tcPr>
          <w:p w14:paraId="4AB7C2C3"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Number</w:t>
            </w:r>
          </w:p>
        </w:tc>
        <w:tc>
          <w:tcPr>
            <w:tcW w:w="1006" w:type="dxa"/>
            <w:shd w:val="clear" w:color="auto" w:fill="auto"/>
            <w:vAlign w:val="center"/>
            <w:hideMark/>
          </w:tcPr>
          <w:p w14:paraId="06B788A3"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Percentage</w:t>
            </w:r>
          </w:p>
        </w:tc>
      </w:tr>
      <w:tr w:rsidR="00D63BE5" w:rsidRPr="002A28E1" w14:paraId="1B2DF543" w14:textId="77777777" w:rsidTr="00050C3D">
        <w:trPr>
          <w:trHeight w:val="324"/>
        </w:trPr>
        <w:tc>
          <w:tcPr>
            <w:tcW w:w="1632" w:type="dxa"/>
            <w:tcBorders>
              <w:bottom w:val="nil"/>
            </w:tcBorders>
            <w:shd w:val="clear" w:color="auto" w:fill="auto"/>
            <w:vAlign w:val="center"/>
            <w:hideMark/>
          </w:tcPr>
          <w:p w14:paraId="37C62165" w14:textId="0482FFD9" w:rsidR="00D63BE5" w:rsidRPr="002C79CA" w:rsidRDefault="00B527C1" w:rsidP="00BF2065">
            <w:pPr>
              <w:spacing w:after="0"/>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County c</w:t>
            </w:r>
            <w:r w:rsidR="00D63BE5" w:rsidRPr="002C79CA">
              <w:rPr>
                <w:rFonts w:ascii="Times New Roman" w:eastAsia="DengXian" w:hAnsi="Times New Roman" w:cs="Times New Roman"/>
                <w:color w:val="000000"/>
                <w:sz w:val="18"/>
                <w:szCs w:val="18"/>
                <w:lang w:eastAsia="zh-CN"/>
              </w:rPr>
              <w:t>hief</w:t>
            </w:r>
          </w:p>
        </w:tc>
        <w:tc>
          <w:tcPr>
            <w:tcW w:w="724" w:type="dxa"/>
            <w:tcBorders>
              <w:bottom w:val="nil"/>
            </w:tcBorders>
            <w:shd w:val="clear" w:color="auto" w:fill="auto"/>
            <w:vAlign w:val="center"/>
            <w:hideMark/>
          </w:tcPr>
          <w:p w14:paraId="46FC000D"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≤35</w:t>
            </w:r>
          </w:p>
        </w:tc>
        <w:tc>
          <w:tcPr>
            <w:tcW w:w="716" w:type="dxa"/>
            <w:tcBorders>
              <w:bottom w:val="nil"/>
            </w:tcBorders>
            <w:shd w:val="clear" w:color="auto" w:fill="auto"/>
            <w:vAlign w:val="center"/>
            <w:hideMark/>
          </w:tcPr>
          <w:p w14:paraId="4C9ABCD4"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114</w:t>
            </w:r>
          </w:p>
        </w:tc>
        <w:tc>
          <w:tcPr>
            <w:tcW w:w="807" w:type="dxa"/>
            <w:tcBorders>
              <w:bottom w:val="nil"/>
            </w:tcBorders>
            <w:shd w:val="clear" w:color="auto" w:fill="auto"/>
            <w:vAlign w:val="center"/>
            <w:hideMark/>
          </w:tcPr>
          <w:p w14:paraId="674ADD24"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20</w:t>
            </w:r>
          </w:p>
        </w:tc>
        <w:tc>
          <w:tcPr>
            <w:tcW w:w="1006" w:type="dxa"/>
            <w:tcBorders>
              <w:bottom w:val="nil"/>
            </w:tcBorders>
            <w:shd w:val="clear" w:color="auto" w:fill="auto"/>
            <w:vAlign w:val="center"/>
            <w:hideMark/>
          </w:tcPr>
          <w:p w14:paraId="3E129CE6"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17.5</w:t>
            </w:r>
          </w:p>
        </w:tc>
        <w:tc>
          <w:tcPr>
            <w:tcW w:w="807" w:type="dxa"/>
            <w:tcBorders>
              <w:bottom w:val="nil"/>
            </w:tcBorders>
            <w:shd w:val="clear" w:color="auto" w:fill="auto"/>
            <w:vAlign w:val="center"/>
            <w:hideMark/>
          </w:tcPr>
          <w:p w14:paraId="6B19EFD4"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7</w:t>
            </w:r>
          </w:p>
        </w:tc>
        <w:tc>
          <w:tcPr>
            <w:tcW w:w="1006" w:type="dxa"/>
            <w:tcBorders>
              <w:bottom w:val="nil"/>
            </w:tcBorders>
            <w:shd w:val="clear" w:color="auto" w:fill="auto"/>
            <w:vAlign w:val="center"/>
            <w:hideMark/>
          </w:tcPr>
          <w:p w14:paraId="5D1294C5"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6.1</w:t>
            </w:r>
          </w:p>
        </w:tc>
        <w:tc>
          <w:tcPr>
            <w:tcW w:w="807" w:type="dxa"/>
            <w:tcBorders>
              <w:bottom w:val="nil"/>
            </w:tcBorders>
            <w:shd w:val="clear" w:color="auto" w:fill="auto"/>
            <w:vAlign w:val="center"/>
            <w:hideMark/>
          </w:tcPr>
          <w:p w14:paraId="2CE2340A"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59</w:t>
            </w:r>
          </w:p>
        </w:tc>
        <w:tc>
          <w:tcPr>
            <w:tcW w:w="1006" w:type="dxa"/>
            <w:tcBorders>
              <w:bottom w:val="nil"/>
            </w:tcBorders>
            <w:shd w:val="clear" w:color="auto" w:fill="auto"/>
            <w:vAlign w:val="center"/>
            <w:hideMark/>
          </w:tcPr>
          <w:p w14:paraId="7CF341BD"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51.8</w:t>
            </w:r>
          </w:p>
        </w:tc>
      </w:tr>
      <w:tr w:rsidR="00D63BE5" w:rsidRPr="002A28E1" w14:paraId="2DAE4866" w14:textId="77777777" w:rsidTr="00050C3D">
        <w:trPr>
          <w:trHeight w:val="324"/>
        </w:trPr>
        <w:tc>
          <w:tcPr>
            <w:tcW w:w="1632" w:type="dxa"/>
            <w:tcBorders>
              <w:top w:val="nil"/>
              <w:bottom w:val="nil"/>
            </w:tcBorders>
            <w:shd w:val="clear" w:color="auto" w:fill="auto"/>
            <w:vAlign w:val="center"/>
            <w:hideMark/>
          </w:tcPr>
          <w:p w14:paraId="4D26B9B8" w14:textId="35491C79" w:rsidR="00D63BE5" w:rsidRPr="002C79CA" w:rsidRDefault="00B527C1" w:rsidP="00BF2065">
            <w:pPr>
              <w:spacing w:after="0"/>
              <w:rPr>
                <w:rFonts w:ascii="Times New Roman" w:eastAsia="DengXian" w:hAnsi="Times New Roman" w:cs="Times New Roman"/>
                <w:color w:val="000000"/>
                <w:sz w:val="18"/>
                <w:szCs w:val="18"/>
                <w:lang w:eastAsia="zh-CN"/>
              </w:rPr>
            </w:pPr>
            <w:r>
              <w:rPr>
                <w:rFonts w:ascii="Times New Roman" w:eastAsia="DengXian" w:hAnsi="Times New Roman" w:cs="Times New Roman"/>
                <w:color w:val="000000"/>
                <w:sz w:val="18"/>
                <w:szCs w:val="18"/>
                <w:lang w:eastAsia="zh-CN"/>
              </w:rPr>
              <w:t>County Party s</w:t>
            </w:r>
            <w:r w:rsidR="00D63BE5" w:rsidRPr="002C79CA">
              <w:rPr>
                <w:rFonts w:ascii="Times New Roman" w:eastAsia="DengXian" w:hAnsi="Times New Roman" w:cs="Times New Roman"/>
                <w:color w:val="000000"/>
                <w:sz w:val="18"/>
                <w:szCs w:val="18"/>
                <w:lang w:eastAsia="zh-CN"/>
              </w:rPr>
              <w:t>ecretary</w:t>
            </w:r>
          </w:p>
        </w:tc>
        <w:tc>
          <w:tcPr>
            <w:tcW w:w="724" w:type="dxa"/>
            <w:tcBorders>
              <w:top w:val="nil"/>
              <w:bottom w:val="nil"/>
            </w:tcBorders>
            <w:shd w:val="clear" w:color="auto" w:fill="auto"/>
            <w:vAlign w:val="center"/>
            <w:hideMark/>
          </w:tcPr>
          <w:p w14:paraId="61AFB264"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≤38</w:t>
            </w:r>
          </w:p>
        </w:tc>
        <w:tc>
          <w:tcPr>
            <w:tcW w:w="716" w:type="dxa"/>
            <w:tcBorders>
              <w:top w:val="nil"/>
              <w:bottom w:val="nil"/>
            </w:tcBorders>
            <w:shd w:val="clear" w:color="auto" w:fill="auto"/>
            <w:vAlign w:val="center"/>
            <w:hideMark/>
          </w:tcPr>
          <w:p w14:paraId="2C5B8B68"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111</w:t>
            </w:r>
          </w:p>
        </w:tc>
        <w:tc>
          <w:tcPr>
            <w:tcW w:w="807" w:type="dxa"/>
            <w:tcBorders>
              <w:top w:val="nil"/>
              <w:bottom w:val="nil"/>
            </w:tcBorders>
            <w:shd w:val="clear" w:color="auto" w:fill="auto"/>
            <w:vAlign w:val="center"/>
            <w:hideMark/>
          </w:tcPr>
          <w:p w14:paraId="4EFFEFE5"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13</w:t>
            </w:r>
          </w:p>
        </w:tc>
        <w:tc>
          <w:tcPr>
            <w:tcW w:w="1006" w:type="dxa"/>
            <w:tcBorders>
              <w:top w:val="nil"/>
              <w:bottom w:val="nil"/>
            </w:tcBorders>
            <w:shd w:val="clear" w:color="auto" w:fill="auto"/>
            <w:vAlign w:val="center"/>
            <w:hideMark/>
          </w:tcPr>
          <w:p w14:paraId="4BA2F93C"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11.4</w:t>
            </w:r>
          </w:p>
        </w:tc>
        <w:tc>
          <w:tcPr>
            <w:tcW w:w="807" w:type="dxa"/>
            <w:tcBorders>
              <w:top w:val="nil"/>
              <w:bottom w:val="nil"/>
            </w:tcBorders>
            <w:shd w:val="clear" w:color="auto" w:fill="auto"/>
            <w:vAlign w:val="center"/>
            <w:hideMark/>
          </w:tcPr>
          <w:p w14:paraId="464052DB"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9</w:t>
            </w:r>
          </w:p>
        </w:tc>
        <w:tc>
          <w:tcPr>
            <w:tcW w:w="1006" w:type="dxa"/>
            <w:tcBorders>
              <w:top w:val="nil"/>
              <w:bottom w:val="nil"/>
            </w:tcBorders>
            <w:shd w:val="clear" w:color="auto" w:fill="auto"/>
            <w:vAlign w:val="center"/>
            <w:hideMark/>
          </w:tcPr>
          <w:p w14:paraId="2CB77027"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8.1</w:t>
            </w:r>
          </w:p>
        </w:tc>
        <w:tc>
          <w:tcPr>
            <w:tcW w:w="807" w:type="dxa"/>
            <w:tcBorders>
              <w:top w:val="nil"/>
              <w:bottom w:val="nil"/>
            </w:tcBorders>
            <w:shd w:val="clear" w:color="auto" w:fill="auto"/>
            <w:vAlign w:val="center"/>
            <w:hideMark/>
          </w:tcPr>
          <w:p w14:paraId="145664C8"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43</w:t>
            </w:r>
          </w:p>
        </w:tc>
        <w:tc>
          <w:tcPr>
            <w:tcW w:w="1006" w:type="dxa"/>
            <w:tcBorders>
              <w:top w:val="nil"/>
              <w:bottom w:val="nil"/>
            </w:tcBorders>
            <w:shd w:val="clear" w:color="auto" w:fill="auto"/>
            <w:vAlign w:val="center"/>
            <w:hideMark/>
          </w:tcPr>
          <w:p w14:paraId="5165139D" w14:textId="77777777" w:rsidR="00D63BE5" w:rsidRPr="002C79CA" w:rsidRDefault="00D63BE5" w:rsidP="00BF2065">
            <w:pPr>
              <w:spacing w:after="0"/>
              <w:rPr>
                <w:rFonts w:ascii="Times New Roman" w:eastAsia="DengXian" w:hAnsi="Times New Roman" w:cs="Times New Roman"/>
                <w:color w:val="000000"/>
                <w:sz w:val="18"/>
                <w:szCs w:val="18"/>
                <w:lang w:eastAsia="zh-CN"/>
              </w:rPr>
            </w:pPr>
            <w:r w:rsidRPr="002C79CA">
              <w:rPr>
                <w:rFonts w:ascii="Times New Roman" w:eastAsia="DengXian" w:hAnsi="Times New Roman" w:cs="Times New Roman"/>
                <w:color w:val="000000"/>
                <w:sz w:val="18"/>
                <w:szCs w:val="18"/>
                <w:lang w:eastAsia="zh-CN"/>
              </w:rPr>
              <w:t>38.7</w:t>
            </w:r>
          </w:p>
        </w:tc>
      </w:tr>
    </w:tbl>
    <w:p w14:paraId="19C4B67C" w14:textId="77777777" w:rsidR="00050C3D" w:rsidRDefault="00050C3D" w:rsidP="00050C3D">
      <w:pPr>
        <w:pStyle w:val="Newparagraph"/>
        <w:spacing w:line="240" w:lineRule="auto"/>
        <w:ind w:firstLineChars="400"/>
        <w:rPr>
          <w:i/>
          <w:sz w:val="18"/>
          <w:szCs w:val="18"/>
        </w:rPr>
      </w:pPr>
    </w:p>
    <w:p w14:paraId="2A996E3E" w14:textId="77777777" w:rsidR="00050C3D" w:rsidRDefault="00D63BE5" w:rsidP="00050C3D">
      <w:pPr>
        <w:pStyle w:val="Newparagraph"/>
        <w:spacing w:line="240" w:lineRule="auto"/>
        <w:ind w:firstLine="0"/>
        <w:rPr>
          <w:i/>
          <w:sz w:val="18"/>
          <w:szCs w:val="18"/>
        </w:rPr>
      </w:pPr>
      <w:r w:rsidRPr="00B527C1">
        <w:rPr>
          <w:i/>
          <w:sz w:val="18"/>
          <w:szCs w:val="18"/>
        </w:rPr>
        <w:t>Source:</w:t>
      </w:r>
    </w:p>
    <w:p w14:paraId="121C4D25" w14:textId="034594D4" w:rsidR="00D63BE5" w:rsidRPr="002C1697" w:rsidRDefault="00D63BE5" w:rsidP="00050C3D">
      <w:pPr>
        <w:pStyle w:val="Newparagraph"/>
        <w:spacing w:line="240" w:lineRule="auto"/>
        <w:ind w:firstLineChars="400"/>
        <w:rPr>
          <w:sz w:val="18"/>
          <w:szCs w:val="18"/>
        </w:rPr>
      </w:pPr>
      <w:r w:rsidRPr="002D4CE8">
        <w:rPr>
          <w:sz w:val="18"/>
          <w:szCs w:val="18"/>
        </w:rPr>
        <w:t>Authors’ calculation.</w:t>
      </w:r>
    </w:p>
    <w:p w14:paraId="55AE920D" w14:textId="77777777" w:rsidR="00A30413" w:rsidRDefault="00A30413" w:rsidP="00BF2065">
      <w:pPr>
        <w:spacing w:after="0"/>
      </w:pPr>
    </w:p>
    <w:p w14:paraId="4DBC90A9" w14:textId="1F38A818" w:rsidR="00257C4E" w:rsidRPr="005240D2" w:rsidRDefault="00B527C1" w:rsidP="00BF2065">
      <w:pPr>
        <w:spacing w:after="0"/>
        <w:rPr>
          <w:rFonts w:ascii="Times New Roman" w:hAnsi="Times New Roman" w:cs="Times New Roman"/>
          <w:b/>
        </w:rPr>
      </w:pPr>
      <w:r w:rsidRPr="00B527C1">
        <w:rPr>
          <w:rFonts w:ascii="Times New Roman" w:hAnsi="Times New Roman" w:cs="Times New Roman"/>
        </w:rPr>
        <w:t>Appendix D:</w:t>
      </w:r>
      <w:r w:rsidR="00257C4E" w:rsidRPr="005240D2">
        <w:rPr>
          <w:rFonts w:ascii="Times New Roman" w:hAnsi="Times New Roman" w:cs="Times New Roman"/>
          <w:b/>
        </w:rPr>
        <w:t xml:space="preserve"> Alternative Factionalism Measure</w:t>
      </w:r>
    </w:p>
    <w:p w14:paraId="6B4304C1" w14:textId="08BE693C" w:rsidR="00257C4E" w:rsidRPr="00257C4E" w:rsidRDefault="00257C4E" w:rsidP="00BF2065">
      <w:pPr>
        <w:spacing w:after="0"/>
        <w:jc w:val="both"/>
        <w:rPr>
          <w:rFonts w:ascii="Times New Roman" w:hAnsi="Times New Roman" w:cs="Times New Roman"/>
        </w:rPr>
      </w:pPr>
      <w:r>
        <w:rPr>
          <w:rFonts w:ascii="Times New Roman" w:hAnsi="Times New Roman" w:cs="Times New Roman"/>
        </w:rPr>
        <w:t>In the main</w:t>
      </w:r>
      <w:r w:rsidRPr="00257C4E">
        <w:rPr>
          <w:rFonts w:ascii="Times New Roman" w:hAnsi="Times New Roman" w:cs="Times New Roman"/>
        </w:rPr>
        <w:t xml:space="preserve"> analysis, we define</w:t>
      </w:r>
      <w:r w:rsidR="00B527C1">
        <w:rPr>
          <w:rFonts w:ascii="Times New Roman" w:hAnsi="Times New Roman" w:cs="Times New Roman"/>
        </w:rPr>
        <w:t xml:space="preserve"> factions in relation</w:t>
      </w:r>
      <w:r>
        <w:rPr>
          <w:rFonts w:ascii="Times New Roman" w:hAnsi="Times New Roman" w:cs="Times New Roman"/>
        </w:rPr>
        <w:t xml:space="preserve"> to</w:t>
      </w:r>
      <w:r w:rsidRPr="00257C4E">
        <w:rPr>
          <w:rFonts w:ascii="Times New Roman" w:hAnsi="Times New Roman" w:cs="Times New Roman"/>
        </w:rPr>
        <w:t xml:space="preserve"> </w:t>
      </w:r>
      <w:r>
        <w:rPr>
          <w:rFonts w:ascii="Times New Roman" w:hAnsi="Times New Roman" w:cs="Times New Roman"/>
        </w:rPr>
        <w:t>leaders’ local</w:t>
      </w:r>
      <w:r w:rsidRPr="00257C4E">
        <w:rPr>
          <w:rFonts w:ascii="Times New Roman" w:hAnsi="Times New Roman" w:cs="Times New Roman"/>
        </w:rPr>
        <w:t xml:space="preserve"> ties (namely, the variables</w:t>
      </w:r>
      <w:r w:rsidR="00B527C1">
        <w:rPr>
          <w:rFonts w:ascii="Times New Roman" w:hAnsi="Times New Roman" w:cs="Times New Roman"/>
        </w:rPr>
        <w:t>,</w:t>
      </w:r>
      <w:r w:rsidRPr="00257C4E">
        <w:rPr>
          <w:rFonts w:ascii="Times New Roman" w:hAnsi="Times New Roman" w:cs="Times New Roman"/>
        </w:rPr>
        <w:t xml:space="preserve"> </w:t>
      </w:r>
      <w:r w:rsidR="00B527C1">
        <w:rPr>
          <w:rFonts w:ascii="Times New Roman" w:hAnsi="Times New Roman" w:cs="Times New Roman"/>
        </w:rPr>
        <w:t xml:space="preserve">home province and </w:t>
      </w:r>
      <w:r w:rsidR="00B527C1" w:rsidRPr="00257C4E">
        <w:rPr>
          <w:rFonts w:ascii="Times New Roman" w:hAnsi="Times New Roman" w:cs="Times New Roman"/>
        </w:rPr>
        <w:t>local</w:t>
      </w:r>
      <w:r w:rsidR="00B527C1">
        <w:rPr>
          <w:rFonts w:ascii="Times New Roman" w:hAnsi="Times New Roman" w:cs="Times New Roman"/>
        </w:rPr>
        <w:t>ly promoted superior</w:t>
      </w:r>
      <w:r w:rsidRPr="00257C4E">
        <w:rPr>
          <w:rFonts w:ascii="Times New Roman" w:hAnsi="Times New Roman" w:cs="Times New Roman"/>
        </w:rPr>
        <w:t xml:space="preserve">). To check robustness, we </w:t>
      </w:r>
      <w:r w:rsidRPr="00257C4E">
        <w:rPr>
          <w:rFonts w:ascii="Times New Roman" w:hAnsi="Times New Roman" w:cs="Times New Roman"/>
        </w:rPr>
        <w:lastRenderedPageBreak/>
        <w:t>adopt an alternative opera</w:t>
      </w:r>
      <w:r w:rsidR="00B527C1">
        <w:rPr>
          <w:rFonts w:ascii="Times New Roman" w:hAnsi="Times New Roman" w:cs="Times New Roman"/>
        </w:rPr>
        <w:t>tionalization of local factions:</w:t>
      </w:r>
      <w:r w:rsidRPr="00257C4E">
        <w:rPr>
          <w:rFonts w:ascii="Times New Roman" w:hAnsi="Times New Roman" w:cs="Times New Roman"/>
        </w:rPr>
        <w:t xml:space="preserve"> a </w:t>
      </w:r>
      <w:r>
        <w:rPr>
          <w:rFonts w:ascii="Times New Roman" w:hAnsi="Times New Roman" w:cs="Times New Roman"/>
        </w:rPr>
        <w:t>local leader</w:t>
      </w:r>
      <w:r w:rsidRPr="00257C4E">
        <w:rPr>
          <w:rFonts w:ascii="Times New Roman" w:hAnsi="Times New Roman" w:cs="Times New Roman"/>
        </w:rPr>
        <w:t xml:space="preserve"> is considered to be</w:t>
      </w:r>
      <w:r w:rsidR="00B527C1">
        <w:rPr>
          <w:rFonts w:ascii="Times New Roman" w:hAnsi="Times New Roman" w:cs="Times New Roman"/>
        </w:rPr>
        <w:t xml:space="preserve"> a member of</w:t>
      </w:r>
      <w:r>
        <w:rPr>
          <w:rFonts w:ascii="Times New Roman" w:hAnsi="Times New Roman" w:cs="Times New Roman"/>
        </w:rPr>
        <w:t xml:space="preserve"> the f</w:t>
      </w:r>
      <w:r w:rsidR="00B527C1">
        <w:rPr>
          <w:rFonts w:ascii="Times New Roman" w:hAnsi="Times New Roman" w:cs="Times New Roman"/>
        </w:rPr>
        <w:t>action of a superior (i.e. the P</w:t>
      </w:r>
      <w:r>
        <w:rPr>
          <w:rFonts w:ascii="Times New Roman" w:hAnsi="Times New Roman" w:cs="Times New Roman"/>
        </w:rPr>
        <w:t xml:space="preserve">arty secretary at the next administrative level) </w:t>
      </w:r>
      <w:r w:rsidRPr="00257C4E">
        <w:rPr>
          <w:rFonts w:ascii="Times New Roman" w:hAnsi="Times New Roman" w:cs="Times New Roman"/>
        </w:rPr>
        <w:t>who br</w:t>
      </w:r>
      <w:r>
        <w:rPr>
          <w:rFonts w:ascii="Times New Roman" w:hAnsi="Times New Roman" w:cs="Times New Roman"/>
        </w:rPr>
        <w:t xml:space="preserve">ought him or her to that </w:t>
      </w:r>
      <w:r w:rsidRPr="00257C4E">
        <w:rPr>
          <w:rFonts w:ascii="Times New Roman" w:hAnsi="Times New Roman" w:cs="Times New Roman"/>
        </w:rPr>
        <w:t xml:space="preserve">leadership post. The basic premise is that </w:t>
      </w:r>
      <w:r>
        <w:rPr>
          <w:rFonts w:ascii="Times New Roman" w:hAnsi="Times New Roman" w:cs="Times New Roman"/>
        </w:rPr>
        <w:t>superiors</w:t>
      </w:r>
      <w:r w:rsidRPr="00257C4E">
        <w:rPr>
          <w:rFonts w:ascii="Times New Roman" w:hAnsi="Times New Roman" w:cs="Times New Roman"/>
        </w:rPr>
        <w:t xml:space="preserve"> would only appoint a</w:t>
      </w:r>
      <w:r>
        <w:rPr>
          <w:rFonts w:ascii="Times New Roman" w:hAnsi="Times New Roman" w:cs="Times New Roman"/>
        </w:rPr>
        <w:t>n underling</w:t>
      </w:r>
      <w:r w:rsidRPr="00257C4E">
        <w:rPr>
          <w:rFonts w:ascii="Times New Roman" w:hAnsi="Times New Roman" w:cs="Times New Roman"/>
        </w:rPr>
        <w:t xml:space="preserve"> whom</w:t>
      </w:r>
      <w:r w:rsidR="00B527C1">
        <w:rPr>
          <w:rFonts w:ascii="Times New Roman" w:hAnsi="Times New Roman" w:cs="Times New Roman"/>
        </w:rPr>
        <w:t xml:space="preserve"> they</w:t>
      </w:r>
      <w:r>
        <w:rPr>
          <w:rFonts w:ascii="Times New Roman" w:hAnsi="Times New Roman" w:cs="Times New Roman"/>
        </w:rPr>
        <w:t xml:space="preserve"> trust to head a lower territorial unit.</w:t>
      </w:r>
      <w:r>
        <w:rPr>
          <w:rStyle w:val="FootnoteReference"/>
          <w:rFonts w:ascii="Times New Roman" w:hAnsi="Times New Roman" w:cs="Times New Roman"/>
        </w:rPr>
        <w:footnoteReference w:id="8"/>
      </w:r>
      <w:r w:rsidRPr="00257C4E">
        <w:rPr>
          <w:rFonts w:ascii="Times New Roman" w:hAnsi="Times New Roman" w:cs="Times New Roman"/>
        </w:rPr>
        <w:t xml:space="preserve"> </w:t>
      </w:r>
    </w:p>
    <w:p w14:paraId="59D7FAEA" w14:textId="01D397CF" w:rsidR="002A5FDC" w:rsidRDefault="00B527C1" w:rsidP="00BF2065">
      <w:pPr>
        <w:spacing w:after="0"/>
        <w:ind w:firstLineChars="100" w:firstLine="240"/>
        <w:jc w:val="both"/>
        <w:rPr>
          <w:rFonts w:ascii="Times New Roman" w:hAnsi="Times New Roman" w:cs="Times New Roman"/>
        </w:rPr>
      </w:pPr>
      <w:r>
        <w:rPr>
          <w:rFonts w:ascii="Times New Roman" w:hAnsi="Times New Roman" w:cs="Times New Roman"/>
        </w:rPr>
        <w:t>We can then compare the time until</w:t>
      </w:r>
      <w:r w:rsidR="00257C4E" w:rsidRPr="00257C4E">
        <w:rPr>
          <w:rFonts w:ascii="Times New Roman" w:hAnsi="Times New Roman" w:cs="Times New Roman"/>
        </w:rPr>
        <w:t xml:space="preserve"> job change/promot</w:t>
      </w:r>
      <w:r>
        <w:rPr>
          <w:rFonts w:ascii="Times New Roman" w:hAnsi="Times New Roman" w:cs="Times New Roman"/>
        </w:rPr>
        <w:t>ion between factional members (“</w:t>
      </w:r>
      <w:r w:rsidR="00257C4E" w:rsidRPr="00257C4E">
        <w:rPr>
          <w:rFonts w:ascii="Times New Roman" w:hAnsi="Times New Roman" w:cs="Times New Roman"/>
        </w:rPr>
        <w:t>insiders</w:t>
      </w:r>
      <w:r>
        <w:rPr>
          <w:rFonts w:ascii="Times New Roman" w:hAnsi="Times New Roman" w:cs="Times New Roman"/>
        </w:rPr>
        <w:t>”) and non-factional members (“outsiders”</w:t>
      </w:r>
      <w:r w:rsidR="00257C4E" w:rsidRPr="00257C4E">
        <w:rPr>
          <w:rFonts w:ascii="Times New Roman" w:hAnsi="Times New Roman" w:cs="Times New Roman"/>
        </w:rPr>
        <w:t xml:space="preserve">). </w:t>
      </w:r>
      <w:r w:rsidR="00066E80">
        <w:rPr>
          <w:rFonts w:ascii="Times New Roman" w:hAnsi="Times New Roman" w:cs="Times New Roman"/>
        </w:rPr>
        <w:t>For example, i</w:t>
      </w:r>
      <w:r>
        <w:rPr>
          <w:rFonts w:ascii="Times New Roman" w:hAnsi="Times New Roman" w:cs="Times New Roman"/>
        </w:rPr>
        <w:t>f prefecture P</w:t>
      </w:r>
      <w:r w:rsidR="00257C4E" w:rsidRPr="00257C4E">
        <w:rPr>
          <w:rFonts w:ascii="Times New Roman" w:hAnsi="Times New Roman" w:cs="Times New Roman"/>
        </w:rPr>
        <w:t>arty secretaries tend to favo</w:t>
      </w:r>
      <w:r>
        <w:rPr>
          <w:rFonts w:ascii="Times New Roman" w:hAnsi="Times New Roman" w:cs="Times New Roman"/>
        </w:rPr>
        <w:t>u</w:t>
      </w:r>
      <w:r w:rsidR="00257C4E" w:rsidRPr="00257C4E">
        <w:rPr>
          <w:rFonts w:ascii="Times New Roman" w:hAnsi="Times New Roman" w:cs="Times New Roman"/>
        </w:rPr>
        <w:t>r their own followers in cadre promotion, we would then observe th</w:t>
      </w:r>
      <w:r>
        <w:rPr>
          <w:rFonts w:ascii="Times New Roman" w:hAnsi="Times New Roman" w:cs="Times New Roman"/>
        </w:rPr>
        <w:t>at they would move up county P</w:t>
      </w:r>
      <w:r w:rsidR="00257C4E" w:rsidRPr="00257C4E">
        <w:rPr>
          <w:rFonts w:ascii="Times New Roman" w:hAnsi="Times New Roman" w:cs="Times New Roman"/>
        </w:rPr>
        <w:t>arty secretaries whom they brought into the counties faster than those w</w:t>
      </w:r>
      <w:r w:rsidR="00066E80">
        <w:rPr>
          <w:rFonts w:ascii="Times New Roman" w:hAnsi="Times New Roman" w:cs="Times New Roman"/>
        </w:rPr>
        <w:t>ho were not appointed by them.</w:t>
      </w:r>
      <w:r w:rsidR="00066E80">
        <w:rPr>
          <w:rStyle w:val="FootnoteReference"/>
          <w:rFonts w:ascii="Times New Roman" w:hAnsi="Times New Roman" w:cs="Times New Roman"/>
        </w:rPr>
        <w:footnoteReference w:id="9"/>
      </w:r>
      <w:r w:rsidR="00066E80" w:rsidRPr="00257C4E">
        <w:rPr>
          <w:rFonts w:ascii="Times New Roman" w:hAnsi="Times New Roman" w:cs="Times New Roman"/>
        </w:rPr>
        <w:t xml:space="preserve"> </w:t>
      </w:r>
    </w:p>
    <w:p w14:paraId="5B1252A3" w14:textId="41A07551" w:rsidR="00F811B3" w:rsidRPr="00257C4E" w:rsidRDefault="00F811B3" w:rsidP="00BF2065">
      <w:pPr>
        <w:spacing w:after="0"/>
        <w:ind w:firstLineChars="100" w:firstLine="240"/>
        <w:jc w:val="both"/>
        <w:rPr>
          <w:rFonts w:ascii="Times New Roman" w:hAnsi="Times New Roman" w:cs="Times New Roman"/>
        </w:rPr>
      </w:pPr>
      <w:r>
        <w:rPr>
          <w:rFonts w:ascii="Times New Roman" w:hAnsi="Times New Roman" w:cs="Times New Roman"/>
        </w:rPr>
        <w:t xml:space="preserve">The main results of our analysis remain unchanged, despite the inclusion of this alternative definition of factions. For example, we re-run </w:t>
      </w:r>
      <w:r w:rsidR="00B527C1">
        <w:rPr>
          <w:rFonts w:ascii="Times New Roman" w:hAnsi="Times New Roman" w:cs="Times New Roman"/>
        </w:rPr>
        <w:t>the specifications in Table 4 in</w:t>
      </w:r>
      <w:r>
        <w:rPr>
          <w:rFonts w:ascii="Times New Roman" w:hAnsi="Times New Roman" w:cs="Times New Roman"/>
        </w:rPr>
        <w:t xml:space="preserve"> the main </w:t>
      </w:r>
      <w:r w:rsidR="00B527C1">
        <w:rPr>
          <w:rFonts w:ascii="Times New Roman" w:hAnsi="Times New Roman" w:cs="Times New Roman"/>
        </w:rPr>
        <w:t xml:space="preserve">article </w:t>
      </w:r>
      <w:r>
        <w:rPr>
          <w:rFonts w:ascii="Times New Roman" w:hAnsi="Times New Roman" w:cs="Times New Roman"/>
        </w:rPr>
        <w:t xml:space="preserve">by adding this new variable. As may be seen in Table A2, the coefficients on the variables of interest are very similar to those in Table 4. </w:t>
      </w:r>
    </w:p>
    <w:p w14:paraId="5657F9CA" w14:textId="77777777" w:rsidR="00BF2065" w:rsidRDefault="00BF2065" w:rsidP="00BF2065">
      <w:pPr>
        <w:spacing w:after="0"/>
        <w:rPr>
          <w:rFonts w:ascii="Times New Roman" w:hAnsi="Times New Roman" w:cs="Times New Roman"/>
        </w:rPr>
      </w:pPr>
    </w:p>
    <w:p w14:paraId="25A889D6" w14:textId="3357E329" w:rsidR="00257C4E" w:rsidRDefault="00F811B3" w:rsidP="00BF2065">
      <w:pPr>
        <w:spacing w:after="0"/>
        <w:rPr>
          <w:rFonts w:ascii="Times New Roman" w:hAnsi="Times New Roman" w:cs="Times New Roman"/>
          <w:b/>
        </w:rPr>
      </w:pPr>
      <w:r w:rsidRPr="00356FD8">
        <w:rPr>
          <w:rFonts w:ascii="Times New Roman" w:hAnsi="Times New Roman" w:cs="Times New Roman"/>
        </w:rPr>
        <w:t>Table A2</w:t>
      </w:r>
      <w:r w:rsidR="00B527C1">
        <w:rPr>
          <w:rFonts w:ascii="Times New Roman" w:hAnsi="Times New Roman" w:cs="Times New Roman"/>
        </w:rPr>
        <w:t>:</w:t>
      </w:r>
      <w:r w:rsidRPr="00356FD8">
        <w:rPr>
          <w:rFonts w:ascii="Times New Roman" w:hAnsi="Times New Roman" w:cs="Times New Roman"/>
        </w:rPr>
        <w:t xml:space="preserve"> </w:t>
      </w:r>
      <w:r w:rsidRPr="00B527C1">
        <w:rPr>
          <w:rFonts w:ascii="Times New Roman" w:hAnsi="Times New Roman" w:cs="Times New Roman"/>
          <w:b/>
        </w:rPr>
        <w:t xml:space="preserve">Robustness Checks: </w:t>
      </w:r>
      <w:r w:rsidR="00B527C1">
        <w:rPr>
          <w:rFonts w:ascii="Times New Roman" w:hAnsi="Times New Roman" w:cs="Times New Roman"/>
          <w:b/>
        </w:rPr>
        <w:t xml:space="preserve">Using </w:t>
      </w:r>
      <w:r w:rsidRPr="00B527C1">
        <w:rPr>
          <w:rFonts w:ascii="Times New Roman" w:hAnsi="Times New Roman" w:cs="Times New Roman"/>
          <w:b/>
        </w:rPr>
        <w:t>Alternat</w:t>
      </w:r>
      <w:r w:rsidR="00B527C1">
        <w:rPr>
          <w:rFonts w:ascii="Times New Roman" w:hAnsi="Times New Roman" w:cs="Times New Roman"/>
          <w:b/>
        </w:rPr>
        <w:t>ive Definition o</w:t>
      </w:r>
      <w:r w:rsidRPr="00B527C1">
        <w:rPr>
          <w:rFonts w:ascii="Times New Roman" w:hAnsi="Times New Roman" w:cs="Times New Roman"/>
          <w:b/>
        </w:rPr>
        <w:t>f Factions</w:t>
      </w:r>
    </w:p>
    <w:p w14:paraId="0816949A" w14:textId="77777777" w:rsidR="00BF2065" w:rsidRPr="00356FD8" w:rsidRDefault="00BF2065" w:rsidP="00BF2065">
      <w:pPr>
        <w:spacing w:after="0"/>
        <w:rPr>
          <w:rFonts w:ascii="Times New Roman" w:hAnsi="Times New Roman" w:cs="Times New Roman"/>
        </w:rPr>
      </w:pPr>
    </w:p>
    <w:tbl>
      <w:tblPr>
        <w:tblW w:w="7420" w:type="dxa"/>
        <w:tblInd w:w="93" w:type="dxa"/>
        <w:tblBorders>
          <w:top w:val="single" w:sz="4" w:space="0" w:color="auto"/>
        </w:tblBorders>
        <w:tblLook w:val="04A0" w:firstRow="1" w:lastRow="0" w:firstColumn="1" w:lastColumn="0" w:noHBand="0" w:noVBand="1"/>
      </w:tblPr>
      <w:tblGrid>
        <w:gridCol w:w="2220"/>
        <w:gridCol w:w="1300"/>
        <w:gridCol w:w="1300"/>
        <w:gridCol w:w="1300"/>
        <w:gridCol w:w="1300"/>
      </w:tblGrid>
      <w:tr w:rsidR="00356FD8" w:rsidRPr="007B4857" w14:paraId="76D564E2" w14:textId="77777777" w:rsidTr="00B527C1">
        <w:trPr>
          <w:trHeight w:val="320"/>
        </w:trPr>
        <w:tc>
          <w:tcPr>
            <w:tcW w:w="2220" w:type="dxa"/>
            <w:shd w:val="clear" w:color="auto" w:fill="auto"/>
            <w:noWrap/>
            <w:vAlign w:val="bottom"/>
            <w:hideMark/>
          </w:tcPr>
          <w:p w14:paraId="4A630372" w14:textId="6E743071" w:rsidR="00356FD8" w:rsidRPr="007B4857" w:rsidRDefault="00356FD8" w:rsidP="00BF2065">
            <w:pPr>
              <w:spacing w:after="0"/>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 </w:t>
            </w:r>
          </w:p>
        </w:tc>
        <w:tc>
          <w:tcPr>
            <w:tcW w:w="1300" w:type="dxa"/>
            <w:shd w:val="clear" w:color="auto" w:fill="auto"/>
            <w:noWrap/>
            <w:hideMark/>
          </w:tcPr>
          <w:p w14:paraId="538815EA" w14:textId="5283BD28" w:rsidR="00356FD8" w:rsidRPr="00B527C1" w:rsidRDefault="00B527C1" w:rsidP="00BF2065">
            <w:pPr>
              <w:spacing w:after="0"/>
              <w:jc w:val="center"/>
              <w:rPr>
                <w:rFonts w:ascii="Times New Roman" w:eastAsia="Times New Roman" w:hAnsi="Times New Roman" w:cs="Times New Roman"/>
                <w:b/>
                <w:color w:val="000000"/>
                <w:sz w:val="18"/>
                <w:szCs w:val="18"/>
                <w:lang w:val="en-HK" w:eastAsia="en-US"/>
              </w:rPr>
            </w:pPr>
            <w:r>
              <w:rPr>
                <w:rFonts w:ascii="Times New Roman" w:eastAsia="Times New Roman" w:hAnsi="Times New Roman" w:cs="Times New Roman"/>
                <w:b/>
                <w:color w:val="000000"/>
                <w:sz w:val="18"/>
                <w:szCs w:val="18"/>
                <w:lang w:val="en-HK" w:eastAsia="en-US"/>
              </w:rPr>
              <w:t>County c</w:t>
            </w:r>
            <w:r w:rsidR="00356FD8" w:rsidRPr="00B527C1">
              <w:rPr>
                <w:rFonts w:ascii="Times New Roman" w:eastAsia="Times New Roman" w:hAnsi="Times New Roman" w:cs="Times New Roman"/>
                <w:b/>
                <w:color w:val="000000"/>
                <w:sz w:val="18"/>
                <w:szCs w:val="18"/>
                <w:lang w:val="en-HK" w:eastAsia="en-US"/>
              </w:rPr>
              <w:t>hief</w:t>
            </w:r>
          </w:p>
        </w:tc>
        <w:tc>
          <w:tcPr>
            <w:tcW w:w="1300" w:type="dxa"/>
            <w:shd w:val="clear" w:color="auto" w:fill="auto"/>
            <w:noWrap/>
            <w:hideMark/>
          </w:tcPr>
          <w:p w14:paraId="26BD8242" w14:textId="4EC4CB1C" w:rsidR="00356FD8" w:rsidRPr="00B527C1" w:rsidRDefault="00B527C1" w:rsidP="00BF2065">
            <w:pPr>
              <w:spacing w:after="0"/>
              <w:jc w:val="center"/>
              <w:rPr>
                <w:rFonts w:ascii="Times New Roman" w:eastAsia="Times New Roman" w:hAnsi="Times New Roman" w:cs="Times New Roman"/>
                <w:b/>
                <w:color w:val="000000"/>
                <w:sz w:val="18"/>
                <w:szCs w:val="18"/>
                <w:lang w:val="en-HK" w:eastAsia="en-US"/>
              </w:rPr>
            </w:pPr>
            <w:r>
              <w:rPr>
                <w:rFonts w:ascii="Times New Roman" w:eastAsia="Times New Roman" w:hAnsi="Times New Roman" w:cs="Times New Roman"/>
                <w:b/>
                <w:color w:val="000000"/>
                <w:sz w:val="18"/>
                <w:szCs w:val="18"/>
                <w:lang w:val="en-HK" w:eastAsia="en-US"/>
              </w:rPr>
              <w:t>County Party s</w:t>
            </w:r>
            <w:r w:rsidR="00356FD8" w:rsidRPr="00B527C1">
              <w:rPr>
                <w:rFonts w:ascii="Times New Roman" w:eastAsia="Times New Roman" w:hAnsi="Times New Roman" w:cs="Times New Roman"/>
                <w:b/>
                <w:color w:val="000000"/>
                <w:sz w:val="18"/>
                <w:szCs w:val="18"/>
                <w:lang w:val="en-HK" w:eastAsia="en-US"/>
              </w:rPr>
              <w:t>ecretary</w:t>
            </w:r>
          </w:p>
        </w:tc>
        <w:tc>
          <w:tcPr>
            <w:tcW w:w="1300" w:type="dxa"/>
            <w:shd w:val="clear" w:color="auto" w:fill="auto"/>
            <w:noWrap/>
            <w:hideMark/>
          </w:tcPr>
          <w:p w14:paraId="4F3AE60F" w14:textId="1168ACBF" w:rsidR="00356FD8" w:rsidRPr="00B527C1" w:rsidRDefault="00B527C1" w:rsidP="00BF2065">
            <w:pPr>
              <w:spacing w:after="0"/>
              <w:jc w:val="center"/>
              <w:rPr>
                <w:rFonts w:ascii="Times New Roman" w:eastAsia="Times New Roman" w:hAnsi="Times New Roman" w:cs="Times New Roman"/>
                <w:b/>
                <w:color w:val="000000"/>
                <w:sz w:val="18"/>
                <w:szCs w:val="18"/>
                <w:lang w:val="en-HK" w:eastAsia="en-US"/>
              </w:rPr>
            </w:pPr>
            <w:r>
              <w:rPr>
                <w:rFonts w:ascii="Times New Roman" w:eastAsia="Times New Roman" w:hAnsi="Times New Roman" w:cs="Times New Roman"/>
                <w:b/>
                <w:color w:val="000000"/>
                <w:sz w:val="18"/>
                <w:szCs w:val="18"/>
                <w:lang w:val="en-HK" w:eastAsia="en-US"/>
              </w:rPr>
              <w:t>Prefecture m</w:t>
            </w:r>
            <w:r w:rsidR="00356FD8" w:rsidRPr="00B527C1">
              <w:rPr>
                <w:rFonts w:ascii="Times New Roman" w:eastAsia="Times New Roman" w:hAnsi="Times New Roman" w:cs="Times New Roman"/>
                <w:b/>
                <w:color w:val="000000"/>
                <w:sz w:val="18"/>
                <w:szCs w:val="18"/>
                <w:lang w:val="en-HK" w:eastAsia="en-US"/>
              </w:rPr>
              <w:t>ayor</w:t>
            </w:r>
          </w:p>
        </w:tc>
        <w:tc>
          <w:tcPr>
            <w:tcW w:w="1300" w:type="dxa"/>
            <w:shd w:val="clear" w:color="auto" w:fill="auto"/>
            <w:noWrap/>
            <w:hideMark/>
          </w:tcPr>
          <w:p w14:paraId="21989D40" w14:textId="60C44EC0" w:rsidR="00356FD8" w:rsidRPr="00B527C1" w:rsidRDefault="00B527C1" w:rsidP="00BF2065">
            <w:pPr>
              <w:spacing w:after="0"/>
              <w:jc w:val="center"/>
              <w:rPr>
                <w:rFonts w:ascii="Times New Roman" w:eastAsia="Times New Roman" w:hAnsi="Times New Roman" w:cs="Times New Roman"/>
                <w:b/>
                <w:color w:val="000000"/>
                <w:sz w:val="18"/>
                <w:szCs w:val="18"/>
                <w:lang w:val="en-HK" w:eastAsia="en-US"/>
              </w:rPr>
            </w:pPr>
            <w:r>
              <w:rPr>
                <w:rFonts w:ascii="Times New Roman" w:eastAsia="Times New Roman" w:hAnsi="Times New Roman" w:cs="Times New Roman"/>
                <w:b/>
                <w:color w:val="000000"/>
                <w:sz w:val="18"/>
                <w:szCs w:val="18"/>
                <w:lang w:val="en-HK" w:eastAsia="en-US"/>
              </w:rPr>
              <w:t>Prefecture Party s</w:t>
            </w:r>
            <w:r w:rsidR="00356FD8" w:rsidRPr="00B527C1">
              <w:rPr>
                <w:rFonts w:ascii="Times New Roman" w:eastAsia="Times New Roman" w:hAnsi="Times New Roman" w:cs="Times New Roman"/>
                <w:b/>
                <w:color w:val="000000"/>
                <w:sz w:val="18"/>
                <w:szCs w:val="18"/>
                <w:lang w:val="en-HK" w:eastAsia="en-US"/>
              </w:rPr>
              <w:t>ecretary</w:t>
            </w:r>
          </w:p>
        </w:tc>
      </w:tr>
      <w:tr w:rsidR="00356FD8" w:rsidRPr="007B4857" w14:paraId="75D42017" w14:textId="77777777" w:rsidTr="00B527C1">
        <w:trPr>
          <w:trHeight w:val="520"/>
        </w:trPr>
        <w:tc>
          <w:tcPr>
            <w:tcW w:w="2220" w:type="dxa"/>
            <w:shd w:val="clear" w:color="auto" w:fill="auto"/>
            <w:noWrap/>
            <w:vAlign w:val="bottom"/>
            <w:hideMark/>
          </w:tcPr>
          <w:p w14:paraId="738C1AA0" w14:textId="0304BDBF" w:rsidR="00356FD8" w:rsidRPr="007B4857" w:rsidRDefault="00356FD8" w:rsidP="00BF2065">
            <w:pPr>
              <w:spacing w:after="0"/>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Log GDP per capita</w:t>
            </w:r>
          </w:p>
        </w:tc>
        <w:tc>
          <w:tcPr>
            <w:tcW w:w="1300" w:type="dxa"/>
            <w:shd w:val="clear" w:color="auto" w:fill="auto"/>
            <w:vAlign w:val="bottom"/>
            <w:hideMark/>
          </w:tcPr>
          <w:p w14:paraId="60E654F3" w14:textId="7BA40A35"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-0.136**</w:t>
            </w:r>
          </w:p>
        </w:tc>
        <w:tc>
          <w:tcPr>
            <w:tcW w:w="1300" w:type="dxa"/>
            <w:shd w:val="clear" w:color="auto" w:fill="auto"/>
            <w:vAlign w:val="bottom"/>
            <w:hideMark/>
          </w:tcPr>
          <w:p w14:paraId="7F55CC9C" w14:textId="324C05A6"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-0.125**</w:t>
            </w:r>
          </w:p>
        </w:tc>
        <w:tc>
          <w:tcPr>
            <w:tcW w:w="1300" w:type="dxa"/>
            <w:shd w:val="clear" w:color="auto" w:fill="auto"/>
            <w:vAlign w:val="bottom"/>
            <w:hideMark/>
          </w:tcPr>
          <w:p w14:paraId="199770D0" w14:textId="68BE47E1"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0.141**</w:t>
            </w:r>
          </w:p>
        </w:tc>
        <w:tc>
          <w:tcPr>
            <w:tcW w:w="1300" w:type="dxa"/>
            <w:shd w:val="clear" w:color="auto" w:fill="auto"/>
            <w:vAlign w:val="bottom"/>
            <w:hideMark/>
          </w:tcPr>
          <w:p w14:paraId="61CFA404" w14:textId="19C858E0"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0.105**</w:t>
            </w:r>
          </w:p>
        </w:tc>
      </w:tr>
      <w:tr w:rsidR="00356FD8" w:rsidRPr="007B4857" w14:paraId="2BE0F911" w14:textId="77777777" w:rsidTr="00B527C1">
        <w:trPr>
          <w:trHeight w:val="300"/>
        </w:trPr>
        <w:tc>
          <w:tcPr>
            <w:tcW w:w="2220" w:type="dxa"/>
            <w:shd w:val="clear" w:color="auto" w:fill="auto"/>
            <w:noWrap/>
            <w:vAlign w:val="bottom"/>
            <w:hideMark/>
          </w:tcPr>
          <w:p w14:paraId="65E00F1C" w14:textId="36063C54" w:rsidR="00356FD8" w:rsidRPr="007B4857" w:rsidRDefault="00356FD8" w:rsidP="00BF2065">
            <w:pPr>
              <w:spacing w:after="0"/>
              <w:rPr>
                <w:rFonts w:ascii="Times New Roman" w:eastAsia="Times New Roman" w:hAnsi="Times New Roman" w:cs="Times New Roman"/>
                <w:color w:val="000000"/>
                <w:sz w:val="18"/>
                <w:szCs w:val="18"/>
                <w:lang w:val="en-HK" w:eastAsia="en-US"/>
              </w:rPr>
            </w:pPr>
          </w:p>
        </w:tc>
        <w:tc>
          <w:tcPr>
            <w:tcW w:w="1300" w:type="dxa"/>
            <w:shd w:val="clear" w:color="auto" w:fill="auto"/>
            <w:noWrap/>
            <w:vAlign w:val="bottom"/>
            <w:hideMark/>
          </w:tcPr>
          <w:p w14:paraId="5FB08FA5" w14:textId="006060CF"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(0.016)</w:t>
            </w:r>
          </w:p>
        </w:tc>
        <w:tc>
          <w:tcPr>
            <w:tcW w:w="1300" w:type="dxa"/>
            <w:shd w:val="clear" w:color="auto" w:fill="auto"/>
            <w:noWrap/>
            <w:vAlign w:val="bottom"/>
            <w:hideMark/>
          </w:tcPr>
          <w:p w14:paraId="13838B0E" w14:textId="07C1CF19"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(0.015)</w:t>
            </w:r>
          </w:p>
        </w:tc>
        <w:tc>
          <w:tcPr>
            <w:tcW w:w="1300" w:type="dxa"/>
            <w:shd w:val="clear" w:color="auto" w:fill="auto"/>
            <w:noWrap/>
            <w:vAlign w:val="bottom"/>
            <w:hideMark/>
          </w:tcPr>
          <w:p w14:paraId="387A50F5" w14:textId="7DB863A3"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(0.022)</w:t>
            </w:r>
          </w:p>
        </w:tc>
        <w:tc>
          <w:tcPr>
            <w:tcW w:w="1300" w:type="dxa"/>
            <w:shd w:val="clear" w:color="auto" w:fill="auto"/>
            <w:noWrap/>
            <w:vAlign w:val="bottom"/>
            <w:hideMark/>
          </w:tcPr>
          <w:p w14:paraId="47809BAC" w14:textId="3761A9D5"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 xml:space="preserve">(0.025)  </w:t>
            </w:r>
          </w:p>
        </w:tc>
      </w:tr>
      <w:tr w:rsidR="00356FD8" w:rsidRPr="007B4857" w14:paraId="3532BBA2" w14:textId="77777777" w:rsidTr="00B527C1">
        <w:trPr>
          <w:trHeight w:val="300"/>
        </w:trPr>
        <w:tc>
          <w:tcPr>
            <w:tcW w:w="2220" w:type="dxa"/>
            <w:shd w:val="clear" w:color="auto" w:fill="auto"/>
            <w:noWrap/>
            <w:vAlign w:val="bottom"/>
            <w:hideMark/>
          </w:tcPr>
          <w:p w14:paraId="70BFC402" w14:textId="42485FDF" w:rsidR="00356FD8" w:rsidRPr="007B4857" w:rsidRDefault="00B527C1" w:rsidP="00BF2065">
            <w:pPr>
              <w:spacing w:after="0"/>
              <w:rPr>
                <w:rFonts w:ascii="Times New Roman" w:eastAsia="Times New Roman" w:hAnsi="Times New Roman" w:cs="Times New Roman"/>
                <w:color w:val="000000"/>
                <w:sz w:val="18"/>
                <w:szCs w:val="18"/>
                <w:lang w:val="en-HK" w:eastAsia="en-US"/>
              </w:rPr>
            </w:pPr>
            <w:r>
              <w:rPr>
                <w:rFonts w:ascii="Times New Roman" w:eastAsia="Times New Roman" w:hAnsi="Times New Roman" w:cs="Times New Roman"/>
                <w:color w:val="000000"/>
                <w:sz w:val="18"/>
                <w:szCs w:val="18"/>
                <w:lang w:val="en-HK" w:eastAsia="en-US"/>
              </w:rPr>
              <w:t>Economic p</w:t>
            </w:r>
            <w:r w:rsidR="00356FD8" w:rsidRPr="007B4857">
              <w:rPr>
                <w:rFonts w:ascii="Times New Roman" w:eastAsia="Times New Roman" w:hAnsi="Times New Roman" w:cs="Times New Roman"/>
                <w:color w:val="000000"/>
                <w:sz w:val="18"/>
                <w:szCs w:val="18"/>
                <w:lang w:val="en-HK" w:eastAsia="en-US"/>
              </w:rPr>
              <w:t>erformance</w:t>
            </w:r>
          </w:p>
        </w:tc>
        <w:tc>
          <w:tcPr>
            <w:tcW w:w="1300" w:type="dxa"/>
            <w:shd w:val="clear" w:color="auto" w:fill="auto"/>
            <w:noWrap/>
            <w:vAlign w:val="bottom"/>
            <w:hideMark/>
          </w:tcPr>
          <w:p w14:paraId="07CF81D5" w14:textId="639ED431"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-0.013**</w:t>
            </w:r>
          </w:p>
        </w:tc>
        <w:tc>
          <w:tcPr>
            <w:tcW w:w="1300" w:type="dxa"/>
            <w:shd w:val="clear" w:color="auto" w:fill="auto"/>
            <w:noWrap/>
            <w:vAlign w:val="bottom"/>
            <w:hideMark/>
          </w:tcPr>
          <w:p w14:paraId="3EB47AA8" w14:textId="1C8B661B"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-0.009**</w:t>
            </w:r>
          </w:p>
        </w:tc>
        <w:tc>
          <w:tcPr>
            <w:tcW w:w="1300" w:type="dxa"/>
            <w:shd w:val="clear" w:color="auto" w:fill="auto"/>
            <w:noWrap/>
            <w:vAlign w:val="bottom"/>
            <w:hideMark/>
          </w:tcPr>
          <w:p w14:paraId="2CD2544D" w14:textId="5E58CC60"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-0.010</w:t>
            </w:r>
          </w:p>
        </w:tc>
        <w:tc>
          <w:tcPr>
            <w:tcW w:w="1300" w:type="dxa"/>
            <w:shd w:val="clear" w:color="auto" w:fill="auto"/>
            <w:noWrap/>
            <w:vAlign w:val="bottom"/>
            <w:hideMark/>
          </w:tcPr>
          <w:p w14:paraId="1BF8DC93" w14:textId="55DEAF6D"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 xml:space="preserve">-0.020* </w:t>
            </w:r>
          </w:p>
        </w:tc>
      </w:tr>
      <w:tr w:rsidR="00356FD8" w:rsidRPr="007B4857" w14:paraId="384DAF69" w14:textId="77777777" w:rsidTr="00B527C1">
        <w:trPr>
          <w:trHeight w:val="300"/>
        </w:trPr>
        <w:tc>
          <w:tcPr>
            <w:tcW w:w="2220" w:type="dxa"/>
            <w:shd w:val="clear" w:color="auto" w:fill="auto"/>
            <w:noWrap/>
            <w:vAlign w:val="bottom"/>
            <w:hideMark/>
          </w:tcPr>
          <w:p w14:paraId="76551395" w14:textId="300C39B8" w:rsidR="00356FD8" w:rsidRPr="007B4857" w:rsidRDefault="00356FD8" w:rsidP="00BF2065">
            <w:pPr>
              <w:spacing w:after="0"/>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lang w:val="en-HK" w:eastAsia="en-US"/>
              </w:rPr>
              <w:t> </w:t>
            </w:r>
          </w:p>
        </w:tc>
        <w:tc>
          <w:tcPr>
            <w:tcW w:w="1300" w:type="dxa"/>
            <w:shd w:val="clear" w:color="auto" w:fill="auto"/>
            <w:noWrap/>
            <w:vAlign w:val="bottom"/>
            <w:hideMark/>
          </w:tcPr>
          <w:p w14:paraId="38DD4440" w14:textId="3EBD118F"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(0.002)</w:t>
            </w:r>
          </w:p>
        </w:tc>
        <w:tc>
          <w:tcPr>
            <w:tcW w:w="1300" w:type="dxa"/>
            <w:shd w:val="clear" w:color="auto" w:fill="auto"/>
            <w:noWrap/>
            <w:vAlign w:val="bottom"/>
            <w:hideMark/>
          </w:tcPr>
          <w:p w14:paraId="1B900E50" w14:textId="12900D6C"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(0.002)</w:t>
            </w:r>
          </w:p>
        </w:tc>
        <w:tc>
          <w:tcPr>
            <w:tcW w:w="1300" w:type="dxa"/>
            <w:shd w:val="clear" w:color="auto" w:fill="auto"/>
            <w:noWrap/>
            <w:vAlign w:val="bottom"/>
            <w:hideMark/>
          </w:tcPr>
          <w:p w14:paraId="0081DC59" w14:textId="5F49D6C0"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(0.007)</w:t>
            </w:r>
          </w:p>
        </w:tc>
        <w:tc>
          <w:tcPr>
            <w:tcW w:w="1300" w:type="dxa"/>
            <w:shd w:val="clear" w:color="auto" w:fill="auto"/>
            <w:noWrap/>
            <w:vAlign w:val="bottom"/>
            <w:hideMark/>
          </w:tcPr>
          <w:p w14:paraId="10EEE82D" w14:textId="28AA4F4D" w:rsidR="00356FD8" w:rsidRPr="007B4857" w:rsidRDefault="00356FD8" w:rsidP="00BF2065">
            <w:pPr>
              <w:spacing w:after="0"/>
              <w:jc w:val="center"/>
              <w:rPr>
                <w:rFonts w:ascii="Times New Roman" w:eastAsia="Times New Roman" w:hAnsi="Times New Roman" w:cs="Times New Roman"/>
                <w:color w:val="000000"/>
                <w:sz w:val="18"/>
                <w:szCs w:val="18"/>
                <w:lang w:val="en-HK" w:eastAsia="en-US"/>
              </w:rPr>
            </w:pPr>
            <w:r w:rsidRPr="007B4857">
              <w:rPr>
                <w:rFonts w:ascii="Times New Roman" w:eastAsia="Times New Roman" w:hAnsi="Times New Roman" w:cs="Times New Roman"/>
                <w:color w:val="000000"/>
                <w:sz w:val="18"/>
                <w:szCs w:val="18"/>
                <w:lang w:val="en-HK" w:eastAsia="en-US"/>
              </w:rPr>
              <w:t xml:space="preserve">(0.008)  </w:t>
            </w:r>
          </w:p>
        </w:tc>
      </w:tr>
    </w:tbl>
    <w:p w14:paraId="4DA6EB12" w14:textId="77777777" w:rsidR="00356FD8" w:rsidRDefault="00356FD8" w:rsidP="00BF2065">
      <w:pPr>
        <w:spacing w:after="0"/>
        <w:rPr>
          <w:rFonts w:ascii="Times New Roman" w:eastAsia="SimSun" w:hAnsi="Times New Roman" w:cs="Times New Roman"/>
          <w:b/>
          <w:bCs/>
          <w:sz w:val="28"/>
          <w:szCs w:val="28"/>
          <w:lang w:eastAsia="zh-CN"/>
        </w:rPr>
      </w:pPr>
    </w:p>
    <w:p w14:paraId="7E5492A8" w14:textId="41A352C7" w:rsidR="00892CBA" w:rsidRPr="002A5FDC" w:rsidRDefault="00892CBA" w:rsidP="00BF2065">
      <w:pPr>
        <w:spacing w:after="0"/>
        <w:rPr>
          <w:rFonts w:ascii="Times New Roman" w:eastAsia="SimSun" w:hAnsi="Times New Roman" w:cs="Times New Roman"/>
          <w:b/>
          <w:bCs/>
          <w:sz w:val="28"/>
          <w:szCs w:val="28"/>
          <w:lang w:eastAsia="zh-CN"/>
        </w:rPr>
      </w:pPr>
      <w:r w:rsidRPr="002A5FDC">
        <w:rPr>
          <w:rFonts w:ascii="Times New Roman" w:eastAsia="SimSun" w:hAnsi="Times New Roman" w:cs="Times New Roman"/>
          <w:b/>
          <w:bCs/>
          <w:sz w:val="28"/>
          <w:szCs w:val="28"/>
          <w:lang w:eastAsia="zh-CN"/>
        </w:rPr>
        <w:t>Reference</w:t>
      </w:r>
      <w:r w:rsidR="004D56DF" w:rsidRPr="002A5FDC">
        <w:rPr>
          <w:rFonts w:ascii="Times New Roman" w:eastAsia="SimSun" w:hAnsi="Times New Roman" w:cs="Times New Roman"/>
          <w:b/>
          <w:bCs/>
          <w:sz w:val="28"/>
          <w:szCs w:val="28"/>
          <w:lang w:eastAsia="zh-CN"/>
        </w:rPr>
        <w:t>s</w:t>
      </w:r>
      <w:r w:rsidRPr="002A5FDC">
        <w:rPr>
          <w:rFonts w:ascii="Times New Roman" w:eastAsia="SimSun" w:hAnsi="Times New Roman" w:cs="Times New Roman"/>
          <w:b/>
          <w:bCs/>
          <w:sz w:val="28"/>
          <w:szCs w:val="28"/>
          <w:lang w:eastAsia="zh-CN"/>
        </w:rPr>
        <w:t xml:space="preserve"> </w:t>
      </w:r>
    </w:p>
    <w:p w14:paraId="310238B6" w14:textId="77777777" w:rsidR="00B527C1" w:rsidRDefault="00F0505F" w:rsidP="00BF2065">
      <w:pPr>
        <w:pStyle w:val="Paragraph"/>
        <w:spacing w:line="240" w:lineRule="auto"/>
        <w:ind w:left="720" w:hanging="720"/>
        <w:rPr>
          <w:lang w:eastAsia="zh-CN"/>
        </w:rPr>
      </w:pPr>
      <w:r>
        <w:rPr>
          <w:lang w:eastAsia="zh-CN"/>
        </w:rPr>
        <w:t xml:space="preserve">Bell, Andrew, and Kelvyn Jones. 2015. “Explaining </w:t>
      </w:r>
      <w:r w:rsidR="00B527C1">
        <w:rPr>
          <w:lang w:eastAsia="zh-CN"/>
        </w:rPr>
        <w:t>fixed effects: random effects modeling of time-series cross-sectional and panel data</w:t>
      </w:r>
      <w:r>
        <w:rPr>
          <w:lang w:eastAsia="zh-CN"/>
        </w:rPr>
        <w:t xml:space="preserve">.” </w:t>
      </w:r>
      <w:r>
        <w:rPr>
          <w:i/>
          <w:lang w:eastAsia="zh-CN"/>
        </w:rPr>
        <w:t>Political Science Research and Methods</w:t>
      </w:r>
      <w:r>
        <w:rPr>
          <w:lang w:eastAsia="zh-CN"/>
        </w:rPr>
        <w:t xml:space="preserve"> 3(1), 133–153.</w:t>
      </w:r>
    </w:p>
    <w:p w14:paraId="1060685B" w14:textId="77777777" w:rsidR="00B527C1" w:rsidRDefault="009A3EB5" w:rsidP="00BF2065">
      <w:pPr>
        <w:pStyle w:val="Paragraph"/>
        <w:spacing w:line="240" w:lineRule="auto"/>
        <w:ind w:left="720" w:hanging="720"/>
        <w:rPr>
          <w:lang w:eastAsia="zh-CN"/>
        </w:rPr>
      </w:pPr>
      <w:r>
        <w:rPr>
          <w:lang w:eastAsia="zh-CN"/>
        </w:rPr>
        <w:t>Box-Steffensmeier, Janet M., and Bradford S. Jones.</w:t>
      </w:r>
      <w:r w:rsidR="00B527C1">
        <w:rPr>
          <w:lang w:eastAsia="zh-CN"/>
        </w:rPr>
        <w:t xml:space="preserve"> 2004.</w:t>
      </w:r>
      <w:r>
        <w:rPr>
          <w:lang w:eastAsia="zh-CN"/>
        </w:rPr>
        <w:t xml:space="preserve"> </w:t>
      </w:r>
      <w:r w:rsidRPr="00D60536">
        <w:rPr>
          <w:i/>
          <w:iCs/>
          <w:lang w:eastAsia="zh-CN"/>
        </w:rPr>
        <w:t>Event History Modeling: A Guide for Social Scientists</w:t>
      </w:r>
      <w:r>
        <w:rPr>
          <w:lang w:eastAsia="zh-CN"/>
        </w:rPr>
        <w:t xml:space="preserve">. </w:t>
      </w:r>
      <w:r w:rsidR="00B527C1">
        <w:rPr>
          <w:lang w:eastAsia="zh-CN"/>
        </w:rPr>
        <w:t xml:space="preserve">New York: </w:t>
      </w:r>
      <w:r>
        <w:rPr>
          <w:lang w:eastAsia="zh-CN"/>
        </w:rPr>
        <w:t>Cambridge University Press.</w:t>
      </w:r>
    </w:p>
    <w:p w14:paraId="0A3ED412" w14:textId="77777777" w:rsidR="00B527C1" w:rsidRDefault="00F56E2B" w:rsidP="00BF2065">
      <w:pPr>
        <w:pStyle w:val="Paragraph"/>
        <w:spacing w:line="240" w:lineRule="auto"/>
        <w:ind w:left="720" w:hanging="720"/>
        <w:rPr>
          <w:lang w:eastAsia="zh-CN"/>
        </w:rPr>
      </w:pPr>
      <w:r>
        <w:rPr>
          <w:lang w:eastAsia="zh-CN"/>
        </w:rPr>
        <w:t xml:space="preserve">Kou, Chien-wen, and Xiaowei Zang (eds.). 2014. </w:t>
      </w:r>
      <w:r>
        <w:rPr>
          <w:i/>
          <w:lang w:eastAsia="zh-CN"/>
        </w:rPr>
        <w:t>Choosing China’s Leaders</w:t>
      </w:r>
      <w:r w:rsidR="00B527C1">
        <w:rPr>
          <w:lang w:eastAsia="zh-CN"/>
        </w:rPr>
        <w:t>. London</w:t>
      </w:r>
      <w:r>
        <w:rPr>
          <w:lang w:eastAsia="zh-CN"/>
        </w:rPr>
        <w:t>: Routledge.</w:t>
      </w:r>
    </w:p>
    <w:p w14:paraId="547FC17E" w14:textId="4F320B87" w:rsidR="00B527C1" w:rsidRDefault="00BD0F0C" w:rsidP="00BF2065">
      <w:pPr>
        <w:pStyle w:val="Paragraph"/>
        <w:spacing w:line="240" w:lineRule="auto"/>
        <w:ind w:left="720" w:hanging="720"/>
        <w:rPr>
          <w:lang w:eastAsia="zh-CN"/>
        </w:rPr>
      </w:pPr>
      <w:r>
        <w:rPr>
          <w:lang w:eastAsia="zh-CN"/>
        </w:rPr>
        <w:t xml:space="preserve">Mundlak, Yair. 1978. “On the </w:t>
      </w:r>
      <w:r w:rsidR="00B527C1">
        <w:rPr>
          <w:lang w:eastAsia="zh-CN"/>
        </w:rPr>
        <w:t>pooling of time series and cross section data</w:t>
      </w:r>
      <w:r>
        <w:rPr>
          <w:lang w:eastAsia="zh-CN"/>
        </w:rPr>
        <w:t xml:space="preserve">.” </w:t>
      </w:r>
      <w:r>
        <w:rPr>
          <w:i/>
          <w:lang w:eastAsia="zh-CN"/>
        </w:rPr>
        <w:t>Econometrica: Journal of the Econometric Society</w:t>
      </w:r>
      <w:r w:rsidR="00050C3D">
        <w:rPr>
          <w:i/>
          <w:lang w:eastAsia="zh-CN"/>
        </w:rPr>
        <w:t xml:space="preserve"> </w:t>
      </w:r>
      <w:r w:rsidR="00050C3D">
        <w:rPr>
          <w:lang w:eastAsia="zh-CN"/>
        </w:rPr>
        <w:t xml:space="preserve">46(1), </w:t>
      </w:r>
      <w:r>
        <w:rPr>
          <w:lang w:eastAsia="zh-CN"/>
        </w:rPr>
        <w:t>69–85.</w:t>
      </w:r>
    </w:p>
    <w:p w14:paraId="2B33124A" w14:textId="364F42DC" w:rsidR="00CC794A" w:rsidRDefault="00CC794A" w:rsidP="00BF2065">
      <w:pPr>
        <w:pStyle w:val="Paragraph"/>
        <w:spacing w:line="240" w:lineRule="auto"/>
        <w:ind w:left="720" w:hanging="720"/>
        <w:rPr>
          <w:lang w:eastAsia="zh-CN"/>
        </w:rPr>
      </w:pPr>
      <w:r>
        <w:rPr>
          <w:lang w:eastAsia="zh-CN"/>
        </w:rPr>
        <w:t xml:space="preserve">Rabe-Hesketh, Sophia, and Anders Skrondal. 2008. </w:t>
      </w:r>
      <w:r>
        <w:rPr>
          <w:i/>
          <w:lang w:eastAsia="zh-CN"/>
        </w:rPr>
        <w:t>Multilevel and Longitudinal Modeling Using Stata</w:t>
      </w:r>
      <w:r>
        <w:rPr>
          <w:lang w:eastAsia="zh-CN"/>
        </w:rPr>
        <w:t>.</w:t>
      </w:r>
      <w:r w:rsidR="00B527C1">
        <w:rPr>
          <w:lang w:eastAsia="zh-CN"/>
        </w:rPr>
        <w:t xml:space="preserve"> </w:t>
      </w:r>
      <w:r w:rsidR="00050C3D">
        <w:rPr>
          <w:lang w:eastAsia="zh-CN"/>
        </w:rPr>
        <w:t>College Station, TX:</w:t>
      </w:r>
      <w:r>
        <w:rPr>
          <w:lang w:eastAsia="zh-CN"/>
        </w:rPr>
        <w:t xml:space="preserve"> STATA press. </w:t>
      </w:r>
    </w:p>
    <w:p w14:paraId="3200BE18" w14:textId="77777777" w:rsidR="00892CBA" w:rsidRPr="00D60536" w:rsidRDefault="00892CBA" w:rsidP="00BF2065">
      <w:pPr>
        <w:spacing w:after="0"/>
        <w:rPr>
          <w:rFonts w:ascii="Times New Roman" w:hAnsi="Times New Roman" w:cs="Times New Roman"/>
        </w:rPr>
      </w:pPr>
    </w:p>
    <w:sectPr w:rsidR="00892CBA" w:rsidRPr="00D60536" w:rsidSect="00FB475B">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F49EF" w14:textId="77777777" w:rsidR="00842985" w:rsidRDefault="00842985" w:rsidP="00194765">
      <w:pPr>
        <w:spacing w:after="0"/>
      </w:pPr>
      <w:r>
        <w:separator/>
      </w:r>
    </w:p>
  </w:endnote>
  <w:endnote w:type="continuationSeparator" w:id="0">
    <w:p w14:paraId="28222DB1" w14:textId="77777777" w:rsidR="00842985" w:rsidRDefault="00842985" w:rsidP="00194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E019D" w14:textId="77777777" w:rsidR="00842985" w:rsidRDefault="00842985" w:rsidP="00194765">
      <w:pPr>
        <w:spacing w:after="0"/>
      </w:pPr>
      <w:r>
        <w:separator/>
      </w:r>
    </w:p>
  </w:footnote>
  <w:footnote w:type="continuationSeparator" w:id="0">
    <w:p w14:paraId="3F76A22E" w14:textId="77777777" w:rsidR="00842985" w:rsidRDefault="00842985" w:rsidP="00194765">
      <w:pPr>
        <w:spacing w:after="0"/>
      </w:pPr>
      <w:r>
        <w:continuationSeparator/>
      </w:r>
    </w:p>
  </w:footnote>
  <w:footnote w:id="1">
    <w:p w14:paraId="4360429C" w14:textId="77777777"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The Local Leader Dataset is maintained by People.cn, an online portal for the </w:t>
      </w:r>
      <w:r w:rsidRPr="00BF2065">
        <w:rPr>
          <w:i/>
          <w:sz w:val="20"/>
        </w:rPr>
        <w:t>People’s Daily</w:t>
      </w:r>
      <w:r w:rsidRPr="00BF2065">
        <w:rPr>
          <w:sz w:val="20"/>
        </w:rPr>
        <w:t>.</w:t>
      </w:r>
    </w:p>
  </w:footnote>
  <w:footnote w:id="2">
    <w:p w14:paraId="5EE831E3" w14:textId="3F9BFD6F"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The order of importance of our data sources is</w:t>
      </w:r>
      <w:r w:rsidR="001250D2" w:rsidRPr="00BF2065">
        <w:rPr>
          <w:sz w:val="20"/>
        </w:rPr>
        <w:t>:</w:t>
      </w:r>
      <w:r w:rsidRPr="00BF2065">
        <w:rPr>
          <w:sz w:val="20"/>
        </w:rPr>
        <w:t xml:space="preserve"> Local Leader Dataset, province yearbooks, and other sources. Because </w:t>
      </w:r>
      <w:r w:rsidR="001250D2" w:rsidRPr="00BF2065">
        <w:rPr>
          <w:sz w:val="20"/>
        </w:rPr>
        <w:t xml:space="preserve">the </w:t>
      </w:r>
      <w:r w:rsidRPr="00BF2065">
        <w:rPr>
          <w:sz w:val="20"/>
        </w:rPr>
        <w:t>Local leader Dataset only provides county leaders who were incumbent at the end of 2015 and province yearbooks often lack a complete name list, we also consult</w:t>
      </w:r>
      <w:r w:rsidR="001250D2" w:rsidRPr="00BF2065">
        <w:rPr>
          <w:sz w:val="20"/>
        </w:rPr>
        <w:t>ed</w:t>
      </w:r>
      <w:r w:rsidRPr="00BF2065">
        <w:rPr>
          <w:sz w:val="20"/>
        </w:rPr>
        <w:t xml:space="preserve"> </w:t>
      </w:r>
      <w:r w:rsidR="001250D2" w:rsidRPr="00BF2065">
        <w:rPr>
          <w:sz w:val="20"/>
        </w:rPr>
        <w:t xml:space="preserve">the website, </w:t>
      </w:r>
      <w:r w:rsidRPr="00BF2065">
        <w:rPr>
          <w:i/>
          <w:sz w:val="20"/>
        </w:rPr>
        <w:t>Guqiaowang</w:t>
      </w:r>
      <w:r w:rsidRPr="00BF2065">
        <w:rPr>
          <w:sz w:val="20"/>
        </w:rPr>
        <w:t xml:space="preserve">, which provides a platform for users to voluntarily report information about </w:t>
      </w:r>
      <w:r w:rsidR="001250D2" w:rsidRPr="00BF2065">
        <w:rPr>
          <w:sz w:val="20"/>
        </w:rPr>
        <w:t xml:space="preserve">the </w:t>
      </w:r>
      <w:r w:rsidRPr="00BF2065">
        <w:rPr>
          <w:sz w:val="20"/>
        </w:rPr>
        <w:t xml:space="preserve">career moves of local officials. For quality assurance, we crosschecked the </w:t>
      </w:r>
      <w:r w:rsidR="001250D2" w:rsidRPr="00BF2065">
        <w:rPr>
          <w:sz w:val="20"/>
        </w:rPr>
        <w:t>names of officials identified on</w:t>
      </w:r>
      <w:r w:rsidRPr="00BF2065">
        <w:rPr>
          <w:sz w:val="20"/>
        </w:rPr>
        <w:t xml:space="preserve"> </w:t>
      </w:r>
      <w:r w:rsidRPr="00BF2065">
        <w:rPr>
          <w:i/>
          <w:sz w:val="20"/>
        </w:rPr>
        <w:t>Guqiaowang</w:t>
      </w:r>
      <w:r w:rsidRPr="00BF2065">
        <w:rPr>
          <w:sz w:val="20"/>
        </w:rPr>
        <w:t xml:space="preserve"> </w:t>
      </w:r>
      <w:r w:rsidR="001250D2" w:rsidRPr="00BF2065">
        <w:rPr>
          <w:sz w:val="20"/>
        </w:rPr>
        <w:t xml:space="preserve">with </w:t>
      </w:r>
      <w:r w:rsidRPr="00BF2065">
        <w:rPr>
          <w:i/>
          <w:sz w:val="20"/>
        </w:rPr>
        <w:t>Baidu</w:t>
      </w:r>
      <w:r w:rsidRPr="00BF2065">
        <w:rPr>
          <w:sz w:val="20"/>
        </w:rPr>
        <w:t>. The URL of the Local Leader Dataset is http:// ldzl.people.com.cn/dfzlk/front/firstPage.htm</w:t>
      </w:r>
      <w:r w:rsidR="001250D2" w:rsidRPr="00BF2065">
        <w:rPr>
          <w:sz w:val="20"/>
        </w:rPr>
        <w:t>.</w:t>
      </w:r>
      <w:r w:rsidRPr="00BF2065">
        <w:rPr>
          <w:sz w:val="20"/>
        </w:rPr>
        <w:t xml:space="preserve"> </w:t>
      </w:r>
      <w:r w:rsidRPr="00BF2065">
        <w:rPr>
          <w:i/>
          <w:sz w:val="20"/>
        </w:rPr>
        <w:t>Guiqiaowang</w:t>
      </w:r>
      <w:r w:rsidRPr="00BF2065">
        <w:rPr>
          <w:sz w:val="20"/>
        </w:rPr>
        <w:t xml:space="preserve"> is </w:t>
      </w:r>
      <w:r w:rsidR="001250D2" w:rsidRPr="00BF2065">
        <w:rPr>
          <w:sz w:val="20"/>
        </w:rPr>
        <w:t xml:space="preserve">available at </w:t>
      </w:r>
      <w:r w:rsidRPr="00BF2065">
        <w:rPr>
          <w:sz w:val="20"/>
        </w:rPr>
        <w:t>http://www.guqiaow.com/.</w:t>
      </w:r>
    </w:p>
  </w:footnote>
  <w:footnote w:id="3">
    <w:p w14:paraId="0CCEBBCB" w14:textId="77777777"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For more details, see http://www.wind.com.cn/Default.aspx.</w:t>
      </w:r>
    </w:p>
  </w:footnote>
  <w:footnote w:id="4">
    <w:p w14:paraId="7207048E" w14:textId="77777777"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Bell and Jones 2015. </w:t>
      </w:r>
    </w:p>
  </w:footnote>
  <w:footnote w:id="5">
    <w:p w14:paraId="1246A311" w14:textId="79F07671"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Researchers usually deal with such endogeneity using fixed-effects models. As various authors point out, random effects estimation with cluster means of level-1 variables yields similar estimates as fixed-effects models, but the former can avoid losing information </w:t>
      </w:r>
      <w:r w:rsidR="00363B65" w:rsidRPr="00BF2065">
        <w:rPr>
          <w:sz w:val="20"/>
        </w:rPr>
        <w:t>pertaining to between effects. Mundlak 1978; Rabe-Hesketh and Skrondal 2008; Bell and Jones 2015.</w:t>
      </w:r>
    </w:p>
  </w:footnote>
  <w:footnote w:id="6">
    <w:p w14:paraId="3AEA70CF" w14:textId="77777777"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Box-Steffensmeier and Jones 2004.</w:t>
      </w:r>
    </w:p>
  </w:footnote>
  <w:footnote w:id="7">
    <w:p w14:paraId="62C840FB" w14:textId="23169651" w:rsidR="006902EF" w:rsidRPr="00BF2065" w:rsidRDefault="006902EF" w:rsidP="00BF2065">
      <w:pPr>
        <w:pStyle w:val="FootnoteText"/>
        <w:spacing w:line="240" w:lineRule="auto"/>
        <w:ind w:left="0" w:firstLine="0"/>
        <w:jc w:val="both"/>
        <w:rPr>
          <w:sz w:val="20"/>
          <w:lang w:eastAsia="zh-CN"/>
        </w:rPr>
      </w:pPr>
      <w:r w:rsidRPr="00BF2065">
        <w:rPr>
          <w:rStyle w:val="FootnoteReference"/>
          <w:sz w:val="20"/>
        </w:rPr>
        <w:footnoteRef/>
      </w:r>
      <w:r w:rsidRPr="00BF2065">
        <w:rPr>
          <w:sz w:val="20"/>
        </w:rPr>
        <w:t xml:space="preserve"> Kou and Zang 201</w:t>
      </w:r>
      <w:r w:rsidR="00D32A23" w:rsidRPr="00BF2065">
        <w:rPr>
          <w:rFonts w:eastAsia="SimSun"/>
          <w:sz w:val="20"/>
          <w:lang w:eastAsia="zh-CN"/>
        </w:rPr>
        <w:t>4</w:t>
      </w:r>
      <w:r w:rsidRPr="00BF2065">
        <w:rPr>
          <w:sz w:val="20"/>
        </w:rPr>
        <w:t>.</w:t>
      </w:r>
    </w:p>
  </w:footnote>
  <w:footnote w:id="8">
    <w:p w14:paraId="0FAC48FC" w14:textId="463C2B70" w:rsidR="00257C4E" w:rsidRPr="00BF2065" w:rsidRDefault="00257C4E" w:rsidP="00BF2065">
      <w:pPr>
        <w:pStyle w:val="FootnoteText"/>
        <w:spacing w:line="240" w:lineRule="auto"/>
        <w:ind w:left="0" w:firstLine="0"/>
        <w:jc w:val="both"/>
        <w:rPr>
          <w:sz w:val="20"/>
          <w:lang w:val="en-US"/>
        </w:rPr>
      </w:pPr>
      <w:r w:rsidRPr="00BF2065">
        <w:rPr>
          <w:rStyle w:val="FootnoteReference"/>
          <w:sz w:val="20"/>
        </w:rPr>
        <w:footnoteRef/>
      </w:r>
      <w:r w:rsidRPr="00BF2065">
        <w:rPr>
          <w:sz w:val="20"/>
        </w:rPr>
        <w:t xml:space="preserve"> Party secretaries have their own terms of office. For instance, a</w:t>
      </w:r>
      <w:r w:rsidR="00B527C1" w:rsidRPr="00BF2065">
        <w:rPr>
          <w:sz w:val="20"/>
        </w:rPr>
        <w:t xml:space="preserve"> newly minted prefecture P</w:t>
      </w:r>
      <w:r w:rsidRPr="00BF2065">
        <w:rPr>
          <w:sz w:val="20"/>
        </w:rPr>
        <w:t>arty s</w:t>
      </w:r>
      <w:r w:rsidR="00B527C1" w:rsidRPr="00BF2065">
        <w:rPr>
          <w:sz w:val="20"/>
        </w:rPr>
        <w:t>ecretary cannot replace county P</w:t>
      </w:r>
      <w:r w:rsidRPr="00BF2065">
        <w:rPr>
          <w:sz w:val="20"/>
        </w:rPr>
        <w:t>arty secretaries all at once. When there is a vacant pos</w:t>
      </w:r>
      <w:r w:rsidR="00B527C1" w:rsidRPr="00BF2065">
        <w:rPr>
          <w:sz w:val="20"/>
        </w:rPr>
        <w:t>ition, however, the prefecture P</w:t>
      </w:r>
      <w:r w:rsidRPr="00BF2065">
        <w:rPr>
          <w:sz w:val="20"/>
        </w:rPr>
        <w:t>arty secretary can then fill that post</w:t>
      </w:r>
      <w:r w:rsidR="00B527C1" w:rsidRPr="00BF2065">
        <w:rPr>
          <w:sz w:val="20"/>
        </w:rPr>
        <w:t xml:space="preserve"> with someone he or she trusts</w:t>
      </w:r>
      <w:r w:rsidRPr="00BF2065">
        <w:rPr>
          <w:sz w:val="20"/>
        </w:rPr>
        <w:t>. Under su</w:t>
      </w:r>
      <w:r w:rsidR="00B527C1" w:rsidRPr="00BF2065">
        <w:rPr>
          <w:sz w:val="20"/>
        </w:rPr>
        <w:t>ch circumstances, a prefecture P</w:t>
      </w:r>
      <w:r w:rsidRPr="00BF2065">
        <w:rPr>
          <w:sz w:val="20"/>
        </w:rPr>
        <w:t>arty secretary always has some county underlings belonging to his or her faction</w:t>
      </w:r>
      <w:r w:rsidR="00B527C1" w:rsidRPr="00BF2065">
        <w:rPr>
          <w:sz w:val="20"/>
        </w:rPr>
        <w:t>,</w:t>
      </w:r>
      <w:r w:rsidRPr="00BF2065">
        <w:rPr>
          <w:sz w:val="20"/>
        </w:rPr>
        <w:t xml:space="preserve"> and some </w:t>
      </w:r>
      <w:r w:rsidR="00B527C1" w:rsidRPr="00BF2065">
        <w:rPr>
          <w:sz w:val="20"/>
        </w:rPr>
        <w:t xml:space="preserve">who do </w:t>
      </w:r>
      <w:r w:rsidRPr="00BF2065">
        <w:rPr>
          <w:sz w:val="20"/>
        </w:rPr>
        <w:t>not.</w:t>
      </w:r>
    </w:p>
  </w:footnote>
  <w:footnote w:id="9">
    <w:p w14:paraId="2DA0E3B8" w14:textId="3F9AF826" w:rsidR="00066E80" w:rsidRPr="00BF2065" w:rsidRDefault="00066E80" w:rsidP="00BF2065">
      <w:pPr>
        <w:pStyle w:val="FootnoteText"/>
        <w:spacing w:line="240" w:lineRule="auto"/>
        <w:ind w:left="0" w:firstLine="0"/>
        <w:jc w:val="both"/>
        <w:rPr>
          <w:sz w:val="20"/>
          <w:lang w:val="en-US"/>
        </w:rPr>
      </w:pPr>
      <w:r w:rsidRPr="00BF2065">
        <w:rPr>
          <w:rStyle w:val="FootnoteReference"/>
          <w:sz w:val="20"/>
        </w:rPr>
        <w:footnoteRef/>
      </w:r>
      <w:r w:rsidRPr="00BF2065">
        <w:rPr>
          <w:sz w:val="20"/>
        </w:rPr>
        <w:t xml:space="preserve"> In o</w:t>
      </w:r>
      <w:r w:rsidR="00B527C1" w:rsidRPr="00BF2065">
        <w:rPr>
          <w:sz w:val="20"/>
        </w:rPr>
        <w:t>ther words, we define a county Party secretary as an “</w:t>
      </w:r>
      <w:r w:rsidRPr="00BF2065">
        <w:rPr>
          <w:sz w:val="20"/>
        </w:rPr>
        <w:t>insider</w:t>
      </w:r>
      <w:r w:rsidR="00B527C1" w:rsidRPr="00BF2065">
        <w:rPr>
          <w:sz w:val="20"/>
        </w:rPr>
        <w:t>”</w:t>
      </w:r>
      <w:r w:rsidRPr="00BF2065">
        <w:rPr>
          <w:sz w:val="20"/>
        </w:rPr>
        <w:t xml:space="preserve"> or an </w:t>
      </w:r>
      <w:r w:rsidR="00B527C1" w:rsidRPr="00BF2065">
        <w:rPr>
          <w:sz w:val="20"/>
        </w:rPr>
        <w:t>“</w:t>
      </w:r>
      <w:r w:rsidRPr="00BF2065">
        <w:rPr>
          <w:sz w:val="20"/>
        </w:rPr>
        <w:t>outsider</w:t>
      </w:r>
      <w:r w:rsidR="00B527C1" w:rsidRPr="00BF2065">
        <w:rPr>
          <w:sz w:val="20"/>
        </w:rPr>
        <w:t>”</w:t>
      </w:r>
      <w:r w:rsidRPr="00BF2065">
        <w:rPr>
          <w:sz w:val="20"/>
        </w:rPr>
        <w:t xml:space="preserve"> in relation </w:t>
      </w:r>
      <w:r w:rsidR="00B527C1" w:rsidRPr="00BF2065">
        <w:rPr>
          <w:sz w:val="20"/>
        </w:rPr>
        <w:t>to the prefecture P</w:t>
      </w:r>
      <w:r w:rsidRPr="00BF2065">
        <w:rPr>
          <w:sz w:val="20"/>
        </w:rPr>
        <w:t xml:space="preserve">arty secretary </w:t>
      </w:r>
      <w:r w:rsidR="00B527C1" w:rsidRPr="00BF2065">
        <w:rPr>
          <w:sz w:val="20"/>
        </w:rPr>
        <w:t xml:space="preserve">who </w:t>
      </w:r>
      <w:r w:rsidRPr="00BF2065">
        <w:rPr>
          <w:sz w:val="20"/>
        </w:rPr>
        <w:t>subsequently promoted him or her to a higher position.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embedSystemFonts/>
  <w:bordersDoNotSurroundHeader/>
  <w:bordersDoNotSurroundFooter/>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65"/>
    <w:rsid w:val="00007062"/>
    <w:rsid w:val="00050C3D"/>
    <w:rsid w:val="000523EB"/>
    <w:rsid w:val="00066E80"/>
    <w:rsid w:val="000D245F"/>
    <w:rsid w:val="001250D2"/>
    <w:rsid w:val="00137747"/>
    <w:rsid w:val="00182565"/>
    <w:rsid w:val="00194765"/>
    <w:rsid w:val="00257C4E"/>
    <w:rsid w:val="00263355"/>
    <w:rsid w:val="00270A8F"/>
    <w:rsid w:val="00285CEC"/>
    <w:rsid w:val="002A5FDC"/>
    <w:rsid w:val="002C79CA"/>
    <w:rsid w:val="002F41E7"/>
    <w:rsid w:val="00305D98"/>
    <w:rsid w:val="0032036B"/>
    <w:rsid w:val="00330F98"/>
    <w:rsid w:val="00335326"/>
    <w:rsid w:val="00356FD8"/>
    <w:rsid w:val="00363B65"/>
    <w:rsid w:val="00380C36"/>
    <w:rsid w:val="00385129"/>
    <w:rsid w:val="00385BD8"/>
    <w:rsid w:val="003C4B4B"/>
    <w:rsid w:val="004D2BAB"/>
    <w:rsid w:val="004D56DF"/>
    <w:rsid w:val="005240D2"/>
    <w:rsid w:val="00552D0C"/>
    <w:rsid w:val="005C7B52"/>
    <w:rsid w:val="00602F6C"/>
    <w:rsid w:val="00620C0C"/>
    <w:rsid w:val="0068478E"/>
    <w:rsid w:val="006902EF"/>
    <w:rsid w:val="006C0231"/>
    <w:rsid w:val="00741D2D"/>
    <w:rsid w:val="007A302A"/>
    <w:rsid w:val="007B4857"/>
    <w:rsid w:val="007E2555"/>
    <w:rsid w:val="007F1278"/>
    <w:rsid w:val="00806E59"/>
    <w:rsid w:val="00842985"/>
    <w:rsid w:val="00892CBA"/>
    <w:rsid w:val="008A7BEC"/>
    <w:rsid w:val="009A2071"/>
    <w:rsid w:val="009A3EB5"/>
    <w:rsid w:val="009F4C0C"/>
    <w:rsid w:val="00A30413"/>
    <w:rsid w:val="00AF6D21"/>
    <w:rsid w:val="00B527C1"/>
    <w:rsid w:val="00BB023F"/>
    <w:rsid w:val="00BC575B"/>
    <w:rsid w:val="00BD0F0C"/>
    <w:rsid w:val="00BE7E63"/>
    <w:rsid w:val="00BF2065"/>
    <w:rsid w:val="00C10A06"/>
    <w:rsid w:val="00C43857"/>
    <w:rsid w:val="00C63867"/>
    <w:rsid w:val="00CC794A"/>
    <w:rsid w:val="00CE2444"/>
    <w:rsid w:val="00CE6CC1"/>
    <w:rsid w:val="00D32A23"/>
    <w:rsid w:val="00D33681"/>
    <w:rsid w:val="00D34FA4"/>
    <w:rsid w:val="00D60536"/>
    <w:rsid w:val="00D63BE5"/>
    <w:rsid w:val="00D77CB4"/>
    <w:rsid w:val="00DA237A"/>
    <w:rsid w:val="00DB4F59"/>
    <w:rsid w:val="00F0505F"/>
    <w:rsid w:val="00F137C5"/>
    <w:rsid w:val="00F56E2B"/>
    <w:rsid w:val="00F75E5E"/>
    <w:rsid w:val="00F811B3"/>
    <w:rsid w:val="00FB475B"/>
    <w:rsid w:val="00FC37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8950C"/>
  <w15:docId w15:val="{859F517D-EC72-4E7B-B3DA-2D662F1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aragraph">
    <w:name w:val="New paragraph"/>
    <w:basedOn w:val="Normal"/>
    <w:qFormat/>
    <w:rsid w:val="00194765"/>
    <w:pPr>
      <w:spacing w:after="0" w:line="480" w:lineRule="auto"/>
      <w:ind w:firstLine="720"/>
    </w:pPr>
    <w:rPr>
      <w:rFonts w:ascii="Times New Roman" w:hAnsi="Times New Roman" w:cs="Times New Roman"/>
      <w:lang w:val="en-GB" w:eastAsia="en-GB"/>
    </w:rPr>
  </w:style>
  <w:style w:type="paragraph" w:styleId="FootnoteText">
    <w:name w:val="footnote text"/>
    <w:basedOn w:val="Normal"/>
    <w:link w:val="FootnoteTextChar"/>
    <w:autoRedefine/>
    <w:rsid w:val="00194765"/>
    <w:pPr>
      <w:spacing w:after="0" w:line="480" w:lineRule="auto"/>
      <w:ind w:left="284" w:hanging="284"/>
    </w:pPr>
    <w:rPr>
      <w:rFonts w:ascii="Times New Roman" w:hAnsi="Times New Roman" w:cs="Times New Roman"/>
      <w:sz w:val="22"/>
      <w:szCs w:val="20"/>
      <w:lang w:val="en-GB" w:eastAsia="en-GB"/>
    </w:rPr>
  </w:style>
  <w:style w:type="character" w:customStyle="1" w:styleId="FootnoteTextChar">
    <w:name w:val="Footnote Text Char"/>
    <w:basedOn w:val="DefaultParagraphFont"/>
    <w:link w:val="FootnoteText"/>
    <w:rsid w:val="00194765"/>
    <w:rPr>
      <w:rFonts w:ascii="Times New Roman" w:hAnsi="Times New Roman" w:cs="Times New Roman"/>
      <w:sz w:val="22"/>
      <w:szCs w:val="20"/>
      <w:lang w:val="en-GB" w:eastAsia="en-GB"/>
    </w:rPr>
  </w:style>
  <w:style w:type="character" w:styleId="FootnoteReference">
    <w:name w:val="footnote reference"/>
    <w:basedOn w:val="DefaultParagraphFont"/>
    <w:rsid w:val="00194765"/>
    <w:rPr>
      <w:vertAlign w:val="superscript"/>
    </w:rPr>
  </w:style>
  <w:style w:type="paragraph" w:customStyle="1" w:styleId="Tabletitle">
    <w:name w:val="Table title"/>
    <w:basedOn w:val="Normal"/>
    <w:next w:val="Normal"/>
    <w:qFormat/>
    <w:rsid w:val="00D63BE5"/>
    <w:pPr>
      <w:spacing w:before="240" w:after="0" w:line="360" w:lineRule="auto"/>
    </w:pPr>
    <w:rPr>
      <w:rFonts w:ascii="Times New Roman" w:hAnsi="Times New Roman" w:cs="Times New Roman"/>
      <w:lang w:val="en-GB" w:eastAsia="en-GB"/>
    </w:rPr>
  </w:style>
  <w:style w:type="paragraph" w:styleId="BalloonText">
    <w:name w:val="Balloon Text"/>
    <w:basedOn w:val="Normal"/>
    <w:link w:val="BalloonTextChar"/>
    <w:uiPriority w:val="99"/>
    <w:semiHidden/>
    <w:unhideWhenUsed/>
    <w:rsid w:val="00806E59"/>
    <w:pPr>
      <w:spacing w:after="0"/>
    </w:pPr>
    <w:rPr>
      <w:sz w:val="18"/>
      <w:szCs w:val="18"/>
    </w:rPr>
  </w:style>
  <w:style w:type="character" w:customStyle="1" w:styleId="BalloonTextChar">
    <w:name w:val="Balloon Text Char"/>
    <w:basedOn w:val="DefaultParagraphFont"/>
    <w:link w:val="BalloonText"/>
    <w:uiPriority w:val="99"/>
    <w:semiHidden/>
    <w:rsid w:val="00806E59"/>
    <w:rPr>
      <w:sz w:val="18"/>
      <w:szCs w:val="18"/>
    </w:rPr>
  </w:style>
  <w:style w:type="paragraph" w:customStyle="1" w:styleId="Paragraph">
    <w:name w:val="Paragraph"/>
    <w:basedOn w:val="Normal"/>
    <w:next w:val="Normal"/>
    <w:qFormat/>
    <w:rsid w:val="00F0505F"/>
    <w:pPr>
      <w:widowControl w:val="0"/>
      <w:spacing w:before="240" w:after="0" w:line="480" w:lineRule="auto"/>
    </w:pPr>
    <w:rPr>
      <w:rFonts w:ascii="Times New Roman" w:hAnsi="Times New Roman" w:cs="Times New Roman"/>
      <w:lang w:val="en-GB" w:eastAsia="en-GB"/>
    </w:rPr>
  </w:style>
  <w:style w:type="paragraph" w:styleId="Header">
    <w:name w:val="header"/>
    <w:basedOn w:val="Normal"/>
    <w:link w:val="HeaderChar"/>
    <w:uiPriority w:val="99"/>
    <w:unhideWhenUsed/>
    <w:rsid w:val="00BB02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B023F"/>
    <w:rPr>
      <w:sz w:val="18"/>
      <w:szCs w:val="18"/>
    </w:rPr>
  </w:style>
  <w:style w:type="paragraph" w:styleId="Footer">
    <w:name w:val="footer"/>
    <w:basedOn w:val="Normal"/>
    <w:link w:val="FooterChar"/>
    <w:uiPriority w:val="99"/>
    <w:unhideWhenUsed/>
    <w:rsid w:val="00BB023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B023F"/>
    <w:rPr>
      <w:sz w:val="18"/>
      <w:szCs w:val="18"/>
    </w:rPr>
  </w:style>
  <w:style w:type="character" w:styleId="CommentReference">
    <w:name w:val="annotation reference"/>
    <w:basedOn w:val="DefaultParagraphFont"/>
    <w:uiPriority w:val="99"/>
    <w:semiHidden/>
    <w:unhideWhenUsed/>
    <w:rsid w:val="00385BD8"/>
    <w:rPr>
      <w:sz w:val="18"/>
      <w:szCs w:val="18"/>
    </w:rPr>
  </w:style>
  <w:style w:type="paragraph" w:styleId="CommentText">
    <w:name w:val="annotation text"/>
    <w:basedOn w:val="Normal"/>
    <w:link w:val="CommentTextChar"/>
    <w:uiPriority w:val="99"/>
    <w:semiHidden/>
    <w:unhideWhenUsed/>
    <w:rsid w:val="00385BD8"/>
  </w:style>
  <w:style w:type="character" w:customStyle="1" w:styleId="CommentTextChar">
    <w:name w:val="Comment Text Char"/>
    <w:basedOn w:val="DefaultParagraphFont"/>
    <w:link w:val="CommentText"/>
    <w:uiPriority w:val="99"/>
    <w:semiHidden/>
    <w:rsid w:val="00385BD8"/>
  </w:style>
  <w:style w:type="paragraph" w:styleId="CommentSubject">
    <w:name w:val="annotation subject"/>
    <w:basedOn w:val="CommentText"/>
    <w:next w:val="CommentText"/>
    <w:link w:val="CommentSubjectChar"/>
    <w:uiPriority w:val="99"/>
    <w:semiHidden/>
    <w:unhideWhenUsed/>
    <w:rsid w:val="00385BD8"/>
    <w:rPr>
      <w:b/>
      <w:bCs/>
      <w:sz w:val="20"/>
      <w:szCs w:val="20"/>
    </w:rPr>
  </w:style>
  <w:style w:type="character" w:customStyle="1" w:styleId="CommentSubjectChar">
    <w:name w:val="Comment Subject Char"/>
    <w:basedOn w:val="CommentTextChar"/>
    <w:link w:val="CommentSubject"/>
    <w:uiPriority w:val="99"/>
    <w:semiHidden/>
    <w:rsid w:val="00385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1631">
      <w:bodyDiv w:val="1"/>
      <w:marLeft w:val="0"/>
      <w:marRight w:val="0"/>
      <w:marTop w:val="0"/>
      <w:marBottom w:val="0"/>
      <w:divBdr>
        <w:top w:val="none" w:sz="0" w:space="0" w:color="auto"/>
        <w:left w:val="none" w:sz="0" w:space="0" w:color="auto"/>
        <w:bottom w:val="none" w:sz="0" w:space="0" w:color="auto"/>
        <w:right w:val="none" w:sz="0" w:space="0" w:color="auto"/>
      </w:divBdr>
    </w:div>
    <w:div w:id="591741245">
      <w:bodyDiv w:val="1"/>
      <w:marLeft w:val="0"/>
      <w:marRight w:val="0"/>
      <w:marTop w:val="0"/>
      <w:marBottom w:val="0"/>
      <w:divBdr>
        <w:top w:val="none" w:sz="0" w:space="0" w:color="auto"/>
        <w:left w:val="none" w:sz="0" w:space="0" w:color="auto"/>
        <w:bottom w:val="none" w:sz="0" w:space="0" w:color="auto"/>
        <w:right w:val="none" w:sz="0" w:space="0" w:color="auto"/>
      </w:divBdr>
    </w:div>
    <w:div w:id="609626207">
      <w:bodyDiv w:val="1"/>
      <w:marLeft w:val="0"/>
      <w:marRight w:val="0"/>
      <w:marTop w:val="0"/>
      <w:marBottom w:val="0"/>
      <w:divBdr>
        <w:top w:val="none" w:sz="0" w:space="0" w:color="auto"/>
        <w:left w:val="none" w:sz="0" w:space="0" w:color="auto"/>
        <w:bottom w:val="none" w:sz="0" w:space="0" w:color="auto"/>
        <w:right w:val="none" w:sz="0" w:space="0" w:color="auto"/>
      </w:divBdr>
    </w:div>
    <w:div w:id="951401683">
      <w:bodyDiv w:val="1"/>
      <w:marLeft w:val="0"/>
      <w:marRight w:val="0"/>
      <w:marTop w:val="0"/>
      <w:marBottom w:val="0"/>
      <w:divBdr>
        <w:top w:val="none" w:sz="0" w:space="0" w:color="auto"/>
        <w:left w:val="none" w:sz="0" w:space="0" w:color="auto"/>
        <w:bottom w:val="none" w:sz="0" w:space="0" w:color="auto"/>
        <w:right w:val="none" w:sz="0" w:space="0" w:color="auto"/>
      </w:divBdr>
    </w:div>
    <w:div w:id="1164279008">
      <w:bodyDiv w:val="1"/>
      <w:marLeft w:val="0"/>
      <w:marRight w:val="0"/>
      <w:marTop w:val="0"/>
      <w:marBottom w:val="0"/>
      <w:divBdr>
        <w:top w:val="none" w:sz="0" w:space="0" w:color="auto"/>
        <w:left w:val="none" w:sz="0" w:space="0" w:color="auto"/>
        <w:bottom w:val="none" w:sz="0" w:space="0" w:color="auto"/>
        <w:right w:val="none" w:sz="0" w:space="0" w:color="auto"/>
      </w:divBdr>
    </w:div>
    <w:div w:id="1436175276">
      <w:bodyDiv w:val="1"/>
      <w:marLeft w:val="0"/>
      <w:marRight w:val="0"/>
      <w:marTop w:val="0"/>
      <w:marBottom w:val="0"/>
      <w:divBdr>
        <w:top w:val="none" w:sz="0" w:space="0" w:color="auto"/>
        <w:left w:val="none" w:sz="0" w:space="0" w:color="auto"/>
        <w:bottom w:val="none" w:sz="0" w:space="0" w:color="auto"/>
        <w:right w:val="none" w:sz="0" w:space="0" w:color="auto"/>
      </w:divBdr>
    </w:div>
    <w:div w:id="1656689758">
      <w:bodyDiv w:val="1"/>
      <w:marLeft w:val="0"/>
      <w:marRight w:val="0"/>
      <w:marTop w:val="0"/>
      <w:marBottom w:val="0"/>
      <w:divBdr>
        <w:top w:val="none" w:sz="0" w:space="0" w:color="auto"/>
        <w:left w:val="none" w:sz="0" w:space="0" w:color="auto"/>
        <w:bottom w:val="none" w:sz="0" w:space="0" w:color="auto"/>
        <w:right w:val="none" w:sz="0" w:space="0" w:color="auto"/>
      </w:divBdr>
    </w:div>
    <w:div w:id="2105957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1FEDF9F-EEEF-6B4D-90E9-5E15AE70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6485</Characters>
  <Application>Microsoft Office Word</Application>
  <DocSecurity>0</DocSecurity>
  <Lines>113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Raphael Jacquet</cp:lastModifiedBy>
  <cp:revision>2</cp:revision>
  <dcterms:created xsi:type="dcterms:W3CDTF">2020-03-02T12:06:00Z</dcterms:created>
  <dcterms:modified xsi:type="dcterms:W3CDTF">2020-03-02T12:06:00Z</dcterms:modified>
</cp:coreProperties>
</file>