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84" w:rsidRDefault="000A72F3">
      <w:pPr>
        <w:rPr>
          <w:rFonts w:ascii="Times New Roman" w:hAnsi="Times New Roman" w:cs="Times New Roman"/>
          <w:b/>
          <w:sz w:val="28"/>
          <w:lang w:val="en-CA"/>
        </w:rPr>
      </w:pPr>
      <w:r w:rsidRPr="00325559">
        <w:rPr>
          <w:rFonts w:ascii="Times New Roman" w:hAnsi="Times New Roman" w:cs="Times New Roman"/>
          <w:b/>
          <w:sz w:val="28"/>
          <w:lang w:val="en-CA"/>
        </w:rPr>
        <w:t>APPENDIX</w:t>
      </w:r>
      <w:r w:rsidR="0068633D" w:rsidRPr="00325559">
        <w:rPr>
          <w:rFonts w:ascii="Times New Roman" w:hAnsi="Times New Roman" w:cs="Times New Roman"/>
          <w:b/>
          <w:sz w:val="28"/>
          <w:lang w:val="en-CA"/>
        </w:rPr>
        <w:t xml:space="preserve"> 1 </w:t>
      </w:r>
    </w:p>
    <w:tbl>
      <w:tblPr>
        <w:tblStyle w:val="Grilledutableau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567"/>
        <w:gridCol w:w="2693"/>
        <w:gridCol w:w="2551"/>
        <w:gridCol w:w="1701"/>
        <w:gridCol w:w="1276"/>
        <w:gridCol w:w="1701"/>
        <w:gridCol w:w="3827"/>
      </w:tblGrid>
      <w:tr w:rsidR="00BB2D26" w:rsidRPr="00180EFA" w:rsidTr="00C27284">
        <w:tc>
          <w:tcPr>
            <w:tcW w:w="15168" w:type="dxa"/>
            <w:gridSpan w:val="9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B2D26" w:rsidRPr="003E016F" w:rsidRDefault="00862222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b/>
                <w:lang w:val="en-CA"/>
              </w:rPr>
              <w:t>Table 7</w:t>
            </w:r>
            <w:r w:rsidR="00BB2D26" w:rsidRPr="001A13A6">
              <w:rPr>
                <w:rFonts w:ascii="Times New Roman" w:hAnsi="Times New Roman" w:cs="Times New Roman"/>
                <w:b/>
                <w:lang w:val="en-CA"/>
              </w:rPr>
              <w:t> : Autoimmune limbic encephalitis  associated with GAD65 antibodies (n=58)</w:t>
            </w:r>
          </w:p>
        </w:tc>
      </w:tr>
      <w:tr w:rsidR="00BB2D26" w:rsidRPr="003E016F" w:rsidTr="00C27284">
        <w:tc>
          <w:tcPr>
            <w:tcW w:w="4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>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2D26" w:rsidRPr="00674173" w:rsidRDefault="00BB2D26" w:rsidP="00C27284">
            <w:pPr>
              <w:autoSpaceDE w:val="0"/>
              <w:autoSpaceDN w:val="0"/>
              <w:adjustRightInd w:val="0"/>
              <w:ind w:left="-391" w:firstLine="391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18"/>
                <w:lang w:val="en-CA"/>
              </w:rPr>
            </w:pPr>
            <w:r w:rsidRPr="00B66838">
              <w:rPr>
                <w:rFonts w:ascii="AdvAGaramond-R" w:hAnsi="AdvAGaramond-R" w:cs="AdvAGaramond-R"/>
                <w:b/>
                <w:i/>
                <w:color w:val="231F20"/>
                <w:sz w:val="14"/>
                <w:szCs w:val="18"/>
                <w:lang w:val="en-CA"/>
              </w:rPr>
              <w:t>Sex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2D26" w:rsidRPr="00674173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18"/>
                <w:lang w:val="en-CA"/>
              </w:rPr>
            </w:pPr>
            <w:r w:rsidRPr="00674173">
              <w:rPr>
                <w:rFonts w:ascii="AdvAGaramond-R" w:hAnsi="AdvAGaramond-R" w:cs="AdvAGaramond-R"/>
                <w:b/>
                <w:i/>
                <w:color w:val="231F20"/>
                <w:sz w:val="18"/>
                <w:szCs w:val="18"/>
                <w:lang w:val="en-CA"/>
              </w:rPr>
              <w:t>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>Clinical manifestations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>GAD</w:t>
            </w:r>
            <w:r w:rsidR="00E54227"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>65</w:t>
            </w:r>
            <w:r w:rsidRPr="003E016F"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 xml:space="preserve"> antibodies, other antibodies  and CSF findings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>MRI findings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283"/>
              <w:jc w:val="center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>Cancer work</w:t>
            </w:r>
            <w:r w:rsidRPr="003E016F"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>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250" w:firstLine="142"/>
              <w:jc w:val="center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>Immune disorders</w:t>
            </w:r>
            <w:r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 xml:space="preserve"> and hyponatremia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>Treatment</w:t>
            </w:r>
            <w:r>
              <w:rPr>
                <w:rFonts w:ascii="AdvAGaramond-R" w:hAnsi="AdvAGaramond-R" w:cs="AdvAGaramond-R"/>
                <w:b/>
                <w:i/>
                <w:color w:val="231F20"/>
                <w:sz w:val="18"/>
                <w:szCs w:val="20"/>
                <w:lang w:val="en-CA"/>
              </w:rPr>
              <w:t xml:space="preserve"> and Follow up</w:t>
            </w:r>
          </w:p>
        </w:tc>
      </w:tr>
      <w:tr w:rsidR="00BB2D26" w:rsidRPr="00180EFA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</w:rPr>
              <w:t>19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29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A13902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Acute disorientation, short-term memory loss, episodes of déjà-vu and déjà-</w:t>
            </w:r>
            <w:proofErr w:type="spellStart"/>
            <w:r w:rsidRPr="00A13902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connu</w:t>
            </w:r>
            <w:proofErr w:type="spellEnd"/>
            <w:r w:rsidRPr="00A13902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feeling.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</w:t>
            </w:r>
            <w:r w:rsidR="00E54227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positive (index CSF/serum 7.8)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negative.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negative.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Anti-NMDA and VGKC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Paraneoplastic panel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Mild </w:t>
            </w:r>
            <w:proofErr w:type="spell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pleocytosis</w:t>
            </w:r>
            <w:proofErr w:type="spellEnd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with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glucose and protein.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at 48 hours of onset.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T2/FLAIR in both medial temporal lobes (milder in the right lobe) at 22 days of onset.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 Ovarian ultrasound, whole-body CT, PET-FDG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Psoriasis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rituximab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cyclophosphamide,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aziathioprine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Lacosamide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FU: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Unfavorable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Persistence of refractory epilepsy and cognitive deficits at 1 year.</w:t>
            </w:r>
          </w:p>
        </w:tc>
      </w:tr>
      <w:tr w:rsidR="00BB2D26" w:rsidRPr="00180EFA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27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Sub-acute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(over 1 week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)  onset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of change in behavior, temporal disorientation, myoclonus of the arm, fever.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Blood and CSF serology positive 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 xml:space="preserve">(GAD-A intrathecal 3.9 and positive if &gt;2,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index CSF/serum not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mentioned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Lymphocytic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pleocytosis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(10/mm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vertAlign w:val="superscript"/>
                <w:lang w:val="en-CA"/>
              </w:rPr>
              <w:t>3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). Protein and glucose not mentioned.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(Timing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Diabetes type 1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Methylprednisolone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AEDs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FU: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“Resolution of myoclonus and fits with progressive recovery of consciousness at 4 weeks.”</w:t>
            </w:r>
          </w:p>
        </w:tc>
      </w:tr>
      <w:tr w:rsidR="00BB2D26" w:rsidRPr="00180EFA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</w:rPr>
              <w:t>2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</w:rPr>
              <w:t>21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F (2)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20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47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Temporal lobe epilepsy associated with severe anterograde amnesia.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Drug-resistant temporal lobe epilepsy (over 6 years) and progressive memory impairment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Progressive memory impairment and complex partial seizure for 6 months. Mild mood depression and severe anterograde amnesia on admission.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Blood and CSF serology positive 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(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index CSF/serum 143.8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 xml:space="preserve">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in case #1 and 92.2 in case #2)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Anti-NMDA and VGKC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Paraneoplastic panel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Normal protein and cellular content. Glucose not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mentioned.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Bilateral hippocampal T2/FLAIR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 Swelling on right temporal lobe in case #2.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(Timing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Whole-body CT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tumoral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markers.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#1 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Autoimmune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thyroïditis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Celiac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disease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Diabetes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 type 1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#2 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Autoimmune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thyroïditis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Plasmapheresis.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AEDs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Unfavorable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“Benefice of short duration.”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Plasmapheresis with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steroids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Carbamazepine replaced by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topiramate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FU: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 :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Unfavorable.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Disappearance of swelling on MRI with persistence of mesial abnormalities. “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Stability for 4 month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” followed by a neurological deterioration possibly due to HHV-6 infection.</w:t>
            </w:r>
          </w:p>
        </w:tc>
      </w:tr>
      <w:tr w:rsidR="00BB2D26" w:rsidRPr="00180EFA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22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Acute onset of seizure and confusion after a history of upper respiratory infection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Blood and CSF serology positive 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(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index CSF/serum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Anti-NMDA and VGKC negative.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</w:t>
            </w:r>
            <w:proofErr w:type="spell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peroxydase</w:t>
            </w:r>
            <w:proofErr w:type="spellEnd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</w:t>
            </w:r>
            <w:proofErr w:type="spell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Antigliadine</w:t>
            </w:r>
            <w:proofErr w:type="spellEnd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Paraneoplastic panel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Protein, glucose and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cellular content not mentioned.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Bilateral hippocampal T2/FLAIR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PET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-FDG, thoracic CT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Common variable immune deficiency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Steroids.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AEDs :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lamotrigine, carbamazepine,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FU: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Unfavorable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“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Progressive decline in academic functioning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”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</w:tr>
      <w:tr w:rsidR="00BB2D26" w:rsidRPr="003E016F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9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23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 (7)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 (2)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17-66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Acute onset of temporal lobe epilepsy.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Subnormal memory performance.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 (median index CSF/serum 3.9, range 2.4-8.6)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Anti-NMDA and VGKC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Paraneoplastic panel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Elevated protein and cell count in 2/9.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Amygdalo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-hippocampal T2/FLAIR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bilateral (3/9) or unilateral (6/9), unilateral hippocampal atrophy (3/9)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Diabetes type 1 (2/9)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Available for 7/9 cases: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6/7 received monthly methylprednisolone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1/7 high-dose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2/7 received additional oral steroids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3 patients received tre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atments in addition to steroids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(2/9) and cyclophosphamide (1/9).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Unfavorable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None became seizure-free. Memory impairment.</w:t>
            </w:r>
          </w:p>
        </w:tc>
      </w:tr>
      <w:tr w:rsidR="00BB2D26" w:rsidRPr="00180EFA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lastRenderedPageBreak/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24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63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Psychiatric findings (5-month history of slowly progressing social withdrawal, recurrent episodes of purposeless crying, insomnia, visual hallucinations and paranoid delusions).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Sub-acute (over few days) drowsiness, agitation and incoherent talking with neurological exam revealing dysarthria, disorientation and mild generalized rigidity.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High serum level (2127 U/ml, normal if &lt;10, 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index  not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mentioned.)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negative.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negative.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Anti-NMDA and VGKC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Paraneoplastic panel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protein, glucose and cell count.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Normal (timing not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precised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).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Whole-body CT,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tumoral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markers, mammography, pap-smear test, gynecological routine exam]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(Diabetes type 2)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Steroids,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AEDs: diazepam, valproate, phenytoin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Improvement of consciousness and EEG with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but not with steroid treatment. Complete resolution of symptoms and normalisation of EEG within 3 months.</w:t>
            </w:r>
          </w:p>
        </w:tc>
      </w:tr>
      <w:tr w:rsidR="00BB2D26" w:rsidRPr="003E016F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25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Epilepsia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partialis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continua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(3 weeks history of simple partial seizures involving the right hand, face and leg that stabilized transiently and evolved into aphasia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obtundation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 (median index CSF/serum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Protein, glucose and cellular content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-Normal on admission.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-Left cere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bellar FLAIR </w:t>
            </w:r>
            <w:proofErr w:type="spell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(6 and 16 days after onset)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-FLAIR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of gray matter involving the occipital and frontal cortex bilaterally and left insular region on day 26.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Diabetes type 1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Steroids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plasmapheresis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 not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precised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 improvement of seizures with corticosteroids alone and midazolam. Improvement of consciousness and seizures after the first course of plasmapheresis treatments. Resolution of MRI abnormalities within 2 weeks. Return to neurologic baseline within 3 months of initiation of plasmapheresis. Stability of anti-GAD antibody titers.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</w:tr>
      <w:tr w:rsidR="00BB2D26" w:rsidRPr="003E016F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26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Epilepsia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partialis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continua (continuous myoclonic jerks of the left hand and arm)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One year 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later ;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focal seizure (oral and manual automatisms) followed by severe behavioral impairment.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 (median index CSF/serum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protein, glucose and cellular content.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One year later: CSF normal without anti-GAD antibody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Asymmetric T2 hippocampal 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with swelling on the right side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at 7 years old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Diabetes type 1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Steroids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Diazepam, carbamazepine,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valproic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acid,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ethosuximibe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clobazam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Unfavorable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MRI normal after 1.5 month of the onset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Persistence of seizures and behavioural disorders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Relapses after steroid withdrawal.</w:t>
            </w:r>
          </w:p>
        </w:tc>
      </w:tr>
      <w:tr w:rsidR="00BB2D26" w:rsidRPr="00180EFA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18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Comatose 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state  with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orofacial and manual automatic movements.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Series of complex partial seizures (not described) 1 month before.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 (median index CSF/serum 18.4)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VGKC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Paraneoplastic and mitochondrial </w:t>
            </w:r>
            <w:proofErr w:type="gram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panels</w:t>
            </w:r>
            <w:proofErr w:type="gramEnd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protein, glucose and cell count on admission.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Slightly elevated protein 2 months after.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on admission.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Bitemporal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FLAIR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on follow-up MRI (on the second month of hospitalisation)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Whole-body CT and MRI,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tumoral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markers, mammography, breast ultrasound and pap-smear test, brain biopsy]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None.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roids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, plasma exchanges, cyclophosphamide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propofol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lorazepam,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topiramate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valproic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acid, phenytoin, lamotrigine, 2 courses of thiopental coma with burst-suppression pattern for 7days,  lidocaine, primidone,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oxcarbamazepine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ketamine, clonazepam, midazolam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Steroid treatment and </w:t>
            </w:r>
            <w:proofErr w:type="spellStart"/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resulted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in a slight short-lived decrease of epileptic activity. Plasma exchange had no effect. 2 weeks after the second cyclophosphamide pulse, the patient was awake, oriented and walking with assistance.</w:t>
            </w:r>
          </w:p>
        </w:tc>
      </w:tr>
      <w:tr w:rsidR="00BB2D26" w:rsidRPr="00180EFA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27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30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Acute short-term memory loss (massive anterograde episodic memory disorder)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Temporal seizures with no obvious clinical signs.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High serum level (463 000 U/ml, normal if &lt;5)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CSF serology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Anti-VGKC negative.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Paraneoplastic panel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Protein, glucose and cell count not mentioned.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T2/FLAIR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without contrast enhancement in both medial temporal lobes and amygdalae.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Whole-body CT, FDG-PET, abdominal MRI (diffuse enlargement of the pancreas that has disappeared 2 years later), gastroscopy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None.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roids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Clobazam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 improvement with corticosteroids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Improvement of short-term memory at 6 weeks (MRI unchanged, decrease of anti-GAD antibody titers, EEG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*Patient readmitted 5 months later for relapse of memory disorder and several seizures on c-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EEG :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same treatment and mycophenolate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mofetil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[2000mg/day]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[3000mg/day] added.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Patient resumed normal life with improvement of mem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ory. Partial seizures persisted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; prednisolone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oxcarbamazepine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were added.  Stability of cognitive functions and no seizures at 2 ye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ars (with mycophenolate </w:t>
            </w:r>
            <w:proofErr w:type="spell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mofetil</w:t>
            </w:r>
            <w:proofErr w:type="spellEnd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prednisolone and A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EDs)</w:t>
            </w:r>
          </w:p>
        </w:tc>
      </w:tr>
      <w:tr w:rsidR="00BB2D26" w:rsidRPr="00180EFA" w:rsidTr="00C27284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lastRenderedPageBreak/>
              <w:t>3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28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F(2)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47-49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History of sub-acute memory loss, language impairment (#1 and #2) </w:t>
            </w: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Partial seizures with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dysautonomic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symptoms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Protein, glucose, cell count not mentioned.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Normal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FLAIR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involving both medial temporal lobes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Whole-body CT and mammogram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Diabetes type 1 (#1 and #2)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Autoimmune thyroiditis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Valproic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acid (#2)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cognitive improvement after 9 months, development of epilepsy with good response to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valproic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acid 5 years later.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Clinical and EEG improvement  with mild recall deficit 4 years later</w:t>
            </w:r>
          </w:p>
        </w:tc>
      </w:tr>
      <w:tr w:rsidR="00BB2D26" w:rsidRPr="00180EFA" w:rsidTr="00C27284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M(1)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70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Seizure, confusion, short-term memory loss and hallucinations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 and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Protein, glucose, cell count normal for #4  (not mentioned for others)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Positive: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SCLC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Autoimmune thyroiditis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Steroids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Unfavorable.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 improvement. Death after 1 month.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29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52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Sub-acute cognitive decline with short-term memory loss, agitation and hallucinations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ollowed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with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ffocal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generalized seizures.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serology positive.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protein and cell count.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Anti-VGKC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Paraneoplastic panel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Positive antibodies to CRMP3-4.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of the limbic system bilaterally.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Positive: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Invasive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thymoma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None.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Steroids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cyclophosphamide, chemotherapy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AEDs: Phenytoin.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Unfavorable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Size of the tumour reduced with treatment.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Stability of memory loss and neurological status with atrophy of the limbic system on MRI 8 years later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</w:tr>
      <w:tr w:rsidR="00BB2D26" w:rsidRPr="003E016F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2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30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49-70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70M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(#1)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49F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(#2)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History of sub-acute onset of short-term memory loss and seizures.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Serum positive.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</w:t>
            </w:r>
            <w:r w:rsidRPr="00A77A96">
              <w:rPr>
                <w:rFonts w:ascii="AdvAGaramond-R" w:hAnsi="AdvAGaramond-R" w:cs="AdvAGaramond-R"/>
                <w:color w:val="231F20"/>
                <w:sz w:val="16"/>
                <w:szCs w:val="20"/>
                <w:vertAlign w:val="subscript"/>
                <w:lang w:val="en-CA"/>
              </w:rPr>
              <w:t>B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Novel antibodies against neuronal surface positive.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protein and cell count.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Bilateral temporal lesions (#2)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MRI normal for #1, but limbic encephalitis was confirmed on autopsy.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Positive  (#1):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SCLC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Steroids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Not mentioned except for no immunotherapy.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Variable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Death after 3 months of survival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Complete recovery at 81 months.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C06572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C06572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C06572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31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C06572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C06572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38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Confusion,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agitation, short-term memory loss, generalized tonic-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clonic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seizures,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paraphasic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errors with perseveration.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5 years before, similar episode with confusion and medial temporal lobes abnormalities on MRI (that resolved spontaneously)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Anti-AMPA not mentioned in this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article.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Anti-VGKC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Slightly elevated protein,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glucose and white blood cell count.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Discrete limbic and cerebral cortical FLAIR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without enhancement.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Positive.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Malignant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thymoma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Insulin-dependent diabetes mellitus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Surgery and local radiotherapy, steroids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not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precised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Improvement within 3 weeks (alert, oriented and independent) with resolution of diabetes and mild short-term memory deficits and gait difficulty at 3-year follow-up. Minimal residual MRI abnormalities 5 months after onset.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Development of painful spasms and rigidity with prednisone </w:t>
            </w:r>
            <w:proofErr w:type="spellStart"/>
            <w:proofErr w:type="gram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tappering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: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unresponsive to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plasmapheresis.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4</w:t>
            </w:r>
            <w:r w:rsidRPr="00AA5A61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33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8-17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TLE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TLE, depression, anxiety, memory difficulties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#3: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memory deficits, focal seizures, apraxia,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#4: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concentration and memory deficits, TLE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 glucose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white blood cell count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VGKC positive (2/4 i.e. case #3 and #4)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T2/FLAIR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mediotemporal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Diabetes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 type 1 (1/4)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Auto-immune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thyroiditis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 (1/4)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Steroids,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(2/4 i.e. cases #2 and #4) and temporal lobe surgery (1/4)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Variable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restitution after 13 months without any treatment.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temporal lobe epilepsy, memory impairment after 41 months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#3: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temporal lobe epilepsy, memory impairment after 31 months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lastRenderedPageBreak/>
              <w:t>#4: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epilepsy and memory impairment after 67 months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lastRenderedPageBreak/>
              <w:t>1</w:t>
            </w:r>
            <w:r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34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Multiple hospitalizations with 5 years for complex partial seizures. Psychiatric symptoms such as personality changes, irritability and depression. Decrease intellectual capacity, attention-deficit disorder, 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episodic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memory problems.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 glucose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white blood cell count not mentioned.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Temporal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FDG-PET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Diabetes type 1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valproic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acid,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topiramate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clonazepam, carbamazepine.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Complete remission of seizure (reduction of AEDs from 5 to 2) with disappearance of MRI abnormalities and improvement of psychometric tests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35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Sub-acute history of seizures, disorientation, apathy and bizarre behavior for 5 weeks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protein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 glucose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white blood cell count.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Bilateral temporal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Imaging and serological studies.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None.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steroids.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“Subsequent marked improvement”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36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Progressively refractory focal seizures (behavioral arrest, fearful gaze, eye and head version and tachycardia) with frequent generalization. Progressive global developmental delay, gait instability.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(Disease onset at 25 months of age)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(index at 11, normal if &lt;1.5)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 glucose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white blood cell count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At 31 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months :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normal.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At 5 years old: bilateral hippocampal, cortical and cerebellar atrophy.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Diabetes type 1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Steroids, plasma exchanges, mycophenolate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mofetil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rituximab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AEDs: 10 drugs, ketogenic diet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 effect with steroids and mycophenolate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proofErr w:type="spell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mofetil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Reduction of seizure frequency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with plasma exchanges. Clinical improvement with rituximab. With stabilization of MRI abnormalities.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17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Progressive mood and behavioural disorder, speech impairment, short-term memory impairment.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 seizure.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(blood (641 U/Ml; reference range, &lt;1.0 U/Ml) and CSF (6 U/Ml; reference range, &lt;0.2 U/Ml), 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Anti-VGKC positive in serum but not in CSF.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Protein,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glucose and white blood cell count not mentioned.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T2/FLAIR asymmetric bilateral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in cortical-subcortical mesial temporal regions (timing not mentioned)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Whole-body MRI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Autoimmune thyroiditis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Steroids,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Unfavorable.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Cognitive deterioration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After 5 months, development of cerebellar ataxia and nystagmus (anti-GAD antibodies very low in serum and CSF) that did not respond to mycophenolate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mofetil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rituximab.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38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Focal myoclonic status epilepticus in the right side of the face and glossopharyngeal area for 3 months. Dysphagia and dysarthria. History of daily dyscognitive focal seizures for 4 years before. Post-partum depression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serology positive. (7,990U/ml, normal if &lt;0.90U/ml)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CSF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Initially normal protein,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glucose and white blood cell count.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T2/FLAIR asymmetric bilateral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involving temporal and parietal lobes with hippocampal sclerosis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“No evidence of ovarian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teratoma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”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None.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Steroids.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AEDs: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Favorable.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Improvement of facial myoclonus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regain of independence.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5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14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 (2)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 (3)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12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-63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Subacute memory problems, gustatory and olfactory hallucinations, facial cramps, psychomotor agitation and tinnitus.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Subacute onset of generalised seizures with fever,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epilepsia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partialis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continua, aphasia and status epilepticus 2 years later.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#3: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Reduced verbal output and seizures.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#4: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Multifocal refractory seizures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#5: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Stiff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person syndrome since age 5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years, brief episode of seizures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Blood and/or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GABA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vertAlign w:val="subscript"/>
                <w:lang w:val="en-CA"/>
              </w:rPr>
              <w:t>A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R positive (5/5):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High titer in blood and CSF positive (1/5 i.e. #1)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Low titer in blood and CSF negative (4/5)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Anti-GABA-B positive (1/5 i.e. #1)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anti-AMPA negative. (not explicit)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 and white blood cell count variable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(normal in 2, elevated in 2 and N/A in 1)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lastRenderedPageBreak/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T2/FLAIR right temporal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multifocal T2-FLAIR cortical-subcortical in both hemisphere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#3: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T2-FLAIR bilateral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fronto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-temporal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leptomeningeal enhancement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#4: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Normal.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lastRenderedPageBreak/>
              <w:t>#5: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T2/FLAIR hippocampal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Diabetes type 1 (1/5 i.e. #4)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Autoimmune thyroiditis (2/5 i.e. #1 and #4)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Oral prednisone.  AEDs [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valproic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acid,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barbiturate]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IV methylprednisolone. AEDs [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valproic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acid,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carbamazepine]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#3: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N/A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#4: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, oral prednisone, cyclosporine. AEDs [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carbamazepine,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oxcarbamazepine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phenytoin,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topiramate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zonisamide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clobazam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lacosamide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]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#5: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rituximab. AEDs [</w:t>
            </w:r>
            <w:proofErr w:type="spell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]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Variable.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#1: Full recovery.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#2: SE responded to AEDs.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#3: N/A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#4: Uncontrolled seizures after 7 years.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#5: Free of seizure. Partial improvement of stiff-person symptoms.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lastRenderedPageBreak/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16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57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Notion of acute “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increased seizure activity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” characterized by confusion, agitation and behavior change with a history of seizures for 4 years. Impairment of memory and nystagmus. Acute hyponatremia (107mmol/L, normal if 136-145)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and/or CSF serology positive. (serum=630nmol/L, CSF= 54.3nmol/L and N if =&lt;0.02,  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 26mg/ml, glucose 65mg/dl, 1 mononuclear (no normal values).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T2/FLAIR bilateral temporal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Whole-body CT and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PET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-scan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None.  (hypothyroidism, autoimmune thyroiditis not mentioned)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N/A.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39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Refractory epilepsy (brief episodes characterized by nausea, a worm sensation, “déjà-vu”, “déjà-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vécu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”, flushing, blurred vision and loss of contact) , memory impairment and humor depression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and/or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Protein, glucose and white blood cell count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T2 bilateral hippocampal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Whole-body CT and PET-scan.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Autoimmune thyroiditis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Celiac disease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Type 1 diabetes  (slow acting insulin-dependent)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Streroids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plasma exchanges,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aziathioprine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clobazam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valproic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acid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: Unfavorable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Improvement with plasma exchanges with “</w:t>
            </w: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ineluctable deterioration with treatment reduction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”.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2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40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M(2)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66-70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66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(#1)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70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(#2)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Seizures and confusion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: History of sub-acute onset of short-term memory loss and seizures.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and/or CSF serology positive.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Anti-GABA-B positive (on serum and/or CSF).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i/>
                <w:color w:val="231F20"/>
                <w:sz w:val="16"/>
                <w:szCs w:val="20"/>
                <w:lang w:val="en-CA"/>
              </w:rPr>
              <w:t>Novel antibodies against neuronal surface positive. SOX-1 positive (1/2, #2)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Absence of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onconeuronal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antibodies.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Protein, glucose not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mentioned.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Pleocytosis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(1/2, #1)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Positive  (2/2):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SCLC/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Steroids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Steroids,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chemotherapy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Variable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N/A due to short follow-up.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Death after 2 months from cancer-related treatment.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41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Sub-acute onset of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mesio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-temporal seizures (epigastric aura, fe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ar, flushing, diaphoresis and dé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jà-vu) and memory impairment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index at 7.7, normal if &lt;1.5)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protein and cell count.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Initially: 2 small localized T2/FLAIR and diffusion-weighted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areas in parietal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fronto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-basal cortex (bilaterally).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20 days after onset: bilateral swelling with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of mesial temporal lobes without enhancement.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Whole-body CT, PET-scan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Autoimmune thyroiditis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Steroids.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Topiramate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Unfavorable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Reduction in frequency of seizures after IV steroids with persistence of severe memory impairment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At 3-months, no improvement of memory and resistant to treatment seizures (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steroids refused by patients)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2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42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22-47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22 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(#1)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47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(#2)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4-month history of progressive short-term memory impairment and temporal lobe seizures.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#2: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6-month history of progressive memory impairment and 9-month history of temporal lobe seizures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CSF serology positive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(&gt;1000U/ml, normal if &lt;1)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protein, glucose and cell count.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Bilateral medial temporal lobe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swelling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Whole-body PET-Scan.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#1: None.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#2: Type 1 diabetes and autoimmune thyroiditis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>#1 and #2: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steroids,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aziathioprine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mycophenolate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mofetil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clobazam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carbamazepine,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lacosamide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Favorable.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 xml:space="preserve">#1: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Important reduction of seizures at 2 years with normal cognitive functions with mycophenolate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b/>
                <w:color w:val="231F20"/>
                <w:sz w:val="16"/>
                <w:szCs w:val="20"/>
                <w:lang w:val="en-CA"/>
              </w:rPr>
              <w:t xml:space="preserve">#2: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Improvement with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of both seizures and memory and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ormalization of memory and important reduction of seizure frequency with mycophenolate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43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48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Episodes of confusion and disorientation 2 years ago Subacute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onset of cognitive impairment within weeks with severe anterograde amnesia, agitation, hallucinations associated with temporal lobe seizures (multiple partial sensory  seizures and intermittent generalized seizures)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Blood and CSF serology positive. (index of 63)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Anti-AMPA negative.  Anti-GABA-A and B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protein, and white blood cell count (20mg/dl and 5 cell/mm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vertAlign w:val="superscript"/>
                <w:lang w:val="en-CA"/>
              </w:rPr>
              <w:t>3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 xml:space="preserve">Bilateral swelling with contrast enhancement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and T2-hyperintensities in the medial temporal lobes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Whole-body CT, 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mammography, pap smear.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lastRenderedPageBreak/>
              <w:t>None.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Steroids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, plasma exchange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AEDs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Phenytoin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</w:rPr>
              <w:t>phenobarbital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lastRenderedPageBreak/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Resolution of seizure with the first course of plasma exchange. At 12 month, cognitive improvement (significant improvement in verbal and visual memory confirmed by MMSE and psychometric testing)</w:t>
            </w:r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lastRenderedPageBreak/>
              <w:t>2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44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2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-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Focal seizures (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 more details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and/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or CSF serology positive. (not mentioned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Protein, glucose and cell count not mentioned.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Steroids.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 not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mentioned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Favorable (no relapse of seizure)</w:t>
            </w:r>
          </w:p>
        </w:tc>
      </w:tr>
      <w:tr w:rsidR="00BB2D26" w:rsidRPr="00180EFA" w:rsidTr="00C27284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37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19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History of  complex partial seizures over 4 month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and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Mild 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pleocytosis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elevation of proteins (increased IgG)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Signal abnormalities (not more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mentioned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.)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Whole-body CT (at 1-year follow-up)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None.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Steroids.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Multiples AEDs (no more details)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 Unfavorable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Transient remission (2 weeks) with corticosteroids.</w:t>
            </w:r>
          </w:p>
        </w:tc>
      </w:tr>
      <w:tr w:rsidR="00BB2D26" w:rsidRPr="003E016F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1</w:t>
            </w:r>
            <w:r w:rsidRPr="003E016F"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45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Subacute onset of headache, transient memory disturbance and seizures (2 seizure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semiologies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: focal motor seizure of the left leg and episodes of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dysgueusia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that occasionally evolved into generalized tonic-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clonic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seizures)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and CSF serology positive. (index not mentioned)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Anti-AMPA 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Normal </w:t>
            </w:r>
            <w:proofErr w:type="gram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protein,</w:t>
            </w:r>
            <w:proofErr w:type="gram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glucose with slightly elevated white blood cell count.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T2/FLAIR asymmetric bilateral medial temporal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Negative.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Whole-body MRI and testicular ultrasound.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None.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, steroids, rituximab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Levetiracetam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,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clobazam</w:t>
            </w:r>
            <w:proofErr w:type="spellEnd"/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Improvement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No improvement with steroids and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alone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Rapid response with the protocol of rituximab but worsening after 6 months that responded to additional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and increase of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clobazam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. Stability with monthly </w:t>
            </w: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</w:p>
        </w:tc>
      </w:tr>
      <w:tr w:rsidR="00BB2D26" w:rsidRPr="00180EFA" w:rsidTr="00C27284">
        <w:trPr>
          <w:trHeight w:val="3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Default="00BB2D26" w:rsidP="00C27284">
            <w:pPr>
              <w:autoSpaceDE w:val="0"/>
              <w:autoSpaceDN w:val="0"/>
              <w:adjustRightInd w:val="0"/>
              <w:ind w:left="-391" w:firstLine="391"/>
              <w:jc w:val="center"/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8"/>
                <w:szCs w:val="20"/>
                <w:lang w:val="en-CA"/>
              </w:rPr>
              <w:t>6</w:t>
            </w:r>
            <w:r>
              <w:rPr>
                <w:rFonts w:ascii="AdvAGaramond-R" w:hAnsi="AdvAGaramond-R" w:cs="AdvAGaramond-R"/>
                <w:color w:val="231F20"/>
                <w:sz w:val="18"/>
                <w:szCs w:val="20"/>
                <w:vertAlign w:val="superscript"/>
                <w:lang w:val="en-CA"/>
              </w:rPr>
              <w:t>15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M (5)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F(1)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1-13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12(M)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13(M)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1(M)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5(M)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6(M)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817" w:right="-391" w:firstLine="391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9(F)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B2D26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Seizures with status epilepticus (primary focal with secondary generalized in 4)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Refractory status epilepticus in 3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Autonomic instability in 5 (tachycardia in 3, hypertension in 1, hypotension in 1)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Behavior changes in 1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Fever in 6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Headache in 2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Upper respiratory signs in 2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Blood serology positive in 6/6 (titers ranged from 69.79-174.2U/ml)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CSF serology not mentioned.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Anti-GABA-B negative. Anti-AMPA not mentioned.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 to mildly elevated protein and cell count.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Normal/Nonspecific findings in 3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T2/FLAIR multiple asymmetric cortical and subcortical </w:t>
            </w:r>
            <w:proofErr w:type="spellStart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hyperintensity</w:t>
            </w:r>
            <w:proofErr w:type="spellEnd"/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in 3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 hyponatremia.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proofErr w:type="spellStart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IVIg</w:t>
            </w:r>
            <w:proofErr w:type="spellEnd"/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, steroids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AEDs: 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not mentioned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Follow-up: timing N/A</w:t>
            </w:r>
          </w:p>
          <w:p w:rsidR="00BB2D26" w:rsidRPr="003E016F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 w:rsidRPr="003E016F">
              <w:rPr>
                <w:rFonts w:ascii="AdvAGaramond-R" w:hAnsi="AdvAGaramond-R" w:cs="AdvAGaramond-R"/>
                <w:color w:val="231F20"/>
                <w:sz w:val="16"/>
                <w:szCs w:val="20"/>
                <w:u w:val="single"/>
                <w:lang w:val="en-CA"/>
              </w:rPr>
              <w:t>Outcome:</w:t>
            </w: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 xml:space="preserve"> Improvement in 2</w:t>
            </w:r>
          </w:p>
          <w:p w:rsidR="00BB2D26" w:rsidRDefault="00BB2D26" w:rsidP="00C2728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Death in 1 (from sepsis)</w:t>
            </w:r>
          </w:p>
          <w:p w:rsidR="00BB2D26" w:rsidRPr="003E016F" w:rsidRDefault="00BB2D26" w:rsidP="00C27284">
            <w:pPr>
              <w:keepNext/>
              <w:autoSpaceDE w:val="0"/>
              <w:autoSpaceDN w:val="0"/>
              <w:adjustRightInd w:val="0"/>
              <w:ind w:left="-108"/>
              <w:jc w:val="center"/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</w:pPr>
            <w:r>
              <w:rPr>
                <w:rFonts w:ascii="AdvAGaramond-R" w:hAnsi="AdvAGaramond-R" w:cs="AdvAGaramond-R"/>
                <w:color w:val="231F20"/>
                <w:sz w:val="16"/>
                <w:szCs w:val="20"/>
                <w:lang w:val="en-CA"/>
              </w:rPr>
              <w:t>Survival in 5 (2 with good outcomes (Glasgow outcome scale ≥  4) and 3 with bad outcomes (Glasgow outcome scale ≤ 3))</w:t>
            </w:r>
          </w:p>
        </w:tc>
      </w:tr>
    </w:tbl>
    <w:p w:rsidR="00BB2D26" w:rsidRDefault="00862222" w:rsidP="00BB2D26">
      <w:pPr>
        <w:pStyle w:val="Lgende"/>
        <w:jc w:val="center"/>
        <w:rPr>
          <w:rFonts w:ascii="Times New Roman" w:hAnsi="Times New Roman" w:cs="Times New Roman"/>
          <w:color w:val="auto"/>
          <w:lang w:val="en-CA"/>
        </w:rPr>
      </w:pPr>
      <w:r>
        <w:rPr>
          <w:rFonts w:ascii="Times New Roman" w:hAnsi="Times New Roman" w:cs="Times New Roman"/>
          <w:color w:val="auto"/>
          <w:lang w:val="en-CA"/>
        </w:rPr>
        <w:t>Table 7</w:t>
      </w:r>
      <w:r w:rsidR="00BB2D26" w:rsidRPr="00E36ADC">
        <w:rPr>
          <w:rFonts w:ascii="Times New Roman" w:hAnsi="Times New Roman" w:cs="Times New Roman"/>
          <w:color w:val="auto"/>
          <w:lang w:val="en-CA"/>
        </w:rPr>
        <w:t>:</w:t>
      </w:r>
      <w:r w:rsidR="00BB2D26" w:rsidRPr="00E36ADC">
        <w:rPr>
          <w:color w:val="auto"/>
          <w:lang w:val="en-CA"/>
        </w:rPr>
        <w:t xml:space="preserve"> </w:t>
      </w:r>
      <w:r w:rsidR="00BB2D26" w:rsidRPr="00E36ADC">
        <w:rPr>
          <w:rFonts w:ascii="Times New Roman" w:hAnsi="Times New Roman" w:cs="Times New Roman"/>
          <w:color w:val="auto"/>
          <w:lang w:val="en-CA"/>
        </w:rPr>
        <w:t xml:space="preserve">AED (antiepileptic drugs), </w:t>
      </w:r>
      <w:proofErr w:type="spellStart"/>
      <w:r w:rsidR="00BB2D26" w:rsidRPr="00E36ADC">
        <w:rPr>
          <w:rFonts w:ascii="Times New Roman" w:hAnsi="Times New Roman" w:cs="Times New Roman"/>
          <w:color w:val="auto"/>
          <w:lang w:val="en-CA"/>
        </w:rPr>
        <w:t>IVIg</w:t>
      </w:r>
      <w:proofErr w:type="spellEnd"/>
      <w:r w:rsidR="00BB2D26" w:rsidRPr="00E36ADC">
        <w:rPr>
          <w:rFonts w:ascii="Times New Roman" w:hAnsi="Times New Roman" w:cs="Times New Roman"/>
          <w:color w:val="auto"/>
          <w:lang w:val="en-CA"/>
        </w:rPr>
        <w:t xml:space="preserve"> (IV immunoglobulin), M (male), F (female), </w:t>
      </w:r>
      <w:proofErr w:type="gramStart"/>
      <w:r w:rsidR="00BB2D26" w:rsidRPr="00E36ADC">
        <w:rPr>
          <w:rFonts w:ascii="Times New Roman" w:hAnsi="Times New Roman" w:cs="Times New Roman"/>
          <w:color w:val="auto"/>
          <w:lang w:val="en-CA"/>
        </w:rPr>
        <w:t>SCLC</w:t>
      </w:r>
      <w:proofErr w:type="gramEnd"/>
      <w:r w:rsidR="00BB2D26" w:rsidRPr="00E36ADC">
        <w:rPr>
          <w:rFonts w:ascii="Times New Roman" w:hAnsi="Times New Roman" w:cs="Times New Roman"/>
          <w:color w:val="auto"/>
          <w:lang w:val="en-CA"/>
        </w:rPr>
        <w:t xml:space="preserve"> (small cell lung carcinoma).</w:t>
      </w:r>
    </w:p>
    <w:tbl>
      <w:tblPr>
        <w:tblStyle w:val="Grilledutableau1"/>
        <w:tblpPr w:leftFromText="141" w:rightFromText="141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2089"/>
        <w:gridCol w:w="2130"/>
        <w:gridCol w:w="2586"/>
      </w:tblGrid>
      <w:tr w:rsidR="00E54227" w:rsidRPr="00180EFA" w:rsidTr="00E54227">
        <w:tc>
          <w:tcPr>
            <w:tcW w:w="6805" w:type="dxa"/>
            <w:gridSpan w:val="3"/>
            <w:shd w:val="clear" w:color="auto" w:fill="808080" w:themeFill="background1" w:themeFillShade="80"/>
            <w:vAlign w:val="center"/>
          </w:tcPr>
          <w:p w:rsidR="00E54227" w:rsidRPr="00C27284" w:rsidRDefault="00862222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CA"/>
              </w:rPr>
              <w:t>Table 8</w:t>
            </w:r>
            <w:r w:rsidR="00E54227" w:rsidRPr="00C27284">
              <w:rPr>
                <w:rFonts w:ascii="Times New Roman" w:hAnsi="Times New Roman" w:cs="Times New Roman"/>
                <w:b/>
                <w:sz w:val="18"/>
                <w:szCs w:val="20"/>
                <w:lang w:val="en-CA"/>
              </w:rPr>
              <w:t> : LE associated with GAD65 antibodies and concurrent diagnosis of cancer</w:t>
            </w:r>
          </w:p>
        </w:tc>
      </w:tr>
      <w:tr w:rsidR="00E54227" w:rsidRPr="00180EFA" w:rsidTr="00E54227">
        <w:tc>
          <w:tcPr>
            <w:tcW w:w="2089" w:type="dxa"/>
            <w:shd w:val="clear" w:color="auto" w:fill="BFBFBF" w:themeFill="background1" w:themeFillShade="BF"/>
            <w:vAlign w:val="center"/>
          </w:tcPr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  <w:lang w:val="en-CA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CA"/>
              </w:rPr>
            </w:pPr>
            <w:r w:rsidRPr="00C27284">
              <w:rPr>
                <w:rFonts w:ascii="Times New Roman" w:hAnsi="Times New Roman" w:cs="Times New Roman"/>
                <w:b/>
                <w:sz w:val="16"/>
                <w:szCs w:val="20"/>
                <w:lang w:val="en-CA"/>
              </w:rPr>
              <w:t>Cases of LE associated with GAD65 antibodies and cancer (n=6)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CA"/>
              </w:rPr>
            </w:pPr>
            <w:r w:rsidRPr="00C27284">
              <w:rPr>
                <w:rFonts w:ascii="Times New Roman" w:hAnsi="Times New Roman" w:cs="Times New Roman"/>
                <w:b/>
                <w:sz w:val="16"/>
                <w:szCs w:val="20"/>
                <w:lang w:val="en-CA"/>
              </w:rPr>
              <w:t>Cases of LE associated with GAD65 antibodies (n=58)</w:t>
            </w:r>
          </w:p>
        </w:tc>
      </w:tr>
      <w:tr w:rsidR="00E54227" w:rsidRPr="00180EFA" w:rsidTr="00E54227">
        <w:tc>
          <w:tcPr>
            <w:tcW w:w="2089" w:type="dxa"/>
            <w:shd w:val="clear" w:color="auto" w:fill="BFBFBF" w:themeFill="background1" w:themeFillShade="BF"/>
            <w:vAlign w:val="center"/>
          </w:tcPr>
          <w:p w:rsidR="00E54227" w:rsidRPr="006E3B98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6E3B98">
              <w:rPr>
                <w:rFonts w:ascii="Times New Roman" w:hAnsi="Times New Roman" w:cs="Times New Roman"/>
                <w:i/>
                <w:sz w:val="16"/>
                <w:szCs w:val="20"/>
              </w:rPr>
              <w:t>Age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  <w:lang w:val="en-CA"/>
              </w:rPr>
            </w:pPr>
            <w:r w:rsidRPr="00C27284"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38-70 years old</w:t>
            </w:r>
          </w:p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  <w:lang w:val="en-CA"/>
              </w:rPr>
            </w:pPr>
            <w:r w:rsidRPr="00C27284"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Mean : 61 years old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  <w:lang w:val="en-CA"/>
              </w:rPr>
            </w:pPr>
            <w:r w:rsidRPr="00C27284"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1-70 years old</w:t>
            </w:r>
          </w:p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Mean : 24</w:t>
            </w:r>
            <w:r w:rsidRPr="00C27284"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 xml:space="preserve"> years old</w:t>
            </w:r>
          </w:p>
        </w:tc>
      </w:tr>
      <w:tr w:rsidR="00E54227" w:rsidRPr="006E3B98" w:rsidTr="00E54227">
        <w:tc>
          <w:tcPr>
            <w:tcW w:w="2089" w:type="dxa"/>
            <w:shd w:val="clear" w:color="auto" w:fill="BFBFBF" w:themeFill="background1" w:themeFillShade="BF"/>
            <w:vAlign w:val="center"/>
          </w:tcPr>
          <w:p w:rsidR="00E54227" w:rsidRPr="006E3B98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6E3B9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Male </w:t>
            </w:r>
            <w:proofErr w:type="spellStart"/>
            <w:r w:rsidRPr="006E3B98">
              <w:rPr>
                <w:rFonts w:ascii="Times New Roman" w:hAnsi="Times New Roman" w:cs="Times New Roman"/>
                <w:i/>
                <w:sz w:val="16"/>
                <w:szCs w:val="20"/>
              </w:rPr>
              <w:t>sex</w:t>
            </w:r>
            <w:proofErr w:type="spellEnd"/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227" w:rsidRPr="006E3B98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E3B98">
              <w:rPr>
                <w:rFonts w:ascii="Times New Roman" w:hAnsi="Times New Roman" w:cs="Times New Roman"/>
                <w:sz w:val="16"/>
                <w:szCs w:val="20"/>
              </w:rPr>
              <w:t>6/6 (100%)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E54227" w:rsidRPr="006E3B98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E3B98">
              <w:rPr>
                <w:rFonts w:ascii="Times New Roman" w:hAnsi="Times New Roman" w:cs="Times New Roman"/>
                <w:sz w:val="16"/>
                <w:szCs w:val="20"/>
              </w:rPr>
              <w:t>24/58 (41%)</w:t>
            </w:r>
          </w:p>
        </w:tc>
      </w:tr>
      <w:tr w:rsidR="00E54227" w:rsidRPr="006E3B98" w:rsidTr="00E54227">
        <w:tc>
          <w:tcPr>
            <w:tcW w:w="2089" w:type="dxa"/>
            <w:shd w:val="clear" w:color="auto" w:fill="BFBFBF" w:themeFill="background1" w:themeFillShade="BF"/>
            <w:vAlign w:val="center"/>
          </w:tcPr>
          <w:p w:rsidR="00E54227" w:rsidRPr="006E3B98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6E3B9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Concurrent positive </w:t>
            </w:r>
            <w:proofErr w:type="spellStart"/>
            <w:r w:rsidRPr="006E3B98">
              <w:rPr>
                <w:rFonts w:ascii="Times New Roman" w:hAnsi="Times New Roman" w:cs="Times New Roman"/>
                <w:i/>
                <w:sz w:val="16"/>
                <w:szCs w:val="20"/>
              </w:rPr>
              <w:t>antibodies</w:t>
            </w:r>
            <w:proofErr w:type="spellEnd"/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  <w:lang w:val="en-CA"/>
              </w:rPr>
            </w:pPr>
            <w:r w:rsidRPr="00C27284"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3/6 (50%)</w:t>
            </w:r>
          </w:p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  <w:lang w:val="en-CA"/>
              </w:rPr>
            </w:pPr>
            <w:r w:rsidRPr="00C27284"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*GABA</w:t>
            </w:r>
            <w:r w:rsidRPr="00C27284">
              <w:rPr>
                <w:rFonts w:ascii="Times New Roman" w:hAnsi="Times New Roman" w:cs="Times New Roman"/>
                <w:sz w:val="16"/>
                <w:szCs w:val="20"/>
                <w:vertAlign w:val="subscript"/>
                <w:lang w:val="en-CA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R antibodies (n=</w:t>
            </w:r>
            <w:r w:rsidRPr="00C27284"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)</w:t>
            </w:r>
          </w:p>
          <w:p w:rsidR="00E54227" w:rsidRPr="00C27284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  <w:lang w:val="en-CA"/>
              </w:rPr>
            </w:pPr>
            <w:r w:rsidRPr="00C27284"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 xml:space="preserve">CRMP3-4 antibodies </w:t>
            </w:r>
            <w:r>
              <w:rPr>
                <w:rFonts w:ascii="Times New Roman" w:hAnsi="Times New Roman" w:cs="Times New Roman"/>
                <w:sz w:val="16"/>
                <w:szCs w:val="20"/>
                <w:lang w:val="en-CA"/>
              </w:rPr>
              <w:t>(n=1)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E54227" w:rsidRPr="006E3B98" w:rsidRDefault="00E54227" w:rsidP="00E5422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11/58 (19</w:t>
            </w:r>
            <w:r w:rsidRPr="006E3B98">
              <w:rPr>
                <w:rFonts w:ascii="Times New Roman" w:hAnsi="Times New Roman" w:cs="Times New Roman"/>
                <w:sz w:val="16"/>
                <w:szCs w:val="20"/>
              </w:rPr>
              <w:t>%)</w:t>
            </w:r>
          </w:p>
        </w:tc>
      </w:tr>
    </w:tbl>
    <w:p w:rsidR="006E3B98" w:rsidRDefault="006E3B98" w:rsidP="006E3B98">
      <w:pPr>
        <w:rPr>
          <w:lang w:val="en-CA"/>
        </w:rPr>
      </w:pPr>
    </w:p>
    <w:p w:rsidR="00E54227" w:rsidRDefault="00E54227" w:rsidP="006E3B98">
      <w:pPr>
        <w:rPr>
          <w:lang w:val="en-CA"/>
        </w:rPr>
      </w:pPr>
    </w:p>
    <w:p w:rsidR="00E54227" w:rsidRDefault="00E54227" w:rsidP="006E3B98">
      <w:pPr>
        <w:rPr>
          <w:lang w:val="en-CA"/>
        </w:rPr>
      </w:pPr>
    </w:p>
    <w:p w:rsidR="00E54227" w:rsidRDefault="00E54227" w:rsidP="006E3B98">
      <w:pPr>
        <w:rPr>
          <w:lang w:val="en-CA"/>
        </w:rPr>
      </w:pPr>
    </w:p>
    <w:tbl>
      <w:tblPr>
        <w:tblStyle w:val="Grilledutableau2"/>
        <w:tblpPr w:leftFromText="141" w:rightFromText="141" w:vertAnchor="text" w:horzAnchor="margin" w:tblpXSpec="center" w:tblpY="90"/>
        <w:tblOverlap w:val="never"/>
        <w:tblW w:w="2875" w:type="pct"/>
        <w:tblLayout w:type="fixed"/>
        <w:tblLook w:val="04A0" w:firstRow="1" w:lastRow="0" w:firstColumn="1" w:lastColumn="0" w:noHBand="0" w:noVBand="1"/>
      </w:tblPr>
      <w:tblGrid>
        <w:gridCol w:w="1809"/>
        <w:gridCol w:w="2696"/>
        <w:gridCol w:w="2552"/>
        <w:gridCol w:w="1132"/>
      </w:tblGrid>
      <w:tr w:rsidR="00E54227" w:rsidRPr="00180EFA" w:rsidTr="00E54227">
        <w:trPr>
          <w:trHeight w:val="22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4227" w:rsidRPr="00F730E4" w:rsidRDefault="00862222" w:rsidP="006D71D9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CA"/>
              </w:rPr>
            </w:pPr>
            <w:r>
              <w:rPr>
                <w:rFonts w:ascii="Times New Roman" w:hAnsi="Times New Roman"/>
                <w:b/>
                <w:sz w:val="18"/>
                <w:szCs w:val="16"/>
                <w:lang w:val="en-CA"/>
              </w:rPr>
              <w:lastRenderedPageBreak/>
              <w:t>Table 9</w:t>
            </w:r>
            <w:r w:rsidR="00E54227" w:rsidRPr="00F730E4">
              <w:rPr>
                <w:rFonts w:ascii="Times New Roman" w:hAnsi="Times New Roman"/>
                <w:b/>
                <w:sz w:val="18"/>
                <w:szCs w:val="16"/>
                <w:lang w:val="en-CA"/>
              </w:rPr>
              <w:t xml:space="preserve"> : Descriptive comparison between sub-group</w:t>
            </w:r>
            <w:r w:rsidR="00E54227">
              <w:rPr>
                <w:rFonts w:ascii="Times New Roman" w:hAnsi="Times New Roman"/>
                <w:b/>
                <w:sz w:val="18"/>
                <w:szCs w:val="16"/>
                <w:lang w:val="en-CA"/>
              </w:rPr>
              <w:t>s</w:t>
            </w:r>
            <w:r w:rsidR="00E54227" w:rsidRPr="00F730E4">
              <w:rPr>
                <w:rFonts w:ascii="Times New Roman" w:hAnsi="Times New Roman"/>
                <w:b/>
                <w:sz w:val="18"/>
                <w:szCs w:val="16"/>
                <w:lang w:val="en-CA"/>
              </w:rPr>
              <w:t xml:space="preserve"> of cases </w:t>
            </w:r>
            <w:r w:rsidR="006D71D9">
              <w:rPr>
                <w:rFonts w:ascii="Times New Roman" w:hAnsi="Times New Roman"/>
                <w:b/>
                <w:sz w:val="18"/>
                <w:szCs w:val="16"/>
                <w:lang w:val="en-CA"/>
              </w:rPr>
              <w:t xml:space="preserve">of LE with GAD65 antibodies </w:t>
            </w:r>
            <w:r w:rsidR="00E54227" w:rsidRPr="00F730E4">
              <w:rPr>
                <w:rFonts w:ascii="Times New Roman" w:hAnsi="Times New Roman"/>
                <w:b/>
                <w:sz w:val="18"/>
                <w:szCs w:val="16"/>
                <w:lang w:val="en-CA"/>
              </w:rPr>
              <w:t xml:space="preserve">with </w:t>
            </w:r>
            <w:r w:rsidR="00E54227">
              <w:rPr>
                <w:rFonts w:ascii="Times New Roman" w:hAnsi="Times New Roman"/>
                <w:b/>
                <w:sz w:val="18"/>
                <w:szCs w:val="16"/>
                <w:lang w:val="en-CA"/>
              </w:rPr>
              <w:t xml:space="preserve">and without </w:t>
            </w:r>
            <w:r w:rsidR="00E54227" w:rsidRPr="00F730E4">
              <w:rPr>
                <w:rFonts w:ascii="Times New Roman" w:hAnsi="Times New Roman"/>
                <w:b/>
                <w:sz w:val="18"/>
                <w:szCs w:val="16"/>
                <w:lang w:val="en-CA"/>
              </w:rPr>
              <w:t xml:space="preserve">concurrent positive </w:t>
            </w:r>
            <w:r w:rsidR="006D71D9">
              <w:rPr>
                <w:rFonts w:ascii="Times New Roman" w:hAnsi="Times New Roman"/>
                <w:b/>
                <w:sz w:val="18"/>
                <w:szCs w:val="16"/>
                <w:lang w:val="en-CA"/>
              </w:rPr>
              <w:t xml:space="preserve">neuronal </w:t>
            </w:r>
            <w:r w:rsidR="00E54227" w:rsidRPr="00F730E4">
              <w:rPr>
                <w:rFonts w:ascii="Times New Roman" w:hAnsi="Times New Roman"/>
                <w:b/>
                <w:sz w:val="18"/>
                <w:szCs w:val="16"/>
                <w:lang w:val="en-CA"/>
              </w:rPr>
              <w:t>antibodies</w:t>
            </w:r>
          </w:p>
        </w:tc>
      </w:tr>
      <w:tr w:rsidR="00E54227" w:rsidRPr="00180EFA" w:rsidTr="00E54227">
        <w:trPr>
          <w:trHeight w:val="224"/>
        </w:trPr>
        <w:tc>
          <w:tcPr>
            <w:tcW w:w="1105" w:type="pct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E54227" w:rsidRPr="00D75508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</w:p>
        </w:tc>
        <w:tc>
          <w:tcPr>
            <w:tcW w:w="1646" w:type="pct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E54227" w:rsidRPr="00D75508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LE with GAD65 antibodies only (n=47)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E54227" w:rsidRPr="00D75508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 w:rsidRPr="00D75508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LE with concurrent pos</w:t>
            </w:r>
            <w:r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itive antibodies (n=11</w:t>
            </w:r>
            <w:r w:rsidRPr="00D75508"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)</w:t>
            </w:r>
            <w:r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*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E54227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Fisher’s exact test</w:t>
            </w:r>
          </w:p>
          <w:p w:rsidR="00E54227" w:rsidRPr="00D75508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C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CA"/>
              </w:rPr>
              <w:t>(p-value)</w:t>
            </w:r>
          </w:p>
        </w:tc>
      </w:tr>
      <w:tr w:rsidR="00E54227" w:rsidRPr="00A83B54" w:rsidTr="00E54227">
        <w:trPr>
          <w:trHeight w:val="617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Age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1-70 years old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Mean age : 27 years old*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*Available data in 40 cases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11-70 years old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Mean age : 35 years old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</w:t>
            </w:r>
            <w:r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0.3593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A83B54">
              <w:rPr>
                <w:rFonts w:ascii="Times New Roman" w:hAnsi="Times New Roman"/>
                <w:i/>
                <w:sz w:val="16"/>
                <w:szCs w:val="16"/>
              </w:rPr>
              <w:t>Female</w:t>
            </w:r>
            <w:proofErr w:type="spellEnd"/>
            <w:r w:rsidRPr="00A83B5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A83B54">
              <w:rPr>
                <w:rFonts w:ascii="Times New Roman" w:hAnsi="Times New Roman"/>
                <w:i/>
                <w:sz w:val="16"/>
                <w:szCs w:val="16"/>
              </w:rPr>
              <w:t>sex</w:t>
            </w:r>
            <w:proofErr w:type="spellEnd"/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62% (29/47)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45% (5/11)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p=0.4979</w:t>
            </w:r>
          </w:p>
        </w:tc>
      </w:tr>
      <w:tr w:rsidR="00E54227" w:rsidRPr="00A83B54" w:rsidTr="00E54227">
        <w:trPr>
          <w:trHeight w:val="353"/>
        </w:trPr>
        <w:tc>
          <w:tcPr>
            <w:tcW w:w="1105" w:type="pct"/>
            <w:vMerge w:val="restar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Autoimmune diseases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51% (19/37)*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*</w:t>
            </w: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Available data for 37 cases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33% (3/9)*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*Available data for 9 cases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p=0.4638</w:t>
            </w:r>
          </w:p>
        </w:tc>
      </w:tr>
      <w:tr w:rsidR="00E54227" w:rsidRPr="00180EFA" w:rsidTr="00E54227">
        <w:trPr>
          <w:trHeight w:val="353"/>
        </w:trPr>
        <w:tc>
          <w:tcPr>
            <w:tcW w:w="1105" w:type="pct"/>
            <w:vMerge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Cases with :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Diabetes : 14/19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Diabetes only : 10/19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Other autoimmune diseases only: 5/19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Both diabetes and other autoimmune diseases : 4/19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Cases with: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Diabetes : 2/3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Diabetes only : 1/3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Other autoimmune diseases only : 1/3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Both diabetes and other autoimmune diseases : 1/3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Cancer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6% (3/47)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27% (3/11)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p=0.0755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Seizures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98% (46/47)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91% (10/11)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p=0.3460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Status epilepticus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28% (13/47)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9% (1/11)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p=0.3460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Memory</w:t>
            </w:r>
            <w:r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 xml:space="preserve"> impairment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60% (28/47)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55% (6/11)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p=1.000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Psychiatric symptoms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28% (13/47)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27% (3/11)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p=1.0000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Cerebellar signs or symptoms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9% (4/47)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0% (0/11)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p=1.0000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Abnormal brain MRI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79% (37/47)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73% (8/11)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p=0.6964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Hyponatremia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6% (3/47)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0% (0/11)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p=1.0000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proofErr w:type="spellStart"/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Pleocytosis</w:t>
            </w:r>
            <w:proofErr w:type="spellEnd"/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25% (9/36)*</w:t>
            </w:r>
          </w:p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*Available data for 36 cases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40% (2/5)*</w:t>
            </w:r>
          </w:p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*</w:t>
            </w: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Available data for 5 cases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p=0.5977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b/>
                <w:i/>
                <w:sz w:val="16"/>
                <w:szCs w:val="16"/>
                <w:lang w:val="en-CA"/>
              </w:rPr>
              <w:lastRenderedPageBreak/>
              <w:t>Positive GAD65 antibodies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Available data for 47 cases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Available data for 9 cases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0654BA" w:rsidP="00E54227">
            <w:pPr>
              <w:keepNext/>
              <w:tabs>
                <w:tab w:val="left" w:pos="7500"/>
              </w:tabs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--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GAD antibodies in CSF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72% (34/47)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44% (4/9)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0654BA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>
              <w:rPr>
                <w:rFonts w:ascii="Times New Roman" w:hAnsi="Times New Roman"/>
                <w:sz w:val="16"/>
                <w:szCs w:val="16"/>
                <w:lang w:val="en-CA"/>
              </w:rPr>
              <w:t>--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GAD antibodies in serum only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28% (13/47)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55% (5/9)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0654BA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>
              <w:rPr>
                <w:rFonts w:ascii="Times New Roman" w:hAnsi="Times New Roman"/>
                <w:sz w:val="16"/>
                <w:szCs w:val="16"/>
                <w:lang w:val="en-CA"/>
              </w:rPr>
              <w:t>--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GAD antibodies in CSF and serum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68% (32/47)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33% (3/9)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0654BA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>
              <w:rPr>
                <w:rFonts w:ascii="Times New Roman" w:hAnsi="Times New Roman"/>
                <w:sz w:val="16"/>
                <w:szCs w:val="16"/>
                <w:lang w:val="en-CA"/>
              </w:rPr>
              <w:t>--</w:t>
            </w:r>
          </w:p>
        </w:tc>
      </w:tr>
      <w:tr w:rsidR="00E54227" w:rsidRPr="00A83B54" w:rsidTr="00E54227">
        <w:trPr>
          <w:trHeight w:val="224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b/>
                <w:i/>
                <w:sz w:val="16"/>
                <w:szCs w:val="16"/>
                <w:lang w:val="en-CA"/>
              </w:rPr>
              <w:t>Outcome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Available data  for 44 cases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Available data for 9 cases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Pr="00A83B54" w:rsidRDefault="000654BA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>
              <w:rPr>
                <w:rFonts w:ascii="Times New Roman" w:hAnsi="Times New Roman"/>
                <w:sz w:val="16"/>
                <w:szCs w:val="16"/>
                <w:lang w:val="en-CA"/>
              </w:rPr>
              <w:t>--</w:t>
            </w:r>
          </w:p>
        </w:tc>
      </w:tr>
      <w:tr w:rsidR="00E54227" w:rsidRPr="00A83B54" w:rsidTr="00E54227">
        <w:trPr>
          <w:trHeight w:val="563"/>
        </w:trPr>
        <w:tc>
          <w:tcPr>
            <w:tcW w:w="1105" w:type="pct"/>
            <w:shd w:val="clear" w:color="auto" w:fill="A6A6A6" w:themeFill="background1" w:themeFillShade="A6"/>
            <w:vAlign w:val="center"/>
          </w:tcPr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Favorable outcome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Improvement</w:t>
            </w:r>
          </w:p>
          <w:p w:rsidR="00E54227" w:rsidRPr="00A83B54" w:rsidRDefault="00E54227" w:rsidP="00E54227">
            <w:pPr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Full recovery</w:t>
            </w:r>
          </w:p>
        </w:tc>
        <w:tc>
          <w:tcPr>
            <w:tcW w:w="1646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55% (24/44)</w:t>
            </w:r>
          </w:p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48% (21/44)</w:t>
            </w:r>
          </w:p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7% (3/44)</w:t>
            </w:r>
          </w:p>
        </w:tc>
        <w:tc>
          <w:tcPr>
            <w:tcW w:w="1558" w:type="pct"/>
            <w:shd w:val="pct10" w:color="auto" w:fill="auto"/>
            <w:vAlign w:val="center"/>
          </w:tcPr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33% (3/9)</w:t>
            </w:r>
          </w:p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22% (2/9)</w:t>
            </w:r>
          </w:p>
          <w:p w:rsidR="00E54227" w:rsidRPr="00A83B54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sz w:val="16"/>
                <w:szCs w:val="16"/>
                <w:lang w:val="en-CA"/>
              </w:rPr>
              <w:t>11% (1/9)</w:t>
            </w:r>
          </w:p>
        </w:tc>
        <w:tc>
          <w:tcPr>
            <w:tcW w:w="692" w:type="pct"/>
            <w:shd w:val="pct10" w:color="auto" w:fill="auto"/>
            <w:vAlign w:val="center"/>
          </w:tcPr>
          <w:p w:rsidR="00E54227" w:rsidRDefault="00E54227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  <w:r w:rsidRPr="00A83B54">
              <w:rPr>
                <w:rFonts w:ascii="Times New Roman" w:hAnsi="Times New Roman"/>
                <w:i/>
                <w:sz w:val="16"/>
                <w:szCs w:val="16"/>
                <w:lang w:val="en-CA"/>
              </w:rPr>
              <w:t>p=0.2935</w:t>
            </w:r>
          </w:p>
          <w:p w:rsidR="006F3032" w:rsidRDefault="006F3032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</w:p>
          <w:p w:rsidR="006F3032" w:rsidRPr="00A83B54" w:rsidRDefault="006F3032" w:rsidP="00E54227">
            <w:pPr>
              <w:keepNext/>
              <w:tabs>
                <w:tab w:val="left" w:pos="7500"/>
              </w:tabs>
              <w:spacing w:after="160" w:line="259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CA"/>
              </w:rPr>
            </w:pPr>
          </w:p>
        </w:tc>
      </w:tr>
    </w:tbl>
    <w:p w:rsidR="006E3B98" w:rsidRDefault="006E3B98" w:rsidP="006E3B98">
      <w:pPr>
        <w:rPr>
          <w:lang w:val="en-CA"/>
        </w:rPr>
      </w:pPr>
    </w:p>
    <w:p w:rsidR="00DF7D60" w:rsidRPr="00662343" w:rsidRDefault="00DF7D60" w:rsidP="00DF7D60">
      <w:pPr>
        <w:pStyle w:val="Lgende"/>
        <w:framePr w:hSpace="141" w:wrap="around" w:vAnchor="text" w:hAnchor="margin" w:xAlign="center" w:y="90"/>
        <w:suppressOverlap/>
        <w:rPr>
          <w:rFonts w:ascii="Times New Roman" w:hAnsi="Times New Roman" w:cs="Times New Roman"/>
          <w:lang w:val="en-CA"/>
        </w:rPr>
      </w:pPr>
      <w:r w:rsidRPr="00662343">
        <w:rPr>
          <w:rFonts w:ascii="Times New Roman" w:hAnsi="Times New Roman" w:cs="Times New Roman"/>
          <w:color w:val="auto"/>
          <w:lang w:val="en-CA"/>
        </w:rPr>
        <w:t xml:space="preserve">Table </w:t>
      </w:r>
      <w:proofErr w:type="gramStart"/>
      <w:r w:rsidR="00862222">
        <w:rPr>
          <w:rFonts w:ascii="Times New Roman" w:hAnsi="Times New Roman" w:cs="Times New Roman"/>
          <w:color w:val="auto"/>
        </w:rPr>
        <w:t>9</w:t>
      </w:r>
      <w:r w:rsidRPr="00662343">
        <w:rPr>
          <w:rFonts w:ascii="Times New Roman" w:hAnsi="Times New Roman" w:cs="Times New Roman"/>
          <w:color w:val="auto"/>
          <w:lang w:val="en-CA"/>
        </w:rPr>
        <w:t> :</w:t>
      </w:r>
      <w:proofErr w:type="gramEnd"/>
      <w:r w:rsidRPr="00662343">
        <w:rPr>
          <w:rFonts w:ascii="Times New Roman" w:hAnsi="Times New Roman" w:cs="Times New Roman"/>
          <w:color w:val="auto"/>
          <w:lang w:val="en-CA"/>
        </w:rPr>
        <w:t xml:space="preserve"> *GABA</w:t>
      </w:r>
      <w:r w:rsidRPr="00662343">
        <w:rPr>
          <w:rFonts w:ascii="Times New Roman" w:hAnsi="Times New Roman" w:cs="Times New Roman"/>
          <w:color w:val="auto"/>
          <w:vertAlign w:val="subscript"/>
          <w:lang w:val="en-CA"/>
        </w:rPr>
        <w:t>B</w:t>
      </w:r>
      <w:r w:rsidRPr="00662343">
        <w:rPr>
          <w:rFonts w:ascii="Times New Roman" w:hAnsi="Times New Roman" w:cs="Times New Roman"/>
          <w:color w:val="auto"/>
          <w:lang w:val="en-CA"/>
        </w:rPr>
        <w:t>R, GABA</w:t>
      </w:r>
      <w:r w:rsidRPr="00662343">
        <w:rPr>
          <w:rFonts w:ascii="Times New Roman" w:hAnsi="Times New Roman" w:cs="Times New Roman"/>
          <w:color w:val="auto"/>
          <w:vertAlign w:val="subscript"/>
          <w:lang w:val="en-CA"/>
        </w:rPr>
        <w:t>A</w:t>
      </w:r>
      <w:r w:rsidRPr="00662343">
        <w:rPr>
          <w:rFonts w:ascii="Times New Roman" w:hAnsi="Times New Roman" w:cs="Times New Roman"/>
          <w:color w:val="auto"/>
          <w:lang w:val="en-CA"/>
        </w:rPr>
        <w:t>R, VGKC, CRMP3-4 antibodies</w:t>
      </w:r>
      <w:r w:rsidRPr="00662343">
        <w:rPr>
          <w:rFonts w:ascii="Times New Roman" w:hAnsi="Times New Roman" w:cs="Times New Roman"/>
          <w:lang w:val="en-CA"/>
        </w:rPr>
        <w:t xml:space="preserve">. </w:t>
      </w:r>
    </w:p>
    <w:p w:rsidR="00DF7D60" w:rsidRPr="005A5B48" w:rsidRDefault="00DF7D60" w:rsidP="00DF7D60">
      <w:pPr>
        <w:rPr>
          <w:i/>
          <w:lang w:val="en-CA"/>
        </w:rPr>
      </w:pPr>
    </w:p>
    <w:p w:rsidR="00DF7D60" w:rsidRDefault="00DF7D60" w:rsidP="00DF7D60">
      <w:pPr>
        <w:rPr>
          <w:lang w:val="en-CA"/>
        </w:rPr>
      </w:pPr>
    </w:p>
    <w:p w:rsidR="006E3B98" w:rsidRDefault="006E3B98" w:rsidP="006E3B98">
      <w:pPr>
        <w:rPr>
          <w:lang w:val="en-CA"/>
        </w:rPr>
      </w:pPr>
    </w:p>
    <w:p w:rsidR="00862222" w:rsidRDefault="00862222" w:rsidP="006E3B98">
      <w:pPr>
        <w:rPr>
          <w:lang w:val="en-CA"/>
        </w:rPr>
      </w:pPr>
    </w:p>
    <w:p w:rsidR="00862222" w:rsidRDefault="00862222" w:rsidP="006E3B98">
      <w:pPr>
        <w:rPr>
          <w:lang w:val="en-CA"/>
        </w:rPr>
      </w:pPr>
    </w:p>
    <w:p w:rsidR="00862222" w:rsidRDefault="00862222" w:rsidP="006E3B98">
      <w:pPr>
        <w:rPr>
          <w:lang w:val="en-CA"/>
        </w:rPr>
      </w:pPr>
    </w:p>
    <w:p w:rsidR="00862222" w:rsidRDefault="00862222" w:rsidP="006E3B98">
      <w:pPr>
        <w:rPr>
          <w:lang w:val="en-CA"/>
        </w:rPr>
      </w:pPr>
    </w:p>
    <w:p w:rsidR="00862222" w:rsidRDefault="00862222" w:rsidP="006E3B98">
      <w:pPr>
        <w:rPr>
          <w:lang w:val="en-CA"/>
        </w:rPr>
      </w:pPr>
    </w:p>
    <w:tbl>
      <w:tblPr>
        <w:tblStyle w:val="Grilledutableau3"/>
        <w:tblpPr w:leftFromText="141" w:rightFromText="141" w:vertAnchor="text" w:horzAnchor="margin" w:tblpXSpec="center" w:tblpY="219"/>
        <w:tblW w:w="0" w:type="auto"/>
        <w:tblLook w:val="04A0" w:firstRow="1" w:lastRow="0" w:firstColumn="1" w:lastColumn="0" w:noHBand="0" w:noVBand="1"/>
      </w:tblPr>
      <w:tblGrid>
        <w:gridCol w:w="2100"/>
        <w:gridCol w:w="2012"/>
        <w:gridCol w:w="2012"/>
        <w:gridCol w:w="1061"/>
      </w:tblGrid>
      <w:tr w:rsidR="00862222" w:rsidRPr="00B242CF" w:rsidTr="001D3768">
        <w:tc>
          <w:tcPr>
            <w:tcW w:w="7185" w:type="dxa"/>
            <w:gridSpan w:val="4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Table 10</w:t>
            </w:r>
            <w:r w:rsidRPr="00E824BB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 xml:space="preserve"> : Outcome and GAD65 antibodies (n=56*)</w:t>
            </w:r>
            <w:r w:rsidRPr="00E824B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CA"/>
              </w:rPr>
              <w:t>14-45</w:t>
            </w:r>
          </w:p>
        </w:tc>
      </w:tr>
      <w:tr w:rsidR="00862222" w:rsidRPr="00B242CF" w:rsidTr="001D3768">
        <w:tc>
          <w:tcPr>
            <w:tcW w:w="2100" w:type="dxa"/>
            <w:shd w:val="clear" w:color="auto" w:fill="BFBFBF" w:themeFill="background1" w:themeFillShade="BF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Positive GAD65 antibodies in CSF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Positive GAD65 antibodies in serum only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P-value </w:t>
            </w: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(Fis</w:t>
            </w:r>
            <w:r w:rsidRPr="00E824BB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her</w:t>
            </w: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’s</w:t>
            </w:r>
            <w:r w:rsidRPr="00E824BB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exact test)</w:t>
            </w:r>
          </w:p>
        </w:tc>
      </w:tr>
      <w:tr w:rsidR="00862222" w:rsidRPr="00E824BB" w:rsidTr="001D3768">
        <w:tc>
          <w:tcPr>
            <w:tcW w:w="2100" w:type="dxa"/>
            <w:shd w:val="clear" w:color="auto" w:fill="BFBFBF" w:themeFill="background1" w:themeFillShade="BF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Favorable outcome**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45% (17/38)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56% (10/18)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0.5695</w:t>
            </w:r>
          </w:p>
        </w:tc>
      </w:tr>
      <w:tr w:rsidR="00862222" w:rsidRPr="00E824BB" w:rsidTr="001D3768">
        <w:tc>
          <w:tcPr>
            <w:tcW w:w="2100" w:type="dxa"/>
            <w:shd w:val="clear" w:color="auto" w:fill="BFBFBF" w:themeFill="background1" w:themeFillShade="BF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No improvement or worsening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45% (17/38)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28% (5/18)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0.2572</w:t>
            </w:r>
          </w:p>
        </w:tc>
      </w:tr>
      <w:tr w:rsidR="00862222" w:rsidRPr="00E824BB" w:rsidTr="00862222">
        <w:tc>
          <w:tcPr>
            <w:tcW w:w="21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Death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3% (1/38)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11% (2/18)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 w:rsidRPr="00E824BB"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0.2392</w:t>
            </w:r>
          </w:p>
        </w:tc>
      </w:tr>
      <w:tr w:rsidR="00862222" w:rsidRPr="00E824BB" w:rsidTr="001D3768">
        <w:tc>
          <w:tcPr>
            <w:tcW w:w="2100" w:type="dxa"/>
            <w:shd w:val="clear" w:color="auto" w:fill="BFBFBF" w:themeFill="background1" w:themeFillShade="BF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N/A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8% (3/38)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6% (1/18)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862222" w:rsidRPr="00E824BB" w:rsidRDefault="00862222" w:rsidP="001D376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CA"/>
              </w:rPr>
              <w:t>--</w:t>
            </w:r>
          </w:p>
        </w:tc>
      </w:tr>
    </w:tbl>
    <w:p w:rsidR="00862222" w:rsidRDefault="00862222" w:rsidP="006E3B98">
      <w:pPr>
        <w:rPr>
          <w:lang w:val="en-CA"/>
        </w:rPr>
      </w:pPr>
    </w:p>
    <w:p w:rsidR="00862222" w:rsidRDefault="00862222" w:rsidP="006E3B98">
      <w:pPr>
        <w:rPr>
          <w:lang w:val="en-CA"/>
        </w:rPr>
      </w:pPr>
    </w:p>
    <w:p w:rsidR="00862222" w:rsidRDefault="00862222" w:rsidP="006E3B98">
      <w:pPr>
        <w:rPr>
          <w:lang w:val="en-CA"/>
        </w:rPr>
      </w:pPr>
    </w:p>
    <w:p w:rsidR="00862222" w:rsidRPr="00E36ADC" w:rsidRDefault="00862222" w:rsidP="00862222">
      <w:pPr>
        <w:pStyle w:val="Lgende"/>
        <w:framePr w:w="7753" w:h="436" w:hRule="exact" w:hSpace="141" w:wrap="around" w:vAnchor="text" w:hAnchor="page" w:x="3865" w:y="891"/>
        <w:jc w:val="center"/>
        <w:rPr>
          <w:rFonts w:ascii="Times New Roman" w:hAnsi="Times New Roman" w:cs="Times New Roman"/>
          <w:color w:val="auto"/>
          <w:lang w:val="en-CA"/>
        </w:rPr>
      </w:pPr>
      <w:r>
        <w:rPr>
          <w:rFonts w:ascii="Times New Roman" w:hAnsi="Times New Roman" w:cs="Times New Roman"/>
          <w:color w:val="auto"/>
          <w:lang w:val="en-CA"/>
        </w:rPr>
        <w:t>Table 10</w:t>
      </w:r>
      <w:r w:rsidRPr="00E36ADC">
        <w:rPr>
          <w:rFonts w:ascii="Times New Roman" w:hAnsi="Times New Roman" w:cs="Times New Roman"/>
          <w:color w:val="auto"/>
          <w:lang w:val="en-CA"/>
        </w:rPr>
        <w:t>:</w:t>
      </w:r>
      <w:r w:rsidRPr="00E36ADC">
        <w:rPr>
          <w:color w:val="auto"/>
          <w:lang w:val="en-CA"/>
        </w:rPr>
        <w:t xml:space="preserve"> </w:t>
      </w:r>
      <w:r w:rsidRPr="00E36ADC">
        <w:rPr>
          <w:rFonts w:ascii="Times New Roman" w:hAnsi="Times New Roman" w:cs="Times New Roman"/>
          <w:color w:val="auto"/>
          <w:lang w:val="en-CA"/>
        </w:rPr>
        <w:t xml:space="preserve"> *Table excludes 2 cases in which </w:t>
      </w:r>
      <w:r>
        <w:rPr>
          <w:rFonts w:ascii="Times New Roman" w:hAnsi="Times New Roman" w:cs="Times New Roman"/>
          <w:color w:val="auto"/>
          <w:lang w:val="en-CA"/>
        </w:rPr>
        <w:t xml:space="preserve">the </w:t>
      </w:r>
      <w:r w:rsidRPr="00E36ADC">
        <w:rPr>
          <w:rFonts w:ascii="Times New Roman" w:hAnsi="Times New Roman" w:cs="Times New Roman"/>
          <w:color w:val="auto"/>
          <w:lang w:val="en-CA"/>
        </w:rPr>
        <w:t>GAD65 antibodies result was not clearly mentioned. **Outcome including “full recovery” and “improvement”.</w:t>
      </w:r>
    </w:p>
    <w:p w:rsidR="00862222" w:rsidRPr="00B035A8" w:rsidRDefault="00862222" w:rsidP="00862222">
      <w:pPr>
        <w:pStyle w:val="Lgende"/>
        <w:framePr w:w="7753" w:h="436" w:hRule="exact" w:hSpace="141" w:wrap="around" w:vAnchor="text" w:hAnchor="page" w:x="3865" w:y="891"/>
        <w:rPr>
          <w:lang w:val="en-CA"/>
        </w:rPr>
      </w:pPr>
    </w:p>
    <w:p w:rsidR="00862222" w:rsidRPr="006E3B98" w:rsidRDefault="00862222" w:rsidP="006E3B98">
      <w:pPr>
        <w:rPr>
          <w:lang w:val="en-CA"/>
        </w:rPr>
        <w:sectPr w:rsidR="00862222" w:rsidRPr="006E3B98" w:rsidSect="00C27284">
          <w:endnotePr>
            <w:numFmt w:val="decimal"/>
          </w:endnotePr>
          <w:pgSz w:w="15840" w:h="12240" w:orient="landscape" w:code="1"/>
          <w:pgMar w:top="1134" w:right="1021" w:bottom="1134" w:left="794" w:header="709" w:footer="709" w:gutter="0"/>
          <w:cols w:space="708"/>
          <w:docGrid w:linePitch="360"/>
        </w:sectPr>
      </w:pPr>
    </w:p>
    <w:p w:rsidR="006E3B98" w:rsidRDefault="006E3B98">
      <w:pPr>
        <w:rPr>
          <w:rFonts w:ascii="Times New Roman" w:hAnsi="Times New Roman" w:cs="Times New Roman"/>
          <w:b/>
          <w:sz w:val="28"/>
          <w:lang w:val="en-CA"/>
        </w:rPr>
      </w:pPr>
    </w:p>
    <w:p w:rsidR="00BB2D26" w:rsidRPr="00325559" w:rsidRDefault="00BB2D26">
      <w:pPr>
        <w:rPr>
          <w:rFonts w:ascii="Times New Roman" w:hAnsi="Times New Roman" w:cs="Times New Roman"/>
          <w:b/>
          <w:sz w:val="28"/>
          <w:lang w:val="en-CA"/>
        </w:rPr>
      </w:pPr>
      <w:r>
        <w:rPr>
          <w:rFonts w:ascii="Times New Roman" w:hAnsi="Times New Roman" w:cs="Times New Roman"/>
          <w:b/>
          <w:sz w:val="28"/>
          <w:lang w:val="en-CA"/>
        </w:rPr>
        <w:t>APPENDIX 2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i/>
          <w:lang w:val="en-CA"/>
        </w:rPr>
      </w:pPr>
      <w:r w:rsidRPr="00325559">
        <w:rPr>
          <w:rFonts w:ascii="Times New Roman" w:hAnsi="Times New Roman" w:cs="Times New Roman"/>
          <w:i/>
          <w:lang w:val="en-CA"/>
        </w:rPr>
        <w:t xml:space="preserve">Definition of variables: </w:t>
      </w:r>
    </w:p>
    <w:p w:rsidR="0068633D" w:rsidRPr="00325559" w:rsidRDefault="00325559" w:rsidP="0068633D">
      <w:pPr>
        <w:spacing w:before="120" w:after="0"/>
        <w:jc w:val="both"/>
        <w:rPr>
          <w:rFonts w:ascii="Times New Roman" w:hAnsi="Times New Roman" w:cs="Times New Roman"/>
          <w:b/>
          <w:sz w:val="20"/>
          <w:lang w:val="en-CA"/>
        </w:rPr>
      </w:pPr>
      <w:r>
        <w:rPr>
          <w:rFonts w:ascii="Times New Roman" w:hAnsi="Times New Roman" w:cs="Times New Roman"/>
          <w:b/>
          <w:sz w:val="20"/>
          <w:lang w:val="en-CA"/>
        </w:rPr>
        <w:t>General characteristics</w:t>
      </w:r>
      <w:r w:rsidR="0068633D" w:rsidRPr="00325559">
        <w:rPr>
          <w:rFonts w:ascii="Times New Roman" w:hAnsi="Times New Roman" w:cs="Times New Roman"/>
          <w:b/>
          <w:sz w:val="20"/>
          <w:lang w:val="en-CA"/>
        </w:rPr>
        <w:t>: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>Sex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>Age (also dichotomised between adult and pediatric population, where pediatric population was defined as aged &lt; 18 years old) during the episode of disease)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b/>
          <w:sz w:val="20"/>
          <w:lang w:val="en-CA"/>
        </w:rPr>
        <w:t xml:space="preserve">Clinical features at </w:t>
      </w:r>
      <w:r w:rsidR="00325559">
        <w:rPr>
          <w:rFonts w:ascii="Times New Roman" w:hAnsi="Times New Roman" w:cs="Times New Roman"/>
          <w:b/>
          <w:sz w:val="20"/>
          <w:lang w:val="en-CA"/>
        </w:rPr>
        <w:t>presentation</w:t>
      </w:r>
      <w:r w:rsidRPr="00325559">
        <w:rPr>
          <w:rFonts w:ascii="Times New Roman" w:hAnsi="Times New Roman" w:cs="Times New Roman"/>
          <w:b/>
          <w:sz w:val="20"/>
          <w:lang w:val="en-CA"/>
        </w:rPr>
        <w:t>:</w:t>
      </w:r>
      <w:r w:rsidRPr="00325559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 xml:space="preserve">Presence or absence : headache, seizure (if available, focal or focal dyscognitive), status epilepticus, memory impairment, cognitive impairment other than memory, psychiatric symptoms (including </w:t>
      </w:r>
      <w:r w:rsidR="002860A5" w:rsidRPr="00325559">
        <w:rPr>
          <w:rFonts w:ascii="Times New Roman" w:hAnsi="Times New Roman" w:cs="Times New Roman"/>
          <w:sz w:val="20"/>
          <w:lang w:val="en-CA"/>
        </w:rPr>
        <w:t>perception disorder</w:t>
      </w:r>
      <w:r w:rsidRPr="00325559">
        <w:rPr>
          <w:rFonts w:ascii="Times New Roman" w:hAnsi="Times New Roman" w:cs="Times New Roman"/>
          <w:sz w:val="20"/>
          <w:lang w:val="en-CA"/>
        </w:rPr>
        <w:t xml:space="preserve">, mood disorder, psychomotor agitation), movement disorders (including tremor, dystonia, dyskinesia, myoclonus, tic, parkinsonism), </w:t>
      </w:r>
      <w:proofErr w:type="spellStart"/>
      <w:r w:rsidRPr="00325559">
        <w:rPr>
          <w:rFonts w:ascii="Times New Roman" w:hAnsi="Times New Roman" w:cs="Times New Roman"/>
          <w:sz w:val="20"/>
          <w:lang w:val="en-CA"/>
        </w:rPr>
        <w:t>dysgueusia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 xml:space="preserve"> or </w:t>
      </w:r>
      <w:proofErr w:type="spellStart"/>
      <w:r w:rsidRPr="00325559">
        <w:rPr>
          <w:rFonts w:ascii="Times New Roman" w:hAnsi="Times New Roman" w:cs="Times New Roman"/>
          <w:sz w:val="20"/>
          <w:lang w:val="en-CA"/>
        </w:rPr>
        <w:t>dysosmia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 xml:space="preserve">, other described neurologic signs or symptoms, fever, coma without status epilepticus, </w:t>
      </w:r>
      <w:proofErr w:type="spellStart"/>
      <w:r w:rsidRPr="00325559">
        <w:rPr>
          <w:rFonts w:ascii="Times New Roman" w:hAnsi="Times New Roman" w:cs="Times New Roman"/>
          <w:sz w:val="20"/>
          <w:lang w:val="en-CA"/>
        </w:rPr>
        <w:t>dysautonomia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 xml:space="preserve"> (including the general term “</w:t>
      </w:r>
      <w:proofErr w:type="spellStart"/>
      <w:r w:rsidRPr="00325559">
        <w:rPr>
          <w:rFonts w:ascii="Times New Roman" w:hAnsi="Times New Roman" w:cs="Times New Roman"/>
          <w:sz w:val="20"/>
          <w:lang w:val="en-CA"/>
        </w:rPr>
        <w:t>dysautonomia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 xml:space="preserve">”, tachycardia, bradycardia, hypertension, hypotension). </w:t>
      </w:r>
    </w:p>
    <w:p w:rsidR="0068633D" w:rsidRPr="00517C9F" w:rsidRDefault="00325559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517C9F">
        <w:rPr>
          <w:rFonts w:ascii="Times New Roman" w:hAnsi="Times New Roman" w:cs="Times New Roman"/>
          <w:b/>
          <w:sz w:val="20"/>
          <w:lang w:val="en-CA"/>
        </w:rPr>
        <w:t>EEG</w:t>
      </w:r>
      <w:r w:rsidR="0068633D" w:rsidRPr="00517C9F">
        <w:rPr>
          <w:rFonts w:ascii="Times New Roman" w:hAnsi="Times New Roman" w:cs="Times New Roman"/>
          <w:b/>
          <w:sz w:val="20"/>
          <w:lang w:val="en-CA"/>
        </w:rPr>
        <w:t>:</w:t>
      </w:r>
      <w:r w:rsidR="0068633D" w:rsidRPr="00517C9F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517C9F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517C9F">
        <w:rPr>
          <w:rFonts w:ascii="Times New Roman" w:hAnsi="Times New Roman" w:cs="Times New Roman"/>
          <w:sz w:val="20"/>
          <w:lang w:val="en-CA"/>
        </w:rPr>
        <w:t>Prese</w:t>
      </w:r>
      <w:r w:rsidR="00180EFA" w:rsidRPr="00517C9F">
        <w:rPr>
          <w:rFonts w:ascii="Times New Roman" w:hAnsi="Times New Roman" w:cs="Times New Roman"/>
          <w:sz w:val="20"/>
          <w:lang w:val="en-CA"/>
        </w:rPr>
        <w:t xml:space="preserve">nce or absence of </w:t>
      </w:r>
      <w:proofErr w:type="gramStart"/>
      <w:r w:rsidR="00180EFA" w:rsidRPr="00517C9F">
        <w:rPr>
          <w:rFonts w:ascii="Times New Roman" w:hAnsi="Times New Roman" w:cs="Times New Roman"/>
          <w:sz w:val="20"/>
          <w:lang w:val="en-CA"/>
        </w:rPr>
        <w:t xml:space="preserve">abnormalities </w:t>
      </w:r>
      <w:r w:rsidRPr="00517C9F">
        <w:rPr>
          <w:rFonts w:ascii="Times New Roman" w:hAnsi="Times New Roman" w:cs="Times New Roman"/>
          <w:sz w:val="20"/>
          <w:lang w:val="en-CA"/>
        </w:rPr>
        <w:t>:</w:t>
      </w:r>
      <w:proofErr w:type="gramEnd"/>
      <w:r w:rsidRPr="00517C9F">
        <w:rPr>
          <w:rFonts w:ascii="Times New Roman" w:hAnsi="Times New Roman" w:cs="Times New Roman"/>
          <w:sz w:val="20"/>
          <w:lang w:val="en-CA"/>
        </w:rPr>
        <w:t xml:space="preserve"> temporal epileptiform abnormalities, multifocal epileptiform abnormalities</w:t>
      </w:r>
      <w:r w:rsidR="002860A5" w:rsidRPr="00517C9F">
        <w:rPr>
          <w:rFonts w:ascii="Times New Roman" w:hAnsi="Times New Roman" w:cs="Times New Roman"/>
          <w:sz w:val="20"/>
          <w:lang w:val="en-CA"/>
        </w:rPr>
        <w:t xml:space="preserve">, generalized epileptiform abnormalities </w:t>
      </w:r>
      <w:r w:rsidRPr="00517C9F">
        <w:rPr>
          <w:rFonts w:ascii="Times New Roman" w:hAnsi="Times New Roman" w:cs="Times New Roman"/>
          <w:sz w:val="20"/>
          <w:lang w:val="en-CA"/>
        </w:rPr>
        <w:t xml:space="preserve">. </w:t>
      </w:r>
    </w:p>
    <w:p w:rsidR="00180EFA" w:rsidRPr="00517C9F" w:rsidRDefault="005A4386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517C9F">
        <w:rPr>
          <w:rFonts w:ascii="Times New Roman" w:hAnsi="Times New Roman" w:cs="Times New Roman"/>
          <w:sz w:val="20"/>
          <w:lang w:val="en-CA"/>
        </w:rPr>
        <w:t xml:space="preserve">Epileptiform abnormalities </w:t>
      </w:r>
      <w:proofErr w:type="gramStart"/>
      <w:r w:rsidRPr="00517C9F">
        <w:rPr>
          <w:rFonts w:ascii="Times New Roman" w:hAnsi="Times New Roman" w:cs="Times New Roman"/>
          <w:sz w:val="20"/>
          <w:lang w:val="en-CA"/>
        </w:rPr>
        <w:t>included</w:t>
      </w:r>
      <w:r w:rsidR="00180EFA" w:rsidRPr="00517C9F">
        <w:rPr>
          <w:rFonts w:ascii="Times New Roman" w:hAnsi="Times New Roman" w:cs="Times New Roman"/>
          <w:sz w:val="20"/>
          <w:lang w:val="en-CA"/>
        </w:rPr>
        <w:t xml:space="preserve"> </w:t>
      </w:r>
      <w:r w:rsidRPr="00517C9F">
        <w:rPr>
          <w:rFonts w:ascii="Times New Roman" w:hAnsi="Times New Roman" w:cs="Times New Roman"/>
          <w:sz w:val="20"/>
          <w:lang w:val="en-CA"/>
        </w:rPr>
        <w:t>:</w:t>
      </w:r>
      <w:proofErr w:type="gramEnd"/>
      <w:r w:rsidRPr="00517C9F">
        <w:rPr>
          <w:rFonts w:ascii="Times New Roman" w:hAnsi="Times New Roman" w:cs="Times New Roman"/>
          <w:sz w:val="20"/>
          <w:lang w:val="en-CA"/>
        </w:rPr>
        <w:t xml:space="preserve"> </w:t>
      </w:r>
      <w:r w:rsidR="00180EFA" w:rsidRPr="00517C9F">
        <w:rPr>
          <w:rFonts w:ascii="Times New Roman" w:hAnsi="Times New Roman" w:cs="Times New Roman"/>
          <w:sz w:val="20"/>
          <w:lang w:val="en-CA"/>
        </w:rPr>
        <w:t>electrographic seizure</w:t>
      </w:r>
      <w:r w:rsidRPr="00517C9F">
        <w:rPr>
          <w:rFonts w:ascii="Times New Roman" w:hAnsi="Times New Roman" w:cs="Times New Roman"/>
          <w:sz w:val="20"/>
          <w:lang w:val="en-CA"/>
        </w:rPr>
        <w:t xml:space="preserve"> or status epilepticus, spikes, spikes and wave, </w:t>
      </w:r>
      <w:r w:rsidR="00180EFA" w:rsidRPr="00517C9F">
        <w:rPr>
          <w:rFonts w:ascii="Times New Roman" w:hAnsi="Times New Roman" w:cs="Times New Roman"/>
          <w:sz w:val="20"/>
          <w:lang w:val="en-CA"/>
        </w:rPr>
        <w:t xml:space="preserve">“epileptiform </w:t>
      </w:r>
      <w:r w:rsidRPr="00517C9F">
        <w:rPr>
          <w:rFonts w:ascii="Times New Roman" w:hAnsi="Times New Roman" w:cs="Times New Roman"/>
          <w:sz w:val="20"/>
          <w:lang w:val="en-CA"/>
        </w:rPr>
        <w:t xml:space="preserve">activity”, epileptiform discharges. Focal and generalized </w:t>
      </w:r>
      <w:proofErr w:type="spellStart"/>
      <w:r w:rsidRPr="00517C9F">
        <w:rPr>
          <w:rFonts w:ascii="Times New Roman" w:hAnsi="Times New Roman" w:cs="Times New Roman"/>
          <w:sz w:val="20"/>
          <w:lang w:val="en-CA"/>
        </w:rPr>
        <w:t>slowing</w:t>
      </w:r>
      <w:r w:rsidR="00EA3FDC" w:rsidRPr="00517C9F">
        <w:rPr>
          <w:rFonts w:ascii="Times New Roman" w:hAnsi="Times New Roman" w:cs="Times New Roman"/>
          <w:sz w:val="20"/>
          <w:lang w:val="en-CA"/>
        </w:rPr>
        <w:t>s</w:t>
      </w:r>
      <w:proofErr w:type="spellEnd"/>
      <w:r w:rsidR="00EA3FDC" w:rsidRPr="00517C9F">
        <w:rPr>
          <w:rFonts w:ascii="Times New Roman" w:hAnsi="Times New Roman" w:cs="Times New Roman"/>
          <w:sz w:val="20"/>
          <w:lang w:val="en-CA"/>
        </w:rPr>
        <w:t xml:space="preserve"> </w:t>
      </w:r>
      <w:r w:rsidRPr="00517C9F">
        <w:rPr>
          <w:rFonts w:ascii="Times New Roman" w:hAnsi="Times New Roman" w:cs="Times New Roman"/>
          <w:sz w:val="20"/>
          <w:lang w:val="en-CA"/>
        </w:rPr>
        <w:t>were not included.</w:t>
      </w:r>
    </w:p>
    <w:p w:rsidR="0068633D" w:rsidRPr="00517C9F" w:rsidRDefault="002860A5" w:rsidP="0068633D">
      <w:pPr>
        <w:spacing w:before="120" w:after="0"/>
        <w:jc w:val="both"/>
        <w:rPr>
          <w:rFonts w:ascii="Times New Roman" w:hAnsi="Times New Roman" w:cs="Times New Roman"/>
          <w:b/>
          <w:sz w:val="20"/>
          <w:lang w:val="en-CA"/>
        </w:rPr>
      </w:pPr>
      <w:r w:rsidRPr="00517C9F">
        <w:rPr>
          <w:rFonts w:ascii="Times New Roman" w:hAnsi="Times New Roman" w:cs="Times New Roman"/>
          <w:b/>
          <w:sz w:val="20"/>
          <w:lang w:val="en-CA"/>
        </w:rPr>
        <w:t xml:space="preserve">Brain </w:t>
      </w:r>
      <w:r w:rsidR="0068633D" w:rsidRPr="00517C9F">
        <w:rPr>
          <w:rFonts w:ascii="Times New Roman" w:hAnsi="Times New Roman" w:cs="Times New Roman"/>
          <w:b/>
          <w:sz w:val="20"/>
          <w:lang w:val="en-CA"/>
        </w:rPr>
        <w:t xml:space="preserve">MRI: </w:t>
      </w:r>
    </w:p>
    <w:p w:rsidR="0068633D" w:rsidRPr="00517C9F" w:rsidRDefault="00325559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proofErr w:type="gramStart"/>
      <w:r w:rsidRPr="00517C9F">
        <w:rPr>
          <w:rFonts w:ascii="Times New Roman" w:hAnsi="Times New Roman" w:cs="Times New Roman"/>
          <w:sz w:val="20"/>
          <w:lang w:val="en-CA"/>
        </w:rPr>
        <w:t>Dichotomised between normal and</w:t>
      </w:r>
      <w:r w:rsidR="0068633D" w:rsidRPr="00517C9F">
        <w:rPr>
          <w:rFonts w:ascii="Times New Roman" w:hAnsi="Times New Roman" w:cs="Times New Roman"/>
          <w:sz w:val="20"/>
          <w:lang w:val="en-CA"/>
        </w:rPr>
        <w:t xml:space="preserve"> abnormal.</w:t>
      </w:r>
      <w:proofErr w:type="gramEnd"/>
    </w:p>
    <w:p w:rsidR="00517C9F" w:rsidRDefault="005A4386" w:rsidP="005A4386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517C9F">
        <w:rPr>
          <w:rFonts w:ascii="Times New Roman" w:hAnsi="Times New Roman" w:cs="Times New Roman"/>
          <w:sz w:val="20"/>
          <w:lang w:val="en-CA"/>
        </w:rPr>
        <w:t xml:space="preserve">MRI Abnormalities included: T2/FLAIR </w:t>
      </w:r>
      <w:r w:rsidR="00EA3FDC" w:rsidRPr="00517C9F">
        <w:rPr>
          <w:rFonts w:ascii="Times New Roman" w:hAnsi="Times New Roman" w:cs="Times New Roman"/>
          <w:sz w:val="20"/>
          <w:lang w:val="en-CA"/>
        </w:rPr>
        <w:t xml:space="preserve">signal </w:t>
      </w:r>
      <w:proofErr w:type="spellStart"/>
      <w:r w:rsidR="00EA3FDC" w:rsidRPr="00517C9F">
        <w:rPr>
          <w:rFonts w:ascii="Times New Roman" w:hAnsi="Times New Roman" w:cs="Times New Roman"/>
          <w:sz w:val="20"/>
          <w:lang w:val="en-CA"/>
        </w:rPr>
        <w:t>hyperintensities</w:t>
      </w:r>
      <w:proofErr w:type="spellEnd"/>
      <w:r w:rsidRPr="00517C9F">
        <w:rPr>
          <w:rFonts w:ascii="Times New Roman" w:hAnsi="Times New Roman" w:cs="Times New Roman"/>
          <w:sz w:val="20"/>
          <w:lang w:val="en-CA"/>
        </w:rPr>
        <w:t>,</w:t>
      </w:r>
      <w:r w:rsidR="00EA3FDC" w:rsidRPr="00517C9F">
        <w:rPr>
          <w:rFonts w:ascii="Times New Roman" w:hAnsi="Times New Roman" w:cs="Times New Roman"/>
          <w:sz w:val="20"/>
          <w:lang w:val="en-CA"/>
        </w:rPr>
        <w:t xml:space="preserve"> with</w:t>
      </w:r>
      <w:r w:rsidRPr="00517C9F">
        <w:rPr>
          <w:rFonts w:ascii="Times New Roman" w:hAnsi="Times New Roman" w:cs="Times New Roman"/>
          <w:sz w:val="20"/>
          <w:lang w:val="en-CA"/>
        </w:rPr>
        <w:t xml:space="preserve"> </w:t>
      </w:r>
      <w:r w:rsidR="00EA3FDC" w:rsidRPr="00517C9F">
        <w:rPr>
          <w:rFonts w:ascii="Times New Roman" w:hAnsi="Times New Roman" w:cs="Times New Roman"/>
          <w:sz w:val="20"/>
          <w:lang w:val="en-CA"/>
        </w:rPr>
        <w:t xml:space="preserve">cortical and/or subcortical localisation, </w:t>
      </w:r>
      <w:r w:rsidRPr="00517C9F">
        <w:rPr>
          <w:rFonts w:ascii="Times New Roman" w:hAnsi="Times New Roman" w:cs="Times New Roman"/>
          <w:sz w:val="20"/>
          <w:lang w:val="en-CA"/>
        </w:rPr>
        <w:t xml:space="preserve">with or without contrast enhancement.  </w:t>
      </w:r>
    </w:p>
    <w:p w:rsidR="005A4386" w:rsidRPr="00517C9F" w:rsidRDefault="005A4386" w:rsidP="005A4386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517C9F">
        <w:rPr>
          <w:rFonts w:ascii="Times New Roman" w:hAnsi="Times New Roman" w:cs="Times New Roman"/>
          <w:sz w:val="20"/>
          <w:lang w:val="en-CA"/>
        </w:rPr>
        <w:t xml:space="preserve">Temporal lobe abnormalities included any </w:t>
      </w:r>
      <w:r w:rsidR="00EA3FDC" w:rsidRPr="00517C9F">
        <w:rPr>
          <w:rFonts w:ascii="Times New Roman" w:hAnsi="Times New Roman" w:cs="Times New Roman"/>
          <w:sz w:val="20"/>
          <w:lang w:val="en-CA"/>
        </w:rPr>
        <w:t>involvement of anatomical structure of</w:t>
      </w:r>
      <w:r w:rsidRPr="00517C9F">
        <w:rPr>
          <w:rFonts w:ascii="Times New Roman" w:hAnsi="Times New Roman" w:cs="Times New Roman"/>
          <w:sz w:val="20"/>
          <w:lang w:val="en-CA"/>
        </w:rPr>
        <w:t xml:space="preserve"> this lobe</w:t>
      </w:r>
      <w:r w:rsidR="00EA3FDC" w:rsidRPr="00517C9F">
        <w:rPr>
          <w:rFonts w:ascii="Times New Roman" w:hAnsi="Times New Roman" w:cs="Times New Roman"/>
          <w:sz w:val="20"/>
          <w:lang w:val="en-CA"/>
        </w:rPr>
        <w:t xml:space="preserve"> and limbic structures</w:t>
      </w:r>
      <w:r w:rsidRPr="00517C9F">
        <w:rPr>
          <w:rFonts w:ascii="Times New Roman" w:hAnsi="Times New Roman" w:cs="Times New Roman"/>
          <w:sz w:val="20"/>
          <w:lang w:val="en-CA"/>
        </w:rPr>
        <w:t xml:space="preserve">. Multifocal abnormalities referred </w:t>
      </w:r>
      <w:r w:rsidR="00517C9F">
        <w:rPr>
          <w:rFonts w:ascii="Times New Roman" w:hAnsi="Times New Roman" w:cs="Times New Roman"/>
          <w:sz w:val="20"/>
          <w:lang w:val="en-CA"/>
        </w:rPr>
        <w:t xml:space="preserve">to </w:t>
      </w:r>
      <w:proofErr w:type="gramStart"/>
      <w:r w:rsidR="00517C9F">
        <w:rPr>
          <w:rFonts w:ascii="Times New Roman" w:hAnsi="Times New Roman" w:cs="Times New Roman"/>
          <w:sz w:val="20"/>
          <w:lang w:val="en-CA"/>
        </w:rPr>
        <w:t xml:space="preserve">the </w:t>
      </w:r>
      <w:bookmarkStart w:id="0" w:name="_GoBack"/>
      <w:bookmarkEnd w:id="0"/>
      <w:r w:rsidRPr="00517C9F">
        <w:rPr>
          <w:rFonts w:ascii="Times New Roman" w:hAnsi="Times New Roman" w:cs="Times New Roman"/>
          <w:sz w:val="20"/>
          <w:lang w:val="en-CA"/>
        </w:rPr>
        <w:t xml:space="preserve"> involvement</w:t>
      </w:r>
      <w:proofErr w:type="gramEnd"/>
      <w:r w:rsidRPr="00517C9F">
        <w:rPr>
          <w:rFonts w:ascii="Times New Roman" w:hAnsi="Times New Roman" w:cs="Times New Roman"/>
          <w:sz w:val="20"/>
          <w:lang w:val="en-CA"/>
        </w:rPr>
        <w:t xml:space="preserve"> of more than </w:t>
      </w:r>
      <w:r w:rsidR="00EA3FDC" w:rsidRPr="00517C9F">
        <w:rPr>
          <w:rFonts w:ascii="Times New Roman" w:hAnsi="Times New Roman" w:cs="Times New Roman"/>
          <w:sz w:val="20"/>
          <w:lang w:val="en-CA"/>
        </w:rPr>
        <w:t>one lobe</w:t>
      </w:r>
      <w:r w:rsidRPr="00517C9F">
        <w:rPr>
          <w:rFonts w:ascii="Times New Roman" w:hAnsi="Times New Roman" w:cs="Times New Roman"/>
          <w:sz w:val="20"/>
          <w:lang w:val="en-CA"/>
        </w:rPr>
        <w:t>.</w:t>
      </w:r>
    </w:p>
    <w:p w:rsidR="005A4386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517C9F">
        <w:rPr>
          <w:rFonts w:ascii="Times New Roman" w:hAnsi="Times New Roman" w:cs="Times New Roman"/>
          <w:sz w:val="20"/>
          <w:lang w:val="en-CA"/>
        </w:rPr>
        <w:t xml:space="preserve">Abnormalities at presentation or during the episode of disease were </w:t>
      </w:r>
      <w:proofErr w:type="gramStart"/>
      <w:r w:rsidRPr="00517C9F">
        <w:rPr>
          <w:rFonts w:ascii="Times New Roman" w:hAnsi="Times New Roman" w:cs="Times New Roman"/>
          <w:sz w:val="20"/>
          <w:lang w:val="en-CA"/>
        </w:rPr>
        <w:t>considered ;</w:t>
      </w:r>
      <w:proofErr w:type="gramEnd"/>
      <w:r w:rsidRPr="00517C9F">
        <w:rPr>
          <w:rFonts w:ascii="Times New Roman" w:hAnsi="Times New Roman" w:cs="Times New Roman"/>
          <w:sz w:val="20"/>
          <w:lang w:val="en-CA"/>
        </w:rPr>
        <w:t xml:space="preserve"> initial MRI refers to the first MRI done during the episode of disease.</w:t>
      </w:r>
      <w:r w:rsidR="00180EFA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325559" w:rsidRDefault="00325559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>
        <w:rPr>
          <w:rFonts w:ascii="Times New Roman" w:hAnsi="Times New Roman" w:cs="Times New Roman"/>
          <w:b/>
          <w:sz w:val="20"/>
          <w:lang w:val="en-CA"/>
        </w:rPr>
        <w:t>Lumbar puncture</w:t>
      </w:r>
      <w:r w:rsidR="0068633D" w:rsidRPr="00325559">
        <w:rPr>
          <w:rFonts w:ascii="Times New Roman" w:hAnsi="Times New Roman" w:cs="Times New Roman"/>
          <w:b/>
          <w:sz w:val="20"/>
          <w:lang w:val="en-CA"/>
        </w:rPr>
        <w:t>:</w:t>
      </w:r>
      <w:r w:rsidR="0068633D" w:rsidRPr="00325559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325559" w:rsidRDefault="002860A5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proofErr w:type="gramStart"/>
      <w:r w:rsidRPr="00325559">
        <w:rPr>
          <w:rFonts w:ascii="Times New Roman" w:hAnsi="Times New Roman" w:cs="Times New Roman"/>
          <w:sz w:val="20"/>
          <w:lang w:val="en-CA"/>
        </w:rPr>
        <w:t xml:space="preserve">Presence or absence of </w:t>
      </w:r>
      <w:proofErr w:type="spellStart"/>
      <w:r w:rsidRPr="00325559">
        <w:rPr>
          <w:rFonts w:ascii="Times New Roman" w:hAnsi="Times New Roman" w:cs="Times New Roman"/>
          <w:sz w:val="20"/>
          <w:lang w:val="en-CA"/>
        </w:rPr>
        <w:t>pleocytosis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>, referring</w:t>
      </w:r>
      <w:r w:rsidR="0068633D" w:rsidRPr="00325559">
        <w:rPr>
          <w:rFonts w:ascii="Times New Roman" w:hAnsi="Times New Roman" w:cs="Times New Roman"/>
          <w:sz w:val="20"/>
          <w:lang w:val="en-CA"/>
        </w:rPr>
        <w:t xml:space="preserve"> to &gt;5WBC</w:t>
      </w:r>
      <w:r w:rsidRPr="00325559">
        <w:rPr>
          <w:rFonts w:ascii="Times New Roman" w:hAnsi="Times New Roman" w:cs="Times New Roman"/>
          <w:sz w:val="20"/>
          <w:lang w:val="en-CA"/>
        </w:rPr>
        <w:t>/µL.</w:t>
      </w:r>
      <w:proofErr w:type="gramEnd"/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proofErr w:type="gramStart"/>
      <w:r w:rsidRPr="00325559">
        <w:rPr>
          <w:rFonts w:ascii="Times New Roman" w:hAnsi="Times New Roman" w:cs="Times New Roman"/>
          <w:sz w:val="20"/>
          <w:lang w:val="en-CA"/>
        </w:rPr>
        <w:t xml:space="preserve">Presence of </w:t>
      </w:r>
      <w:proofErr w:type="spellStart"/>
      <w:r w:rsidRPr="00325559">
        <w:rPr>
          <w:rFonts w:ascii="Times New Roman" w:hAnsi="Times New Roman" w:cs="Times New Roman"/>
          <w:sz w:val="20"/>
          <w:lang w:val="en-CA"/>
        </w:rPr>
        <w:t>oligoclonal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 xml:space="preserve"> bands.</w:t>
      </w:r>
      <w:proofErr w:type="gramEnd"/>
    </w:p>
    <w:p w:rsidR="00662067" w:rsidRPr="00325559" w:rsidRDefault="00662067" w:rsidP="0068633D">
      <w:pPr>
        <w:spacing w:before="120" w:after="0"/>
        <w:jc w:val="both"/>
        <w:rPr>
          <w:rFonts w:ascii="Times New Roman" w:hAnsi="Times New Roman" w:cs="Times New Roman"/>
          <w:b/>
          <w:sz w:val="20"/>
          <w:lang w:val="en-CA"/>
        </w:rPr>
      </w:pPr>
      <w:r w:rsidRPr="00325559">
        <w:rPr>
          <w:rFonts w:ascii="Times New Roman" w:hAnsi="Times New Roman" w:cs="Times New Roman"/>
          <w:b/>
          <w:sz w:val="20"/>
          <w:lang w:val="en-CA"/>
        </w:rPr>
        <w:t>Hyponatremia:</w:t>
      </w:r>
    </w:p>
    <w:p w:rsidR="00662067" w:rsidRPr="00325559" w:rsidRDefault="00662067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>Presence (minimal value</w:t>
      </w:r>
      <w:r w:rsidR="002860A5" w:rsidRPr="00325559">
        <w:rPr>
          <w:rFonts w:ascii="Times New Roman" w:hAnsi="Times New Roman" w:cs="Times New Roman"/>
          <w:sz w:val="20"/>
          <w:lang w:val="en-CA"/>
        </w:rPr>
        <w:t>, when</w:t>
      </w:r>
      <w:r w:rsidRPr="00325559">
        <w:rPr>
          <w:rFonts w:ascii="Times New Roman" w:hAnsi="Times New Roman" w:cs="Times New Roman"/>
          <w:sz w:val="20"/>
          <w:lang w:val="en-CA"/>
        </w:rPr>
        <w:t xml:space="preserve"> available) or absence</w:t>
      </w:r>
    </w:p>
    <w:p w:rsidR="00662067" w:rsidRPr="00325559" w:rsidRDefault="00325559" w:rsidP="0068633D">
      <w:pPr>
        <w:spacing w:before="120" w:after="0"/>
        <w:jc w:val="both"/>
        <w:rPr>
          <w:rFonts w:ascii="Times New Roman" w:hAnsi="Times New Roman" w:cs="Times New Roman"/>
          <w:b/>
          <w:sz w:val="20"/>
          <w:lang w:val="en-CA"/>
        </w:rPr>
      </w:pPr>
      <w:r>
        <w:rPr>
          <w:rFonts w:ascii="Times New Roman" w:hAnsi="Times New Roman" w:cs="Times New Roman"/>
          <w:b/>
          <w:sz w:val="20"/>
          <w:lang w:val="en-CA"/>
        </w:rPr>
        <w:t>Cancer</w:t>
      </w:r>
      <w:r w:rsidR="00662067" w:rsidRPr="00325559">
        <w:rPr>
          <w:rFonts w:ascii="Times New Roman" w:hAnsi="Times New Roman" w:cs="Times New Roman"/>
          <w:b/>
          <w:sz w:val="20"/>
          <w:lang w:val="en-CA"/>
        </w:rPr>
        <w:t>:</w:t>
      </w:r>
    </w:p>
    <w:p w:rsidR="00662067" w:rsidRPr="00325559" w:rsidRDefault="00662067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>Presence (type</w:t>
      </w:r>
      <w:r w:rsidR="00180EFA">
        <w:rPr>
          <w:rFonts w:ascii="Times New Roman" w:hAnsi="Times New Roman" w:cs="Times New Roman"/>
          <w:sz w:val="20"/>
          <w:lang w:val="en-CA"/>
        </w:rPr>
        <w:t xml:space="preserve"> </w:t>
      </w:r>
      <w:r w:rsidR="002860A5" w:rsidRPr="00325559">
        <w:rPr>
          <w:rFonts w:ascii="Times New Roman" w:hAnsi="Times New Roman" w:cs="Times New Roman"/>
          <w:sz w:val="20"/>
          <w:lang w:val="en-CA"/>
        </w:rPr>
        <w:t>when available</w:t>
      </w:r>
      <w:proofErr w:type="gramStart"/>
      <w:r w:rsidR="002860A5" w:rsidRPr="00325559">
        <w:rPr>
          <w:rFonts w:ascii="Times New Roman" w:hAnsi="Times New Roman" w:cs="Times New Roman"/>
          <w:sz w:val="20"/>
          <w:lang w:val="en-CA"/>
        </w:rPr>
        <w:t xml:space="preserve">, </w:t>
      </w:r>
      <w:r w:rsidRPr="00325559">
        <w:rPr>
          <w:rFonts w:ascii="Times New Roman" w:hAnsi="Times New Roman" w:cs="Times New Roman"/>
          <w:sz w:val="20"/>
          <w:lang w:val="en-CA"/>
        </w:rPr>
        <w:t>)</w:t>
      </w:r>
      <w:proofErr w:type="gramEnd"/>
      <w:r w:rsidRPr="00325559">
        <w:rPr>
          <w:rFonts w:ascii="Times New Roman" w:hAnsi="Times New Roman" w:cs="Times New Roman"/>
          <w:sz w:val="20"/>
          <w:lang w:val="en-CA"/>
        </w:rPr>
        <w:t xml:space="preserve"> or absence </w:t>
      </w:r>
    </w:p>
    <w:p w:rsidR="0068633D" w:rsidRPr="00325559" w:rsidRDefault="009639A8" w:rsidP="0068633D">
      <w:pPr>
        <w:spacing w:before="120" w:after="0"/>
        <w:jc w:val="both"/>
        <w:rPr>
          <w:rFonts w:ascii="Times New Roman" w:hAnsi="Times New Roman" w:cs="Times New Roman"/>
          <w:b/>
          <w:sz w:val="20"/>
          <w:lang w:val="en-CA"/>
        </w:rPr>
      </w:pPr>
      <w:r>
        <w:rPr>
          <w:rFonts w:ascii="Times New Roman" w:hAnsi="Times New Roman" w:cs="Times New Roman"/>
          <w:b/>
          <w:sz w:val="20"/>
          <w:lang w:val="en-CA"/>
        </w:rPr>
        <w:t>Neuronal a</w:t>
      </w:r>
      <w:r w:rsidR="00325559">
        <w:rPr>
          <w:rFonts w:ascii="Times New Roman" w:hAnsi="Times New Roman" w:cs="Times New Roman"/>
          <w:b/>
          <w:sz w:val="20"/>
          <w:lang w:val="en-CA"/>
        </w:rPr>
        <w:t>ntibodies</w:t>
      </w:r>
      <w:r w:rsidR="0068633D" w:rsidRPr="00325559">
        <w:rPr>
          <w:rFonts w:ascii="Times New Roman" w:hAnsi="Times New Roman" w:cs="Times New Roman"/>
          <w:b/>
          <w:sz w:val="20"/>
          <w:lang w:val="en-CA"/>
        </w:rPr>
        <w:t xml:space="preserve">: 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proofErr w:type="gramStart"/>
      <w:r w:rsidRPr="00325559">
        <w:rPr>
          <w:rFonts w:ascii="Times New Roman" w:hAnsi="Times New Roman" w:cs="Times New Roman"/>
          <w:sz w:val="20"/>
          <w:lang w:val="en-CA"/>
        </w:rPr>
        <w:lastRenderedPageBreak/>
        <w:t>GAD65 in serum and CSF, value of the index if available.</w:t>
      </w:r>
      <w:proofErr w:type="gramEnd"/>
      <w:r w:rsidRPr="00325559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>NMDAR, VGKC, AMPAR, GABA</w:t>
      </w:r>
      <w:r w:rsidRPr="00325559">
        <w:rPr>
          <w:rFonts w:ascii="Times New Roman" w:hAnsi="Times New Roman" w:cs="Times New Roman"/>
          <w:sz w:val="20"/>
          <w:vertAlign w:val="subscript"/>
          <w:lang w:val="en-CA"/>
        </w:rPr>
        <w:t>A</w:t>
      </w:r>
      <w:r w:rsidRPr="00325559">
        <w:rPr>
          <w:rFonts w:ascii="Times New Roman" w:hAnsi="Times New Roman" w:cs="Times New Roman"/>
          <w:sz w:val="20"/>
          <w:lang w:val="en-CA"/>
        </w:rPr>
        <w:t>R, GABA</w:t>
      </w:r>
      <w:r w:rsidRPr="00325559">
        <w:rPr>
          <w:rFonts w:ascii="Times New Roman" w:hAnsi="Times New Roman" w:cs="Times New Roman"/>
          <w:sz w:val="20"/>
          <w:vertAlign w:val="subscript"/>
          <w:lang w:val="en-CA"/>
        </w:rPr>
        <w:t>B</w:t>
      </w:r>
      <w:r w:rsidRPr="00325559">
        <w:rPr>
          <w:rFonts w:ascii="Times New Roman" w:hAnsi="Times New Roman" w:cs="Times New Roman"/>
          <w:sz w:val="20"/>
          <w:lang w:val="en-CA"/>
        </w:rPr>
        <w:t xml:space="preserve">R, </w:t>
      </w:r>
      <w:r w:rsidR="009639A8">
        <w:rPr>
          <w:rFonts w:ascii="Times New Roman" w:hAnsi="Times New Roman" w:cs="Times New Roman"/>
          <w:sz w:val="20"/>
          <w:lang w:val="en-CA"/>
        </w:rPr>
        <w:t xml:space="preserve">CRMP3, CRMP4, </w:t>
      </w:r>
      <w:proofErr w:type="spellStart"/>
      <w:r w:rsidR="002860A5" w:rsidRPr="00325559">
        <w:rPr>
          <w:rFonts w:ascii="Times New Roman" w:hAnsi="Times New Roman" w:cs="Times New Roman"/>
          <w:sz w:val="20"/>
          <w:lang w:val="en-CA"/>
        </w:rPr>
        <w:t>o</w:t>
      </w:r>
      <w:r w:rsidRPr="00325559">
        <w:rPr>
          <w:rFonts w:ascii="Times New Roman" w:hAnsi="Times New Roman" w:cs="Times New Roman"/>
          <w:sz w:val="20"/>
          <w:lang w:val="en-CA"/>
        </w:rPr>
        <w:t>nconeuronal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 xml:space="preserve"> antibodies (including Hu, </w:t>
      </w:r>
      <w:proofErr w:type="spellStart"/>
      <w:r w:rsidR="009639A8">
        <w:rPr>
          <w:rFonts w:ascii="Times New Roman" w:hAnsi="Times New Roman" w:cs="Times New Roman"/>
          <w:sz w:val="20"/>
          <w:lang w:val="en-CA"/>
        </w:rPr>
        <w:t>Yo</w:t>
      </w:r>
      <w:proofErr w:type="spellEnd"/>
      <w:r w:rsidR="009639A8">
        <w:rPr>
          <w:rFonts w:ascii="Times New Roman" w:hAnsi="Times New Roman" w:cs="Times New Roman"/>
          <w:sz w:val="20"/>
          <w:lang w:val="en-CA"/>
        </w:rPr>
        <w:t xml:space="preserve">, </w:t>
      </w:r>
      <w:proofErr w:type="spellStart"/>
      <w:proofErr w:type="gramStart"/>
      <w:r w:rsidR="009639A8">
        <w:rPr>
          <w:rFonts w:ascii="Times New Roman" w:hAnsi="Times New Roman" w:cs="Times New Roman"/>
          <w:sz w:val="20"/>
          <w:lang w:val="en-CA"/>
        </w:rPr>
        <w:t>Ri</w:t>
      </w:r>
      <w:proofErr w:type="spellEnd"/>
      <w:proofErr w:type="gramEnd"/>
      <w:r w:rsidR="009639A8">
        <w:rPr>
          <w:rFonts w:ascii="Times New Roman" w:hAnsi="Times New Roman" w:cs="Times New Roman"/>
          <w:sz w:val="20"/>
          <w:lang w:val="en-CA"/>
        </w:rPr>
        <w:t xml:space="preserve">, CV2, Ma2, </w:t>
      </w:r>
      <w:proofErr w:type="spellStart"/>
      <w:r w:rsidR="009639A8">
        <w:rPr>
          <w:rFonts w:ascii="Times New Roman" w:hAnsi="Times New Roman" w:cs="Times New Roman"/>
          <w:sz w:val="20"/>
          <w:lang w:val="en-CA"/>
        </w:rPr>
        <w:t>amphiphysin</w:t>
      </w:r>
      <w:proofErr w:type="spellEnd"/>
      <w:r w:rsidR="009639A8">
        <w:rPr>
          <w:rFonts w:ascii="Times New Roman" w:hAnsi="Times New Roman" w:cs="Times New Roman"/>
          <w:sz w:val="20"/>
          <w:lang w:val="en-CA"/>
        </w:rPr>
        <w:t>).</w:t>
      </w:r>
    </w:p>
    <w:p w:rsidR="0068633D" w:rsidRPr="00325559" w:rsidRDefault="00325559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>
        <w:rPr>
          <w:rFonts w:ascii="Times New Roman" w:hAnsi="Times New Roman" w:cs="Times New Roman"/>
          <w:b/>
          <w:sz w:val="20"/>
          <w:lang w:val="en-CA"/>
        </w:rPr>
        <w:t>Treatment</w:t>
      </w:r>
      <w:r w:rsidR="0068633D" w:rsidRPr="00325559">
        <w:rPr>
          <w:rFonts w:ascii="Times New Roman" w:hAnsi="Times New Roman" w:cs="Times New Roman"/>
          <w:b/>
          <w:sz w:val="20"/>
          <w:lang w:val="en-CA"/>
        </w:rPr>
        <w:t>:</w:t>
      </w:r>
      <w:r w:rsidR="0068633D" w:rsidRPr="00325559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proofErr w:type="gramStart"/>
      <w:r w:rsidRPr="00325559">
        <w:rPr>
          <w:rFonts w:ascii="Times New Roman" w:hAnsi="Times New Roman" w:cs="Times New Roman"/>
          <w:sz w:val="20"/>
          <w:lang w:val="en-CA"/>
        </w:rPr>
        <w:t>Any immunotherapy (steroids</w:t>
      </w:r>
      <w:r w:rsidR="002860A5" w:rsidRPr="00325559">
        <w:rPr>
          <w:rFonts w:ascii="Times New Roman" w:hAnsi="Times New Roman" w:cs="Times New Roman"/>
          <w:sz w:val="20"/>
          <w:lang w:val="en-CA"/>
        </w:rPr>
        <w:t xml:space="preserve"> IV </w:t>
      </w:r>
      <w:proofErr w:type="spellStart"/>
      <w:r w:rsidR="002860A5" w:rsidRPr="00325559">
        <w:rPr>
          <w:rFonts w:ascii="Times New Roman" w:hAnsi="Times New Roman" w:cs="Times New Roman"/>
          <w:sz w:val="20"/>
          <w:lang w:val="en-CA"/>
        </w:rPr>
        <w:t>ou</w:t>
      </w:r>
      <w:proofErr w:type="spellEnd"/>
      <w:r w:rsidR="002860A5" w:rsidRPr="00325559">
        <w:rPr>
          <w:rFonts w:ascii="Times New Roman" w:hAnsi="Times New Roman" w:cs="Times New Roman"/>
          <w:sz w:val="20"/>
          <w:lang w:val="en-CA"/>
        </w:rPr>
        <w:t xml:space="preserve"> PO</w:t>
      </w:r>
      <w:r w:rsidRPr="00325559">
        <w:rPr>
          <w:rFonts w:ascii="Times New Roman" w:hAnsi="Times New Roman" w:cs="Times New Roman"/>
          <w:sz w:val="20"/>
          <w:lang w:val="en-CA"/>
        </w:rPr>
        <w:t xml:space="preserve">, </w:t>
      </w:r>
      <w:proofErr w:type="spellStart"/>
      <w:r w:rsidRPr="00325559">
        <w:rPr>
          <w:rFonts w:ascii="Times New Roman" w:hAnsi="Times New Roman" w:cs="Times New Roman"/>
          <w:sz w:val="20"/>
          <w:lang w:val="en-CA"/>
        </w:rPr>
        <w:t>IVIg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 xml:space="preserve">, mycophenolate </w:t>
      </w:r>
      <w:proofErr w:type="spellStart"/>
      <w:r w:rsidRPr="00325559">
        <w:rPr>
          <w:rFonts w:ascii="Times New Roman" w:hAnsi="Times New Roman" w:cs="Times New Roman"/>
          <w:sz w:val="20"/>
          <w:lang w:val="en-CA"/>
        </w:rPr>
        <w:t>mofetil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>, azathioprine, cyclophosphamide, cyclosporine, rituximab, plasma exchange), chemotherapy or radiation in case of cancer.</w:t>
      </w:r>
      <w:proofErr w:type="gramEnd"/>
      <w:r w:rsidRPr="00325559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>Data about antiepileptic drugs were also c</w:t>
      </w:r>
      <w:r w:rsidR="002860A5" w:rsidRPr="00325559">
        <w:rPr>
          <w:rFonts w:ascii="Times New Roman" w:hAnsi="Times New Roman" w:cs="Times New Roman"/>
          <w:sz w:val="20"/>
          <w:lang w:val="en-CA"/>
        </w:rPr>
        <w:t>ollecte</w:t>
      </w:r>
      <w:r w:rsidRPr="00325559">
        <w:rPr>
          <w:rFonts w:ascii="Times New Roman" w:hAnsi="Times New Roman" w:cs="Times New Roman"/>
          <w:sz w:val="20"/>
          <w:lang w:val="en-CA"/>
        </w:rPr>
        <w:t xml:space="preserve">d. </w:t>
      </w:r>
    </w:p>
    <w:p w:rsidR="0068633D" w:rsidRPr="00325559" w:rsidRDefault="00325559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>
        <w:rPr>
          <w:rFonts w:ascii="Times New Roman" w:hAnsi="Times New Roman" w:cs="Times New Roman"/>
          <w:b/>
          <w:sz w:val="20"/>
          <w:lang w:val="en-CA"/>
        </w:rPr>
        <w:t>Follow-up</w:t>
      </w:r>
      <w:r w:rsidR="0068633D" w:rsidRPr="00325559">
        <w:rPr>
          <w:rFonts w:ascii="Times New Roman" w:hAnsi="Times New Roman" w:cs="Times New Roman"/>
          <w:b/>
          <w:sz w:val="20"/>
          <w:lang w:val="en-CA"/>
        </w:rPr>
        <w:t>:</w:t>
      </w:r>
      <w:r w:rsidR="0068633D" w:rsidRPr="00325559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325559" w:rsidRDefault="002860A5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>Duration</w:t>
      </w:r>
      <w:r w:rsidR="0068633D" w:rsidRPr="00325559">
        <w:rPr>
          <w:rFonts w:ascii="Times New Roman" w:hAnsi="Times New Roman" w:cs="Times New Roman"/>
          <w:sz w:val="20"/>
          <w:lang w:val="en-CA"/>
        </w:rPr>
        <w:t xml:space="preserve"> in months, considered from the beginning of the current episode of disease to the last data available in the article</w:t>
      </w:r>
      <w:r w:rsidRPr="00325559">
        <w:rPr>
          <w:rFonts w:ascii="Times New Roman" w:hAnsi="Times New Roman" w:cs="Times New Roman"/>
          <w:sz w:val="20"/>
          <w:lang w:val="en-CA"/>
        </w:rPr>
        <w:t>.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b/>
          <w:sz w:val="20"/>
          <w:lang w:val="en-CA"/>
        </w:rPr>
      </w:pPr>
      <w:r w:rsidRPr="00325559">
        <w:rPr>
          <w:rFonts w:ascii="Times New Roman" w:hAnsi="Times New Roman" w:cs="Times New Roman"/>
          <w:b/>
          <w:sz w:val="20"/>
          <w:lang w:val="en-CA"/>
        </w:rPr>
        <w:t>Outcome:</w:t>
      </w:r>
    </w:p>
    <w:p w:rsidR="0068633D" w:rsidRPr="00325559" w:rsidRDefault="002860A5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proofErr w:type="gramStart"/>
      <w:r w:rsidRPr="00325559">
        <w:rPr>
          <w:rFonts w:ascii="Times New Roman" w:hAnsi="Times New Roman" w:cs="Times New Roman"/>
          <w:sz w:val="20"/>
          <w:lang w:val="en-CA"/>
        </w:rPr>
        <w:t>Divided in 4 groups, evaluated</w:t>
      </w:r>
      <w:r w:rsidR="0068633D" w:rsidRPr="00325559">
        <w:rPr>
          <w:rFonts w:ascii="Times New Roman" w:hAnsi="Times New Roman" w:cs="Times New Roman"/>
          <w:sz w:val="20"/>
          <w:lang w:val="en-CA"/>
        </w:rPr>
        <w:t xml:space="preserve"> on the last period of follow-up available and defined as “</w:t>
      </w:r>
      <w:r w:rsidRPr="00325559">
        <w:rPr>
          <w:rFonts w:ascii="Times New Roman" w:hAnsi="Times New Roman" w:cs="Times New Roman"/>
          <w:sz w:val="20"/>
          <w:lang w:val="en-CA"/>
        </w:rPr>
        <w:t>Full recovery</w:t>
      </w:r>
      <w:r w:rsidR="0068633D" w:rsidRPr="00325559">
        <w:rPr>
          <w:rFonts w:ascii="Times New Roman" w:hAnsi="Times New Roman" w:cs="Times New Roman"/>
          <w:sz w:val="20"/>
          <w:lang w:val="en-CA"/>
        </w:rPr>
        <w:t>” (resolution of all symptoms without any sequela), “Improvement” (when initial symptoms were improved), “No improvement or worsening”</w:t>
      </w:r>
      <w:r w:rsidRPr="00325559">
        <w:rPr>
          <w:rFonts w:ascii="Times New Roman" w:hAnsi="Times New Roman" w:cs="Times New Roman"/>
          <w:sz w:val="20"/>
          <w:lang w:val="en-CA"/>
        </w:rPr>
        <w:t xml:space="preserve"> and</w:t>
      </w:r>
      <w:r w:rsidR="0068633D" w:rsidRPr="00325559">
        <w:rPr>
          <w:rFonts w:ascii="Times New Roman" w:hAnsi="Times New Roman" w:cs="Times New Roman"/>
          <w:sz w:val="20"/>
          <w:lang w:val="en-CA"/>
        </w:rPr>
        <w:t xml:space="preserve"> “Death”.</w:t>
      </w:r>
      <w:proofErr w:type="gramEnd"/>
      <w:r w:rsidR="0068633D" w:rsidRPr="00325559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 xml:space="preserve">For instance, if seizure frequency dramatically improved with treatment but memory impairment was stable, the outcome was considered as “Improvement”. If a patient transiently improved with a treatment but at the end of follow up presented the same symptoms, the outcome was considered as “No improvement/worsening”.  </w:t>
      </w:r>
    </w:p>
    <w:p w:rsidR="0068633D" w:rsidRPr="00325559" w:rsidRDefault="00325559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>
        <w:rPr>
          <w:rFonts w:ascii="Times New Roman" w:hAnsi="Times New Roman" w:cs="Times New Roman"/>
          <w:b/>
          <w:sz w:val="20"/>
          <w:lang w:val="en-CA"/>
        </w:rPr>
        <w:t>Relapse</w:t>
      </w:r>
      <w:r w:rsidR="0068633D" w:rsidRPr="00325559">
        <w:rPr>
          <w:rFonts w:ascii="Times New Roman" w:hAnsi="Times New Roman" w:cs="Times New Roman"/>
          <w:b/>
          <w:sz w:val="20"/>
          <w:lang w:val="en-CA"/>
        </w:rPr>
        <w:t>:</w:t>
      </w:r>
      <w:r w:rsidR="0068633D" w:rsidRPr="00325559">
        <w:rPr>
          <w:rFonts w:ascii="Times New Roman" w:hAnsi="Times New Roman" w:cs="Times New Roman"/>
          <w:sz w:val="20"/>
          <w:lang w:val="en-CA"/>
        </w:rPr>
        <w:t xml:space="preserve"> 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>P</w:t>
      </w:r>
      <w:r w:rsidR="00195AE9" w:rsidRPr="00325559">
        <w:rPr>
          <w:rFonts w:ascii="Times New Roman" w:hAnsi="Times New Roman" w:cs="Times New Roman"/>
          <w:sz w:val="20"/>
          <w:lang w:val="en-CA"/>
        </w:rPr>
        <w:t xml:space="preserve">resence or </w:t>
      </w:r>
      <w:r w:rsidRPr="00325559">
        <w:rPr>
          <w:rFonts w:ascii="Times New Roman" w:hAnsi="Times New Roman" w:cs="Times New Roman"/>
          <w:sz w:val="20"/>
          <w:lang w:val="en-CA"/>
        </w:rPr>
        <w:t>absence, defined as  a relapse of the same symptoms or new symptoms related to LE , after the diagnosis of LE, after at least a period of 1 month of significant impro</w:t>
      </w:r>
      <w:r w:rsidR="002860A5" w:rsidRPr="00325559">
        <w:rPr>
          <w:rFonts w:ascii="Times New Roman" w:hAnsi="Times New Roman" w:cs="Times New Roman"/>
          <w:sz w:val="20"/>
          <w:lang w:val="en-CA"/>
        </w:rPr>
        <w:t>vement (after treatment or not).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  <w:r w:rsidRPr="00325559">
        <w:rPr>
          <w:rFonts w:ascii="Times New Roman" w:hAnsi="Times New Roman" w:cs="Times New Roman"/>
          <w:sz w:val="20"/>
          <w:lang w:val="en-CA"/>
        </w:rPr>
        <w:t xml:space="preserve">For instance, appearance of new psychiatric symptoms after 1 month of total recovery of seizure and memory impairment was considered as a relapse. Re-emergence of seizures after the third week of </w:t>
      </w:r>
      <w:proofErr w:type="spellStart"/>
      <w:r w:rsidRPr="00325559">
        <w:rPr>
          <w:rFonts w:ascii="Times New Roman" w:hAnsi="Times New Roman" w:cs="Times New Roman"/>
          <w:sz w:val="20"/>
          <w:lang w:val="en-CA"/>
        </w:rPr>
        <w:t>IVIg</w:t>
      </w:r>
      <w:proofErr w:type="spellEnd"/>
      <w:r w:rsidRPr="00325559">
        <w:rPr>
          <w:rFonts w:ascii="Times New Roman" w:hAnsi="Times New Roman" w:cs="Times New Roman"/>
          <w:sz w:val="20"/>
          <w:lang w:val="en-CA"/>
        </w:rPr>
        <w:t xml:space="preserve"> treatment was not considered as a relapse. </w:t>
      </w:r>
    </w:p>
    <w:p w:rsidR="0068633D" w:rsidRPr="00325559" w:rsidRDefault="0068633D" w:rsidP="0068633D">
      <w:pPr>
        <w:spacing w:before="120" w:after="0"/>
        <w:jc w:val="both"/>
        <w:rPr>
          <w:rFonts w:ascii="Times New Roman" w:hAnsi="Times New Roman" w:cs="Times New Roman"/>
          <w:sz w:val="20"/>
          <w:lang w:val="en-CA"/>
        </w:rPr>
      </w:pPr>
    </w:p>
    <w:p w:rsidR="0068633D" w:rsidRPr="0068633D" w:rsidRDefault="0068633D">
      <w:pPr>
        <w:rPr>
          <w:lang w:val="en-CA"/>
        </w:rPr>
      </w:pPr>
    </w:p>
    <w:sectPr w:rsidR="0068633D" w:rsidRPr="0068633D" w:rsidSect="00BB2D2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AGaramond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3D"/>
    <w:rsid w:val="0003198E"/>
    <w:rsid w:val="000654BA"/>
    <w:rsid w:val="000A72F3"/>
    <w:rsid w:val="000B0E51"/>
    <w:rsid w:val="001271CA"/>
    <w:rsid w:val="00180EFA"/>
    <w:rsid w:val="00195AE9"/>
    <w:rsid w:val="002860A5"/>
    <w:rsid w:val="00322B56"/>
    <w:rsid w:val="00325559"/>
    <w:rsid w:val="004628C6"/>
    <w:rsid w:val="00475925"/>
    <w:rsid w:val="00517C9F"/>
    <w:rsid w:val="005A4386"/>
    <w:rsid w:val="00662067"/>
    <w:rsid w:val="00662343"/>
    <w:rsid w:val="0068633D"/>
    <w:rsid w:val="006D71D9"/>
    <w:rsid w:val="006E3B98"/>
    <w:rsid w:val="006F3032"/>
    <w:rsid w:val="007410C4"/>
    <w:rsid w:val="007763EF"/>
    <w:rsid w:val="00862222"/>
    <w:rsid w:val="009639A8"/>
    <w:rsid w:val="00BB2D26"/>
    <w:rsid w:val="00BF4D95"/>
    <w:rsid w:val="00C27284"/>
    <w:rsid w:val="00D846BC"/>
    <w:rsid w:val="00DF7D60"/>
    <w:rsid w:val="00E35DC1"/>
    <w:rsid w:val="00E54227"/>
    <w:rsid w:val="00EA3FDC"/>
    <w:rsid w:val="00E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BB2D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6E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E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6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BB2D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6E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E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6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4851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</dc:creator>
  <cp:lastModifiedBy>Moma</cp:lastModifiedBy>
  <cp:revision>3</cp:revision>
  <dcterms:created xsi:type="dcterms:W3CDTF">2015-11-21T17:10:00Z</dcterms:created>
  <dcterms:modified xsi:type="dcterms:W3CDTF">2015-11-21T17:36:00Z</dcterms:modified>
</cp:coreProperties>
</file>