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7A5" w:rsidRDefault="005817A5" w:rsidP="005817A5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Supplementary </w:t>
      </w:r>
      <w:r>
        <w:rPr>
          <w:rFonts w:ascii="Times New Roman" w:hAnsi="Times New Roman"/>
          <w:b/>
        </w:rPr>
        <w:t>Video</w:t>
      </w:r>
      <w:bookmarkStart w:id="0" w:name="_GoBack"/>
      <w:bookmarkEnd w:id="0"/>
      <w:r>
        <w:rPr>
          <w:rFonts w:ascii="Times New Roman" w:hAnsi="Times New Roman"/>
        </w:rPr>
        <w:t xml:space="preserve">. Baseline assessment of the patient during rest and various actions demonstrates only spasms and tremors of the right hand while writing or drawing. Three months after </w:t>
      </w:r>
      <w:proofErr w:type="spellStart"/>
      <w:r>
        <w:rPr>
          <w:rFonts w:ascii="Times New Roman" w:hAnsi="Times New Roman"/>
        </w:rPr>
        <w:t>MRgFUS</w:t>
      </w:r>
      <w:proofErr w:type="spellEnd"/>
      <w:r>
        <w:rPr>
          <w:rFonts w:ascii="Times New Roman" w:hAnsi="Times New Roman"/>
        </w:rPr>
        <w:t xml:space="preserve"> lesions, the patient’s handwriting and drawing was assessed again with significant improvement.</w:t>
      </w:r>
    </w:p>
    <w:p w:rsidR="00890AFF" w:rsidRDefault="00890AFF"/>
    <w:sectPr w:rsidR="00890A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7A5"/>
    <w:rsid w:val="005817A5"/>
    <w:rsid w:val="0089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0C2CD"/>
  <w15:chartTrackingRefBased/>
  <w15:docId w15:val="{E559EF7D-21B7-46E1-8BF9-21BC1E683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7A5"/>
    <w:pPr>
      <w:spacing w:after="0" w:line="240" w:lineRule="auto"/>
    </w:pPr>
    <w:rPr>
      <w:rFonts w:ascii="Cambria" w:eastAsia="MS Mincho" w:hAnsi="Cambria" w:cs="Times New Roman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1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Riddleberger</dc:creator>
  <cp:keywords/>
  <dc:description/>
  <cp:lastModifiedBy>Kayla Riddleberger</cp:lastModifiedBy>
  <cp:revision>1</cp:revision>
  <dcterms:created xsi:type="dcterms:W3CDTF">2018-02-16T18:43:00Z</dcterms:created>
  <dcterms:modified xsi:type="dcterms:W3CDTF">2018-02-16T18:43:00Z</dcterms:modified>
</cp:coreProperties>
</file>