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55BF" w14:textId="77777777" w:rsidR="007045C0" w:rsidRPr="000C1118" w:rsidRDefault="007045C0" w:rsidP="007045C0">
      <w:pPr>
        <w:rPr>
          <w:rFonts w:ascii="Times New Roman" w:hAnsi="Times New Roman" w:cs="Times New Roman"/>
          <w:b/>
          <w:bCs/>
          <w:sz w:val="24"/>
          <w:szCs w:val="24"/>
          <w:lang w:val="en-PH"/>
        </w:rPr>
      </w:pPr>
      <w:r w:rsidRPr="000C1118">
        <w:rPr>
          <w:rFonts w:ascii="Times New Roman" w:hAnsi="Times New Roman" w:cs="Times New Roman"/>
          <w:b/>
          <w:bCs/>
          <w:sz w:val="24"/>
          <w:szCs w:val="24"/>
          <w:lang w:val="en-PH"/>
        </w:rPr>
        <w:t>APPENDIX A: DATABASE SEARCHES</w:t>
      </w:r>
    </w:p>
    <w:p w14:paraId="7C9A7C2A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  <w:lang w:val="en-PH"/>
        </w:rPr>
      </w:pPr>
    </w:p>
    <w:p w14:paraId="4D9A5A28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</w:rPr>
      </w:pPr>
      <w:r w:rsidRPr="000C1118">
        <w:rPr>
          <w:rFonts w:ascii="Times New Roman" w:hAnsi="Times New Roman" w:cs="Times New Roman"/>
          <w:sz w:val="24"/>
          <w:szCs w:val="24"/>
        </w:rPr>
        <w:t>PUBMED Search Strategy</w:t>
      </w:r>
    </w:p>
    <w:tbl>
      <w:tblPr>
        <w:tblStyle w:val="TableGrid"/>
        <w:tblW w:w="7662" w:type="dxa"/>
        <w:tblLayout w:type="fixed"/>
        <w:tblLook w:val="04A0" w:firstRow="1" w:lastRow="0" w:firstColumn="1" w:lastColumn="0" w:noHBand="0" w:noVBand="1"/>
      </w:tblPr>
      <w:tblGrid>
        <w:gridCol w:w="1283"/>
        <w:gridCol w:w="4436"/>
        <w:gridCol w:w="1943"/>
      </w:tblGrid>
      <w:tr w:rsidR="007045C0" w:rsidRPr="000C1118" w14:paraId="4030C985" w14:textId="77777777" w:rsidTr="00E26563">
        <w:tc>
          <w:tcPr>
            <w:tcW w:w="1283" w:type="dxa"/>
          </w:tcPr>
          <w:p w14:paraId="358196F6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SEARCH</w:t>
            </w:r>
          </w:p>
        </w:tc>
        <w:tc>
          <w:tcPr>
            <w:tcW w:w="4436" w:type="dxa"/>
          </w:tcPr>
          <w:p w14:paraId="47891A75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QUERY</w:t>
            </w:r>
          </w:p>
        </w:tc>
        <w:tc>
          <w:tcPr>
            <w:tcW w:w="1943" w:type="dxa"/>
          </w:tcPr>
          <w:p w14:paraId="71C8D218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ITEMS FOUND</w:t>
            </w:r>
          </w:p>
        </w:tc>
      </w:tr>
      <w:tr w:rsidR="007045C0" w:rsidRPr="000C1118" w14:paraId="600D5347" w14:textId="77777777" w:rsidTr="00E26563">
        <w:tc>
          <w:tcPr>
            <w:tcW w:w="1283" w:type="dxa"/>
          </w:tcPr>
          <w:p w14:paraId="2AAFD540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</w:rPr>
              <w:t>#</w:t>
            </w:r>
            <w:r w:rsidRPr="000C1118">
              <w:rPr>
                <w:sz w:val="24"/>
                <w:szCs w:val="24"/>
                <w:lang w:val="en-PH"/>
              </w:rPr>
              <w:t>2</w:t>
            </w:r>
          </w:p>
        </w:tc>
        <w:tc>
          <w:tcPr>
            <w:tcW w:w="4436" w:type="dxa"/>
          </w:tcPr>
          <w:p w14:paraId="3694BB3D" w14:textId="77777777" w:rsidR="007045C0" w:rsidRPr="000C1118" w:rsidRDefault="007045C0" w:rsidP="00E26563">
            <w:pPr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RTPA</w:t>
            </w:r>
          </w:p>
        </w:tc>
        <w:tc>
          <w:tcPr>
            <w:tcW w:w="1943" w:type="dxa"/>
          </w:tcPr>
          <w:p w14:paraId="02DFD57A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1</w:t>
            </w:r>
          </w:p>
        </w:tc>
      </w:tr>
      <w:tr w:rsidR="007045C0" w:rsidRPr="000C1118" w14:paraId="7FBC29AF" w14:textId="77777777" w:rsidTr="00E26563">
        <w:tc>
          <w:tcPr>
            <w:tcW w:w="1283" w:type="dxa"/>
          </w:tcPr>
          <w:p w14:paraId="7A40C034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</w:rPr>
              <w:t>#</w:t>
            </w:r>
            <w:r w:rsidRPr="000C1118">
              <w:rPr>
                <w:sz w:val="24"/>
                <w:szCs w:val="24"/>
                <w:lang w:val="en-PH"/>
              </w:rPr>
              <w:t>1</w:t>
            </w:r>
          </w:p>
        </w:tc>
        <w:tc>
          <w:tcPr>
            <w:tcW w:w="4436" w:type="dxa"/>
          </w:tcPr>
          <w:p w14:paraId="211A93F0" w14:textId="77777777" w:rsidR="007045C0" w:rsidRPr="000C1118" w:rsidRDefault="007045C0" w:rsidP="00E26563">
            <w:pPr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THROMBOLYSIS</w:t>
            </w:r>
          </w:p>
        </w:tc>
        <w:tc>
          <w:tcPr>
            <w:tcW w:w="1943" w:type="dxa"/>
          </w:tcPr>
          <w:p w14:paraId="13AA1A35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2</w:t>
            </w:r>
          </w:p>
        </w:tc>
      </w:tr>
      <w:tr w:rsidR="007045C0" w:rsidRPr="000C1118" w14:paraId="4E263C7C" w14:textId="77777777" w:rsidTr="00E26563">
        <w:tc>
          <w:tcPr>
            <w:tcW w:w="1283" w:type="dxa"/>
          </w:tcPr>
          <w:p w14:paraId="709814E2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#3</w:t>
            </w:r>
          </w:p>
        </w:tc>
        <w:tc>
          <w:tcPr>
            <w:tcW w:w="4436" w:type="dxa"/>
          </w:tcPr>
          <w:p w14:paraId="15661B1D" w14:textId="77777777" w:rsidR="007045C0" w:rsidRPr="000C1118" w:rsidRDefault="007045C0" w:rsidP="00E26563">
            <w:pPr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STROKE AND IV THROMBOLYSIS</w:t>
            </w:r>
          </w:p>
        </w:tc>
        <w:tc>
          <w:tcPr>
            <w:tcW w:w="1943" w:type="dxa"/>
          </w:tcPr>
          <w:p w14:paraId="092AE880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11</w:t>
            </w:r>
          </w:p>
        </w:tc>
      </w:tr>
      <w:tr w:rsidR="007045C0" w:rsidRPr="000C1118" w14:paraId="59CFF604" w14:textId="77777777" w:rsidTr="00E26563">
        <w:tc>
          <w:tcPr>
            <w:tcW w:w="1283" w:type="dxa"/>
          </w:tcPr>
          <w:p w14:paraId="2BEB2D8D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#4</w:t>
            </w:r>
          </w:p>
        </w:tc>
        <w:tc>
          <w:tcPr>
            <w:tcW w:w="4436" w:type="dxa"/>
          </w:tcPr>
          <w:p w14:paraId="783F3F27" w14:textId="77777777" w:rsidR="007045C0" w:rsidRPr="000C1118" w:rsidRDefault="007045C0" w:rsidP="00E26563">
            <w:pPr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STROKE AND IV RTPA</w:t>
            </w:r>
          </w:p>
        </w:tc>
        <w:tc>
          <w:tcPr>
            <w:tcW w:w="1943" w:type="dxa"/>
          </w:tcPr>
          <w:p w14:paraId="2D66BF91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2</w:t>
            </w:r>
          </w:p>
        </w:tc>
      </w:tr>
    </w:tbl>
    <w:p w14:paraId="1A1DD737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</w:rPr>
      </w:pPr>
    </w:p>
    <w:p w14:paraId="05D611B4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</w:rPr>
      </w:pPr>
      <w:r w:rsidRPr="000C1118">
        <w:rPr>
          <w:rFonts w:ascii="Times New Roman" w:hAnsi="Times New Roman" w:cs="Times New Roman"/>
          <w:sz w:val="24"/>
          <w:szCs w:val="24"/>
        </w:rPr>
        <w:t>ClinicalTrials.gov Search Strategy</w:t>
      </w:r>
    </w:p>
    <w:tbl>
      <w:tblPr>
        <w:tblStyle w:val="TableGrid"/>
        <w:tblW w:w="7662" w:type="dxa"/>
        <w:tblLayout w:type="fixed"/>
        <w:tblLook w:val="04A0" w:firstRow="1" w:lastRow="0" w:firstColumn="1" w:lastColumn="0" w:noHBand="0" w:noVBand="1"/>
      </w:tblPr>
      <w:tblGrid>
        <w:gridCol w:w="1283"/>
        <w:gridCol w:w="4436"/>
        <w:gridCol w:w="1943"/>
      </w:tblGrid>
      <w:tr w:rsidR="007045C0" w:rsidRPr="000C1118" w14:paraId="14327C8D" w14:textId="77777777" w:rsidTr="00E26563">
        <w:tc>
          <w:tcPr>
            <w:tcW w:w="1283" w:type="dxa"/>
          </w:tcPr>
          <w:p w14:paraId="0071ED21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SEARCH</w:t>
            </w:r>
          </w:p>
        </w:tc>
        <w:tc>
          <w:tcPr>
            <w:tcW w:w="4436" w:type="dxa"/>
          </w:tcPr>
          <w:p w14:paraId="2DA2AA16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QUERY</w:t>
            </w:r>
          </w:p>
        </w:tc>
        <w:tc>
          <w:tcPr>
            <w:tcW w:w="1943" w:type="dxa"/>
          </w:tcPr>
          <w:p w14:paraId="5463D014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ITEMS FOUND</w:t>
            </w:r>
          </w:p>
        </w:tc>
      </w:tr>
      <w:tr w:rsidR="007045C0" w:rsidRPr="000C1118" w14:paraId="185952F8" w14:textId="77777777" w:rsidTr="00E26563">
        <w:tc>
          <w:tcPr>
            <w:tcW w:w="1283" w:type="dxa"/>
          </w:tcPr>
          <w:p w14:paraId="6FE0F0F5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#1</w:t>
            </w:r>
          </w:p>
        </w:tc>
        <w:tc>
          <w:tcPr>
            <w:tcW w:w="4436" w:type="dxa"/>
          </w:tcPr>
          <w:p w14:paraId="2388C8A3" w14:textId="77777777" w:rsidR="007045C0" w:rsidRPr="000C1118" w:rsidRDefault="007045C0" w:rsidP="00E26563">
            <w:pPr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RTPA</w:t>
            </w:r>
          </w:p>
        </w:tc>
        <w:tc>
          <w:tcPr>
            <w:tcW w:w="1943" w:type="dxa"/>
          </w:tcPr>
          <w:p w14:paraId="5185E2C4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0</w:t>
            </w:r>
          </w:p>
        </w:tc>
      </w:tr>
      <w:tr w:rsidR="007045C0" w:rsidRPr="000C1118" w14:paraId="59E9B04F" w14:textId="77777777" w:rsidTr="00E26563">
        <w:tc>
          <w:tcPr>
            <w:tcW w:w="1283" w:type="dxa"/>
          </w:tcPr>
          <w:p w14:paraId="35D0BECC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#2</w:t>
            </w:r>
          </w:p>
        </w:tc>
        <w:tc>
          <w:tcPr>
            <w:tcW w:w="4436" w:type="dxa"/>
          </w:tcPr>
          <w:p w14:paraId="2434759F" w14:textId="77777777" w:rsidR="007045C0" w:rsidRPr="000C1118" w:rsidRDefault="007045C0" w:rsidP="00E26563">
            <w:pPr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THROMBOLYSIS</w:t>
            </w:r>
          </w:p>
        </w:tc>
        <w:tc>
          <w:tcPr>
            <w:tcW w:w="1943" w:type="dxa"/>
          </w:tcPr>
          <w:p w14:paraId="0B91229E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0</w:t>
            </w:r>
          </w:p>
        </w:tc>
      </w:tr>
    </w:tbl>
    <w:p w14:paraId="751DA747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</w:rPr>
      </w:pPr>
    </w:p>
    <w:p w14:paraId="0DA7542B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</w:rPr>
      </w:pPr>
      <w:r w:rsidRPr="000C1118">
        <w:rPr>
          <w:rFonts w:ascii="Times New Roman" w:hAnsi="Times New Roman" w:cs="Times New Roman"/>
          <w:sz w:val="24"/>
          <w:szCs w:val="24"/>
        </w:rPr>
        <w:t>Cochrane Central Register of Controlled Trials</w:t>
      </w:r>
    </w:p>
    <w:tbl>
      <w:tblPr>
        <w:tblStyle w:val="TableGrid"/>
        <w:tblW w:w="7662" w:type="dxa"/>
        <w:tblLayout w:type="fixed"/>
        <w:tblLook w:val="04A0" w:firstRow="1" w:lastRow="0" w:firstColumn="1" w:lastColumn="0" w:noHBand="0" w:noVBand="1"/>
      </w:tblPr>
      <w:tblGrid>
        <w:gridCol w:w="1283"/>
        <w:gridCol w:w="4436"/>
        <w:gridCol w:w="1943"/>
      </w:tblGrid>
      <w:tr w:rsidR="007045C0" w:rsidRPr="000C1118" w14:paraId="276E7258" w14:textId="77777777" w:rsidTr="00E26563">
        <w:tc>
          <w:tcPr>
            <w:tcW w:w="1283" w:type="dxa"/>
          </w:tcPr>
          <w:p w14:paraId="6754B562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SEARCH</w:t>
            </w:r>
          </w:p>
        </w:tc>
        <w:tc>
          <w:tcPr>
            <w:tcW w:w="4436" w:type="dxa"/>
          </w:tcPr>
          <w:p w14:paraId="37BF608C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QUERY</w:t>
            </w:r>
          </w:p>
        </w:tc>
        <w:tc>
          <w:tcPr>
            <w:tcW w:w="1943" w:type="dxa"/>
          </w:tcPr>
          <w:p w14:paraId="43E79C92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ITEMS FOUND</w:t>
            </w:r>
          </w:p>
        </w:tc>
      </w:tr>
      <w:tr w:rsidR="007045C0" w:rsidRPr="000C1118" w14:paraId="179B8AD9" w14:textId="77777777" w:rsidTr="00E26563">
        <w:tc>
          <w:tcPr>
            <w:tcW w:w="1283" w:type="dxa"/>
          </w:tcPr>
          <w:p w14:paraId="5325639F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#1</w:t>
            </w:r>
          </w:p>
        </w:tc>
        <w:tc>
          <w:tcPr>
            <w:tcW w:w="4436" w:type="dxa"/>
          </w:tcPr>
          <w:p w14:paraId="5C6BB9CE" w14:textId="77777777" w:rsidR="007045C0" w:rsidRPr="000C1118" w:rsidRDefault="007045C0" w:rsidP="00E26563">
            <w:pPr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THROMBOLYSIS</w:t>
            </w:r>
          </w:p>
        </w:tc>
        <w:tc>
          <w:tcPr>
            <w:tcW w:w="1943" w:type="dxa"/>
          </w:tcPr>
          <w:p w14:paraId="2BC3F505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1</w:t>
            </w:r>
          </w:p>
        </w:tc>
      </w:tr>
      <w:tr w:rsidR="007045C0" w:rsidRPr="000C1118" w14:paraId="7405A6FE" w14:textId="77777777" w:rsidTr="00E26563">
        <w:tc>
          <w:tcPr>
            <w:tcW w:w="1283" w:type="dxa"/>
          </w:tcPr>
          <w:p w14:paraId="452A6BFE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#2</w:t>
            </w:r>
          </w:p>
        </w:tc>
        <w:tc>
          <w:tcPr>
            <w:tcW w:w="4436" w:type="dxa"/>
          </w:tcPr>
          <w:p w14:paraId="077DBBDB" w14:textId="77777777" w:rsidR="007045C0" w:rsidRPr="000C1118" w:rsidRDefault="007045C0" w:rsidP="00E26563">
            <w:pPr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RTPA</w:t>
            </w:r>
          </w:p>
        </w:tc>
        <w:tc>
          <w:tcPr>
            <w:tcW w:w="1943" w:type="dxa"/>
          </w:tcPr>
          <w:p w14:paraId="7D9C6618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0</w:t>
            </w:r>
          </w:p>
        </w:tc>
      </w:tr>
    </w:tbl>
    <w:p w14:paraId="17E45D48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  <w:lang w:val="en-PH"/>
        </w:rPr>
      </w:pPr>
    </w:p>
    <w:p w14:paraId="2EDB4223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  <w:lang w:val="en-PH"/>
        </w:rPr>
      </w:pPr>
      <w:r>
        <w:rPr>
          <w:rFonts w:ascii="Times New Roman" w:hAnsi="Times New Roman" w:cs="Times New Roman"/>
          <w:sz w:val="24"/>
          <w:szCs w:val="24"/>
          <w:lang w:val="en-PH"/>
        </w:rPr>
        <w:t>Scopus</w:t>
      </w:r>
    </w:p>
    <w:tbl>
      <w:tblPr>
        <w:tblStyle w:val="TableGrid"/>
        <w:tblW w:w="7662" w:type="dxa"/>
        <w:tblLayout w:type="fixed"/>
        <w:tblLook w:val="04A0" w:firstRow="1" w:lastRow="0" w:firstColumn="1" w:lastColumn="0" w:noHBand="0" w:noVBand="1"/>
      </w:tblPr>
      <w:tblGrid>
        <w:gridCol w:w="1283"/>
        <w:gridCol w:w="4436"/>
        <w:gridCol w:w="1943"/>
      </w:tblGrid>
      <w:tr w:rsidR="007045C0" w:rsidRPr="000C1118" w14:paraId="6251ACD0" w14:textId="77777777" w:rsidTr="00E26563">
        <w:tc>
          <w:tcPr>
            <w:tcW w:w="1283" w:type="dxa"/>
          </w:tcPr>
          <w:p w14:paraId="2C850E49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SEARCH</w:t>
            </w:r>
          </w:p>
        </w:tc>
        <w:tc>
          <w:tcPr>
            <w:tcW w:w="4436" w:type="dxa"/>
          </w:tcPr>
          <w:p w14:paraId="0781CAA2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QUERY</w:t>
            </w:r>
          </w:p>
        </w:tc>
        <w:tc>
          <w:tcPr>
            <w:tcW w:w="1943" w:type="dxa"/>
          </w:tcPr>
          <w:p w14:paraId="1947609A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ITEMS FOUND</w:t>
            </w:r>
          </w:p>
        </w:tc>
      </w:tr>
      <w:tr w:rsidR="007045C0" w:rsidRPr="000C1118" w14:paraId="6019E44E" w14:textId="77777777" w:rsidTr="00E26563">
        <w:tc>
          <w:tcPr>
            <w:tcW w:w="1283" w:type="dxa"/>
          </w:tcPr>
          <w:p w14:paraId="725FA298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#1</w:t>
            </w:r>
          </w:p>
        </w:tc>
        <w:tc>
          <w:tcPr>
            <w:tcW w:w="4436" w:type="dxa"/>
          </w:tcPr>
          <w:p w14:paraId="59ED84CC" w14:textId="77777777" w:rsidR="007045C0" w:rsidRPr="000C1118" w:rsidRDefault="007045C0" w:rsidP="00E26563">
            <w:pPr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THROMBOLYSIS</w:t>
            </w:r>
          </w:p>
        </w:tc>
        <w:tc>
          <w:tcPr>
            <w:tcW w:w="1943" w:type="dxa"/>
          </w:tcPr>
          <w:p w14:paraId="080C6F63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1</w:t>
            </w:r>
          </w:p>
        </w:tc>
      </w:tr>
      <w:tr w:rsidR="007045C0" w:rsidRPr="000C1118" w14:paraId="13BB13B3" w14:textId="77777777" w:rsidTr="00E26563">
        <w:tc>
          <w:tcPr>
            <w:tcW w:w="1283" w:type="dxa"/>
          </w:tcPr>
          <w:p w14:paraId="5C587F24" w14:textId="77777777" w:rsidR="007045C0" w:rsidRPr="000C1118" w:rsidRDefault="007045C0" w:rsidP="00E26563">
            <w:pPr>
              <w:jc w:val="center"/>
              <w:rPr>
                <w:sz w:val="24"/>
                <w:szCs w:val="24"/>
              </w:rPr>
            </w:pPr>
            <w:r w:rsidRPr="000C1118">
              <w:rPr>
                <w:sz w:val="24"/>
                <w:szCs w:val="24"/>
              </w:rPr>
              <w:t>#2</w:t>
            </w:r>
          </w:p>
        </w:tc>
        <w:tc>
          <w:tcPr>
            <w:tcW w:w="4436" w:type="dxa"/>
          </w:tcPr>
          <w:p w14:paraId="4A127D1E" w14:textId="77777777" w:rsidR="007045C0" w:rsidRPr="000C1118" w:rsidRDefault="007045C0" w:rsidP="00E26563">
            <w:pPr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DIABETES MELLITUS AND PREVIOUS CEREBRAL INFARCTION AND IV RTPA</w:t>
            </w:r>
          </w:p>
        </w:tc>
        <w:tc>
          <w:tcPr>
            <w:tcW w:w="1943" w:type="dxa"/>
          </w:tcPr>
          <w:p w14:paraId="4256B719" w14:textId="77777777" w:rsidR="007045C0" w:rsidRPr="000C1118" w:rsidRDefault="007045C0" w:rsidP="00E26563">
            <w:pPr>
              <w:jc w:val="center"/>
              <w:rPr>
                <w:sz w:val="24"/>
                <w:szCs w:val="24"/>
                <w:lang w:val="en-PH"/>
              </w:rPr>
            </w:pPr>
            <w:r w:rsidRPr="000C1118">
              <w:rPr>
                <w:sz w:val="24"/>
                <w:szCs w:val="24"/>
                <w:lang w:val="en-PH"/>
              </w:rPr>
              <w:t>0</w:t>
            </w:r>
          </w:p>
        </w:tc>
      </w:tr>
    </w:tbl>
    <w:p w14:paraId="0AEF76CC" w14:textId="77777777" w:rsidR="007045C0" w:rsidRPr="000C1118" w:rsidRDefault="007045C0" w:rsidP="007045C0">
      <w:pPr>
        <w:rPr>
          <w:rFonts w:ascii="Times New Roman" w:hAnsi="Times New Roman" w:cs="Times New Roman"/>
          <w:sz w:val="24"/>
          <w:szCs w:val="24"/>
          <w:lang w:val="en-PH"/>
        </w:rPr>
      </w:pPr>
    </w:p>
    <w:p w14:paraId="5C7E9EFB" w14:textId="77777777" w:rsidR="007045C0" w:rsidRDefault="007045C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PH"/>
        </w:rPr>
      </w:pPr>
      <w:r>
        <w:rPr>
          <w:rFonts w:ascii="Times New Roman" w:hAnsi="Times New Roman" w:cs="Times New Roman"/>
          <w:sz w:val="24"/>
          <w:szCs w:val="24"/>
          <w:lang w:val="en-PH"/>
        </w:rPr>
        <w:br w:type="page"/>
      </w:r>
    </w:p>
    <w:p w14:paraId="739175D9" w14:textId="77777777" w:rsidR="007045C0" w:rsidRDefault="007045C0" w:rsidP="007045C0">
      <w:pPr>
        <w:rPr>
          <w:rFonts w:ascii="Times New Roman" w:hAnsi="Times New Roman" w:cs="Times New Roman"/>
          <w:sz w:val="24"/>
          <w:szCs w:val="24"/>
          <w:lang w:val="en-PH"/>
        </w:rPr>
        <w:sectPr w:rsidR="007045C0" w:rsidSect="007045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B4BB66" w14:textId="77777777" w:rsidR="007045C0" w:rsidRPr="000C1118" w:rsidRDefault="007045C0" w:rsidP="007045C0">
      <w:pPr>
        <w:rPr>
          <w:rFonts w:ascii="Times New Roman" w:hAnsi="Times New Roman" w:cs="Times New Roman"/>
          <w:b/>
          <w:bCs/>
          <w:sz w:val="24"/>
          <w:szCs w:val="24"/>
          <w:lang w:val="en-PH"/>
        </w:rPr>
      </w:pPr>
      <w:r w:rsidRPr="000C1118">
        <w:rPr>
          <w:rFonts w:ascii="Times New Roman" w:hAnsi="Times New Roman" w:cs="Times New Roman"/>
          <w:b/>
          <w:bCs/>
          <w:sz w:val="24"/>
          <w:szCs w:val="24"/>
          <w:lang w:val="en-PH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  <w:lang w:val="en-PH"/>
        </w:rPr>
        <w:t>B</w:t>
      </w:r>
      <w:r w:rsidRPr="000C1118">
        <w:rPr>
          <w:rFonts w:ascii="Times New Roman" w:hAnsi="Times New Roman" w:cs="Times New Roman"/>
          <w:b/>
          <w:bCs/>
          <w:sz w:val="24"/>
          <w:szCs w:val="24"/>
          <w:lang w:val="en-PH"/>
        </w:rPr>
        <w:t xml:space="preserve">: </w:t>
      </w:r>
      <w:r w:rsidRPr="00804CE1">
        <w:rPr>
          <w:rFonts w:ascii="Times New Roman" w:eastAsia="SimSun" w:hAnsi="Times New Roman" w:cs="Times New Roman"/>
          <w:b/>
          <w:sz w:val="24"/>
          <w:szCs w:val="24"/>
        </w:rPr>
        <w:t>CHARACTERISTICS OF INCLUDED STUDIES</w:t>
      </w:r>
    </w:p>
    <w:tbl>
      <w:tblPr>
        <w:tblStyle w:val="TableGrid1"/>
        <w:tblW w:w="536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2922"/>
        <w:gridCol w:w="2539"/>
        <w:gridCol w:w="3209"/>
        <w:gridCol w:w="1126"/>
        <w:gridCol w:w="3152"/>
      </w:tblGrid>
      <w:tr w:rsidR="007045C0" w:rsidRPr="00612A90" w14:paraId="5488AC44" w14:textId="77777777" w:rsidTr="00E26563"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5B861304" w14:textId="77777777" w:rsidR="007045C0" w:rsidRPr="00612A90" w:rsidRDefault="007045C0" w:rsidP="00E26563">
            <w:pPr>
              <w:jc w:val="center"/>
              <w:rPr>
                <w:rFonts w:eastAsia="SimSun"/>
                <w:bCs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Studies Included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946DEC" w14:textId="77777777" w:rsidR="007045C0" w:rsidRPr="00612A90" w:rsidRDefault="007045C0" w:rsidP="00E26563">
            <w:pPr>
              <w:jc w:val="center"/>
              <w:rPr>
                <w:rFonts w:eastAsia="SimSun"/>
                <w:bCs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Population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7649DF08" w14:textId="77777777" w:rsidR="007045C0" w:rsidRPr="00612A90" w:rsidRDefault="007045C0" w:rsidP="00E26563">
            <w:pPr>
              <w:jc w:val="center"/>
              <w:rPr>
                <w:rFonts w:eastAsia="SimSun"/>
                <w:bCs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Intervention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301E" w14:textId="77777777" w:rsidR="007045C0" w:rsidRPr="00612A90" w:rsidRDefault="007045C0" w:rsidP="00E26563">
            <w:pPr>
              <w:jc w:val="center"/>
              <w:rPr>
                <w:rFonts w:eastAsia="SimSun"/>
                <w:bCs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Outcomes Measured</w:t>
            </w:r>
          </w:p>
        </w:tc>
      </w:tr>
      <w:tr w:rsidR="007045C0" w:rsidRPr="00612A90" w14:paraId="37564922" w14:textId="77777777" w:rsidTr="00E26563"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57D7A" w14:textId="77777777" w:rsidR="007045C0" w:rsidRPr="00612A90" w:rsidRDefault="007045C0" w:rsidP="00E26563">
            <w:pPr>
              <w:jc w:val="center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Authors/Year published/Design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B83D0" w14:textId="77777777" w:rsidR="007045C0" w:rsidRPr="00612A90" w:rsidRDefault="007045C0" w:rsidP="00E26563">
            <w:pPr>
              <w:jc w:val="center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Country/Sample/Inclusive dates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C23E" w14:textId="77777777" w:rsidR="007045C0" w:rsidRPr="00612A90" w:rsidRDefault="007045C0" w:rsidP="00E26563">
            <w:pPr>
              <w:jc w:val="center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Inclusion Criteria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48BC9" w14:textId="77777777" w:rsidR="007045C0" w:rsidRPr="00612A90" w:rsidRDefault="007045C0" w:rsidP="00E26563">
            <w:pPr>
              <w:jc w:val="center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Exclusion Criteria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34789" w14:textId="77777777" w:rsidR="007045C0" w:rsidRPr="00612A90" w:rsidRDefault="007045C0" w:rsidP="00E26563">
            <w:pPr>
              <w:jc w:val="center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Dose of IV-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rtPA</w:t>
            </w:r>
            <w:proofErr w:type="spellEnd"/>
          </w:p>
        </w:tc>
        <w:tc>
          <w:tcPr>
            <w:tcW w:w="105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BF802" w14:textId="77777777" w:rsidR="007045C0" w:rsidRPr="00612A90" w:rsidRDefault="007045C0" w:rsidP="00E26563">
            <w:pPr>
              <w:jc w:val="center"/>
              <w:rPr>
                <w:rFonts w:eastAsia="SimSun"/>
                <w:sz w:val="16"/>
                <w:szCs w:val="24"/>
                <w:lang w:val="en-PH"/>
              </w:rPr>
            </w:pPr>
          </w:p>
        </w:tc>
      </w:tr>
      <w:tr w:rsidR="007045C0" w:rsidRPr="00612A90" w14:paraId="5413CBF9" w14:textId="77777777" w:rsidTr="00E26563">
        <w:trPr>
          <w:trHeight w:val="1849"/>
        </w:trPr>
        <w:tc>
          <w:tcPr>
            <w:tcW w:w="675" w:type="pct"/>
            <w:tcBorders>
              <w:top w:val="single" w:sz="4" w:space="0" w:color="auto"/>
            </w:tcBorders>
          </w:tcPr>
          <w:p w14:paraId="0440601E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Mishra et al., 2011</w:t>
            </w:r>
          </w:p>
          <w:p w14:paraId="34B40C4E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Retrospective</w:t>
            </w:r>
            <w:r>
              <w:rPr>
                <w:rFonts w:eastAsia="SimSun"/>
                <w:sz w:val="16"/>
                <w:szCs w:val="24"/>
                <w:lang w:val="en-PH"/>
              </w:rPr>
              <w:t xml:space="preserve"> </w:t>
            </w:r>
            <w:r w:rsidRPr="00612A90">
              <w:rPr>
                <w:rFonts w:eastAsia="SimSun"/>
                <w:sz w:val="16"/>
                <w:szCs w:val="24"/>
                <w:lang w:val="en-PH"/>
              </w:rPr>
              <w:t>Cohort (Registry-Based)</w:t>
            </w:r>
          </w:p>
        </w:tc>
        <w:tc>
          <w:tcPr>
            <w:tcW w:w="976" w:type="pct"/>
            <w:tcBorders>
              <w:top w:val="single" w:sz="4" w:space="0" w:color="auto"/>
            </w:tcBorders>
          </w:tcPr>
          <w:p w14:paraId="7A48E905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Stockholm, Sweden</w:t>
            </w:r>
          </w:p>
          <w:p w14:paraId="5A20591B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Safe Implementation of Thrombolysis in Stroke–International Stroke Thrombolysis Register (SITS-ISTR)</w:t>
            </w:r>
          </w:p>
          <w:p w14:paraId="2607370E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Virtual International Stroke Trials Archive (VISTA) </w:t>
            </w:r>
          </w:p>
          <w:p w14:paraId="7DD7CA2E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December 2002-November 2009.</w:t>
            </w:r>
          </w:p>
        </w:tc>
        <w:tc>
          <w:tcPr>
            <w:tcW w:w="848" w:type="pct"/>
            <w:tcBorders>
              <w:top w:val="single" w:sz="4" w:space="0" w:color="auto"/>
            </w:tcBorders>
          </w:tcPr>
          <w:p w14:paraId="5A744C75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Patients who fulfilled the SITS-MOST criteria for intravenous thrombolysis (IVT) </w:t>
            </w:r>
          </w:p>
          <w:p w14:paraId="3AA6072F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  <w:p w14:paraId="0E6E7862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IV-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rtPA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in a standard 0.9 mg/kg dose within 3 - 4.5-h time window from stroke onset.</w:t>
            </w:r>
          </w:p>
          <w:p w14:paraId="3F0D0711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  <w:p w14:paraId="71D4EB3E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(+) consent for data to be included in the registry.</w:t>
            </w:r>
          </w:p>
          <w:p w14:paraId="1051A216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26C3E383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Non-ischemic stroke</w:t>
            </w:r>
          </w:p>
          <w:p w14:paraId="43FBD0F0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Missing data on Modified Rankin Scale at 90 days</w:t>
            </w:r>
          </w:p>
          <w:p w14:paraId="2E8B5171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Beyond the time window</w:t>
            </w:r>
          </w:p>
          <w:p w14:paraId="31C0361E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Incomplete and erroneous data</w:t>
            </w:r>
          </w:p>
          <w:p w14:paraId="35E8DD1D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Stroke within the last three months 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41776E90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bCs/>
                <w:sz w:val="16"/>
                <w:szCs w:val="24"/>
              </w:rPr>
              <w:t xml:space="preserve">0.9 mg/kg dose </w:t>
            </w: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of IV-</w:t>
            </w:r>
            <w:proofErr w:type="spellStart"/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rtPA</w:t>
            </w:r>
            <w:proofErr w:type="spellEnd"/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14:paraId="1DD959AA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Favorable outcome (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mRS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0-2)</w:t>
            </w:r>
          </w:p>
          <w:p w14:paraId="36518FF2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Uunfavorable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outcome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mRS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(3-5)</w:t>
            </w:r>
          </w:p>
          <w:p w14:paraId="720C11CD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Death </w:t>
            </w:r>
          </w:p>
        </w:tc>
      </w:tr>
      <w:tr w:rsidR="007045C0" w:rsidRPr="00612A90" w14:paraId="4E77DBEF" w14:textId="77777777" w:rsidTr="00E26563">
        <w:tc>
          <w:tcPr>
            <w:tcW w:w="675" w:type="pct"/>
          </w:tcPr>
          <w:p w14:paraId="1684FBE2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Fuentes et al., 2011</w:t>
            </w:r>
          </w:p>
          <w:p w14:paraId="06BFBA36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Observational analysis of a multi-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centre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stroke registry with prospective inclusion. (Registry-based)</w:t>
            </w:r>
          </w:p>
        </w:tc>
        <w:tc>
          <w:tcPr>
            <w:tcW w:w="976" w:type="pct"/>
          </w:tcPr>
          <w:p w14:paraId="04576A6F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Madrid Stroke Network.</w:t>
            </w:r>
          </w:p>
          <w:p w14:paraId="289ADC5F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January 2003-December 2010.</w:t>
            </w:r>
            <w:r w:rsidRPr="00612A90">
              <w:rPr>
                <w:rFonts w:eastAsia="SimSun"/>
                <w:sz w:val="16"/>
                <w:szCs w:val="24"/>
                <w:lang w:val="en-PH"/>
              </w:rPr>
              <w:br/>
            </w:r>
          </w:p>
        </w:tc>
        <w:tc>
          <w:tcPr>
            <w:tcW w:w="848" w:type="pct"/>
          </w:tcPr>
          <w:p w14:paraId="5804FD41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Patients who fulfilled the SITS-MOST criteria for intravenous thrombolysis (IVT) </w:t>
            </w:r>
          </w:p>
          <w:p w14:paraId="52749129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  <w:p w14:paraId="5CF1B6F9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IV-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rtPA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in a standard 0.9 mg/kg dose within 3 - 4.5-h time window from stroke onset.</w:t>
            </w:r>
          </w:p>
          <w:p w14:paraId="40054992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  <w:p w14:paraId="25E43B16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(+) consent for data to be included in the registry.</w:t>
            </w:r>
          </w:p>
          <w:p w14:paraId="3FBB74B0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</w:tc>
        <w:tc>
          <w:tcPr>
            <w:tcW w:w="1072" w:type="pct"/>
          </w:tcPr>
          <w:p w14:paraId="15785889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Non-ischemic stroke</w:t>
            </w:r>
          </w:p>
          <w:p w14:paraId="44E93605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Missing data on Modified Rankin Scale at 90 days</w:t>
            </w:r>
          </w:p>
          <w:p w14:paraId="41CA24C6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Beyond the time window</w:t>
            </w:r>
          </w:p>
          <w:p w14:paraId="02F19A4C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Incomplete and erroneous data</w:t>
            </w:r>
          </w:p>
          <w:p w14:paraId="09B90B56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Stroke within the last three months</w:t>
            </w:r>
          </w:p>
        </w:tc>
        <w:tc>
          <w:tcPr>
            <w:tcW w:w="376" w:type="pct"/>
          </w:tcPr>
          <w:p w14:paraId="1AF49ECA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bCs/>
                <w:sz w:val="16"/>
                <w:szCs w:val="24"/>
              </w:rPr>
              <w:t xml:space="preserve">0.9 mg/kg dose </w:t>
            </w: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of IV-</w:t>
            </w:r>
            <w:proofErr w:type="spellStart"/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rtPA</w:t>
            </w:r>
            <w:proofErr w:type="spellEnd"/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 xml:space="preserve"> </w:t>
            </w:r>
          </w:p>
        </w:tc>
        <w:tc>
          <w:tcPr>
            <w:tcW w:w="1053" w:type="pct"/>
          </w:tcPr>
          <w:p w14:paraId="357C6CDD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Favorable outcome (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mRS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0-2)</w:t>
            </w:r>
          </w:p>
          <w:p w14:paraId="01691B70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Uunfavorable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outcome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mRS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(3-5)</w:t>
            </w:r>
          </w:p>
          <w:p w14:paraId="384E5BDF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Death</w:t>
            </w:r>
          </w:p>
          <w:p w14:paraId="31275F18" w14:textId="77777777" w:rsidR="007045C0" w:rsidRPr="00612A90" w:rsidRDefault="007045C0" w:rsidP="007045C0">
            <w:pPr>
              <w:numPr>
                <w:ilvl w:val="0"/>
                <w:numId w:val="1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sICH</w:t>
            </w:r>
            <w:proofErr w:type="spellEnd"/>
          </w:p>
        </w:tc>
      </w:tr>
      <w:tr w:rsidR="007045C0" w:rsidRPr="00612A90" w14:paraId="6F3515AA" w14:textId="77777777" w:rsidTr="00E26563">
        <w:tc>
          <w:tcPr>
            <w:tcW w:w="675" w:type="pct"/>
          </w:tcPr>
          <w:p w14:paraId="673D2CD9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Filipov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et al., 2018</w:t>
            </w:r>
          </w:p>
          <w:p w14:paraId="30EE768C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Restrospective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Review (Stroke Database) </w:t>
            </w:r>
          </w:p>
        </w:tc>
        <w:tc>
          <w:tcPr>
            <w:tcW w:w="976" w:type="pct"/>
          </w:tcPr>
          <w:p w14:paraId="47469A0C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Germany</w:t>
            </w:r>
          </w:p>
          <w:p w14:paraId="7A90993F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January 2013-July 2015</w:t>
            </w:r>
          </w:p>
        </w:tc>
        <w:tc>
          <w:tcPr>
            <w:tcW w:w="848" w:type="pct"/>
          </w:tcPr>
          <w:p w14:paraId="1853EC64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Patients who underwent IVT after standardized stroke treatment and workup according to national guidelines.</w:t>
            </w:r>
          </w:p>
          <w:p w14:paraId="66A07E62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</w:p>
        </w:tc>
        <w:tc>
          <w:tcPr>
            <w:tcW w:w="1072" w:type="pct"/>
          </w:tcPr>
          <w:p w14:paraId="361D6F70" w14:textId="77777777" w:rsidR="007045C0" w:rsidRPr="00612A90" w:rsidRDefault="007045C0" w:rsidP="00E26563">
            <w:pPr>
              <w:ind w:left="720"/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NA</w:t>
            </w:r>
          </w:p>
        </w:tc>
        <w:tc>
          <w:tcPr>
            <w:tcW w:w="376" w:type="pct"/>
          </w:tcPr>
          <w:p w14:paraId="2248DC81" w14:textId="77777777" w:rsidR="007045C0" w:rsidRPr="00612A90" w:rsidRDefault="007045C0" w:rsidP="00E26563">
            <w:pPr>
              <w:jc w:val="left"/>
              <w:rPr>
                <w:rFonts w:eastAsia="SimSun"/>
                <w:bCs/>
                <w:sz w:val="16"/>
                <w:szCs w:val="24"/>
              </w:rPr>
            </w:pPr>
            <w:r w:rsidRPr="00612A90">
              <w:rPr>
                <w:rFonts w:eastAsia="SimSun"/>
                <w:bCs/>
                <w:sz w:val="16"/>
                <w:szCs w:val="24"/>
              </w:rPr>
              <w:t>NA</w:t>
            </w:r>
          </w:p>
        </w:tc>
        <w:tc>
          <w:tcPr>
            <w:tcW w:w="1053" w:type="pct"/>
          </w:tcPr>
          <w:p w14:paraId="603FF8E8" w14:textId="77777777" w:rsidR="007045C0" w:rsidRPr="00612A90" w:rsidRDefault="007045C0" w:rsidP="007045C0">
            <w:pPr>
              <w:numPr>
                <w:ilvl w:val="0"/>
                <w:numId w:val="2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sICH</w:t>
            </w:r>
            <w:proofErr w:type="spellEnd"/>
          </w:p>
          <w:p w14:paraId="113CD764" w14:textId="77777777" w:rsidR="007045C0" w:rsidRPr="00612A90" w:rsidRDefault="007045C0" w:rsidP="007045C0">
            <w:pPr>
              <w:numPr>
                <w:ilvl w:val="0"/>
                <w:numId w:val="2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Outcome in terms of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mRS</w:t>
            </w:r>
            <w:proofErr w:type="spellEnd"/>
          </w:p>
          <w:p w14:paraId="661FDB83" w14:textId="77777777" w:rsidR="007045C0" w:rsidRPr="00612A90" w:rsidRDefault="007045C0" w:rsidP="007045C0">
            <w:pPr>
              <w:numPr>
                <w:ilvl w:val="0"/>
                <w:numId w:val="2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Death</w:t>
            </w:r>
          </w:p>
        </w:tc>
      </w:tr>
      <w:tr w:rsidR="007045C0" w:rsidRPr="00612A90" w14:paraId="358D3CC2" w14:textId="77777777" w:rsidTr="00E26563">
        <w:tc>
          <w:tcPr>
            <w:tcW w:w="675" w:type="pct"/>
          </w:tcPr>
          <w:p w14:paraId="628D1C3B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Ehrlich, M. et al., 2019</w:t>
            </w:r>
          </w:p>
          <w:p w14:paraId="5A80FED7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Observational (Cohort) analysis of a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multicentre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stroke registry</w:t>
            </w:r>
            <w:r>
              <w:rPr>
                <w:rFonts w:eastAsia="SimSun"/>
                <w:sz w:val="16"/>
                <w:szCs w:val="24"/>
                <w:lang w:val="en-PH"/>
              </w:rPr>
              <w:t xml:space="preserve"> </w:t>
            </w:r>
            <w:r w:rsidRPr="00612A90">
              <w:rPr>
                <w:rFonts w:eastAsia="SimSun"/>
                <w:sz w:val="16"/>
                <w:szCs w:val="24"/>
                <w:lang w:val="en-PH"/>
              </w:rPr>
              <w:t>with prospective inclusion.</w:t>
            </w:r>
          </w:p>
          <w:p w14:paraId="21BD5E2A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(Registry-based)</w:t>
            </w:r>
          </w:p>
        </w:tc>
        <w:tc>
          <w:tcPr>
            <w:tcW w:w="976" w:type="pct"/>
          </w:tcPr>
          <w:p w14:paraId="78D245D9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United States</w:t>
            </w:r>
          </w:p>
          <w:p w14:paraId="35CE98CF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Get with the Guidelines-Stroke Registry </w:t>
            </w:r>
          </w:p>
          <w:p w14:paraId="51C90428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February 2009-September 2017 </w:t>
            </w:r>
          </w:p>
        </w:tc>
        <w:tc>
          <w:tcPr>
            <w:tcW w:w="848" w:type="pct"/>
          </w:tcPr>
          <w:p w14:paraId="27B14CE6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Patients from GWTG-Stroke from February 2009 to October 2017 who were treated with IV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tPA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between 3 and 4.5 hours from symptom onset or last known well time.</w:t>
            </w:r>
          </w:p>
        </w:tc>
        <w:tc>
          <w:tcPr>
            <w:tcW w:w="1072" w:type="pct"/>
          </w:tcPr>
          <w:p w14:paraId="57DFC947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In-hospital stroke.</w:t>
            </w:r>
          </w:p>
          <w:p w14:paraId="3F398BB3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Received experimental IV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tPA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or catheter-based treatments, were treated with IV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tPA</w:t>
            </w:r>
            <w:proofErr w:type="spellEnd"/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 at another hospital, transferred in from another hospital, or had missing data in medical history. </w:t>
            </w:r>
          </w:p>
          <w:p w14:paraId="1DB122E1" w14:textId="77777777" w:rsidR="007045C0" w:rsidRPr="00612A90" w:rsidRDefault="007045C0" w:rsidP="00E26563">
            <w:pPr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Patients were excluded who had either prior stroke or DM but not both.</w:t>
            </w:r>
          </w:p>
        </w:tc>
        <w:tc>
          <w:tcPr>
            <w:tcW w:w="376" w:type="pct"/>
          </w:tcPr>
          <w:p w14:paraId="2F93C4D7" w14:textId="77777777" w:rsidR="007045C0" w:rsidRPr="00612A90" w:rsidRDefault="007045C0" w:rsidP="00E26563">
            <w:pPr>
              <w:jc w:val="left"/>
              <w:rPr>
                <w:rFonts w:eastAsia="SimSun"/>
                <w:bCs/>
                <w:sz w:val="16"/>
                <w:szCs w:val="24"/>
              </w:rPr>
            </w:pPr>
            <w:r w:rsidRPr="00612A90">
              <w:rPr>
                <w:rFonts w:eastAsia="SimSun"/>
                <w:bCs/>
                <w:sz w:val="16"/>
                <w:szCs w:val="24"/>
              </w:rPr>
              <w:t xml:space="preserve">0.9 mg/kg dose </w:t>
            </w:r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of IV-</w:t>
            </w:r>
            <w:proofErr w:type="spellStart"/>
            <w:r w:rsidRPr="00612A90">
              <w:rPr>
                <w:rFonts w:eastAsia="SimSun"/>
                <w:bCs/>
                <w:sz w:val="16"/>
                <w:szCs w:val="24"/>
                <w:lang w:val="en-PH"/>
              </w:rPr>
              <w:t>rtPA</w:t>
            </w:r>
            <w:proofErr w:type="spellEnd"/>
          </w:p>
        </w:tc>
        <w:tc>
          <w:tcPr>
            <w:tcW w:w="1053" w:type="pct"/>
          </w:tcPr>
          <w:p w14:paraId="52F3414C" w14:textId="77777777" w:rsidR="007045C0" w:rsidRPr="00612A90" w:rsidRDefault="007045C0" w:rsidP="007045C0">
            <w:pPr>
              <w:numPr>
                <w:ilvl w:val="0"/>
                <w:numId w:val="2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sICH</w:t>
            </w:r>
            <w:proofErr w:type="spellEnd"/>
          </w:p>
          <w:p w14:paraId="591CEE9A" w14:textId="77777777" w:rsidR="007045C0" w:rsidRPr="00612A90" w:rsidRDefault="007045C0" w:rsidP="007045C0">
            <w:pPr>
              <w:numPr>
                <w:ilvl w:val="0"/>
                <w:numId w:val="2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 xml:space="preserve">Outcome in terms of </w:t>
            </w:r>
            <w:proofErr w:type="spellStart"/>
            <w:r w:rsidRPr="00612A90">
              <w:rPr>
                <w:rFonts w:eastAsia="SimSun"/>
                <w:sz w:val="16"/>
                <w:szCs w:val="24"/>
                <w:lang w:val="en-PH"/>
              </w:rPr>
              <w:t>mRS</w:t>
            </w:r>
            <w:proofErr w:type="spellEnd"/>
          </w:p>
          <w:p w14:paraId="45FA7CA9" w14:textId="77777777" w:rsidR="007045C0" w:rsidRPr="00612A90" w:rsidRDefault="007045C0" w:rsidP="007045C0">
            <w:pPr>
              <w:numPr>
                <w:ilvl w:val="0"/>
                <w:numId w:val="2"/>
              </w:numPr>
              <w:contextualSpacing/>
              <w:jc w:val="left"/>
              <w:rPr>
                <w:rFonts w:eastAsia="SimSun"/>
                <w:sz w:val="16"/>
                <w:szCs w:val="24"/>
                <w:lang w:val="en-PH"/>
              </w:rPr>
            </w:pPr>
            <w:r w:rsidRPr="00612A90">
              <w:rPr>
                <w:rFonts w:eastAsia="SimSun"/>
                <w:sz w:val="16"/>
                <w:szCs w:val="24"/>
                <w:lang w:val="en-PH"/>
              </w:rPr>
              <w:t>Death</w:t>
            </w:r>
          </w:p>
        </w:tc>
      </w:tr>
    </w:tbl>
    <w:p w14:paraId="06609E65" w14:textId="77777777" w:rsidR="007045C0" w:rsidRDefault="007045C0" w:rsidP="007045C0">
      <w:pPr>
        <w:rPr>
          <w:rFonts w:ascii="Times New Roman" w:hAnsi="Times New Roman" w:cs="Times New Roman"/>
          <w:sz w:val="24"/>
          <w:szCs w:val="24"/>
          <w:lang w:val="en-PH"/>
        </w:rPr>
        <w:sectPr w:rsidR="007045C0" w:rsidSect="00476F47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Spec="center" w:tblpY="32"/>
        <w:tblOverlap w:val="never"/>
        <w:tblW w:w="15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051"/>
        <w:gridCol w:w="1474"/>
        <w:gridCol w:w="1583"/>
        <w:gridCol w:w="1613"/>
        <w:gridCol w:w="54"/>
        <w:gridCol w:w="1707"/>
        <w:gridCol w:w="54"/>
        <w:gridCol w:w="1473"/>
        <w:gridCol w:w="1478"/>
        <w:gridCol w:w="1473"/>
        <w:gridCol w:w="1116"/>
        <w:gridCol w:w="7"/>
      </w:tblGrid>
      <w:tr w:rsidR="007045C0" w:rsidRPr="0028213E" w14:paraId="5F209D72" w14:textId="77777777" w:rsidTr="00E26563">
        <w:trPr>
          <w:trHeight w:val="438"/>
          <w:jc w:val="center"/>
        </w:trPr>
        <w:tc>
          <w:tcPr>
            <w:tcW w:w="12739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42DA8D" w14:textId="77777777" w:rsidR="007045C0" w:rsidRPr="0028213E" w:rsidRDefault="007045C0" w:rsidP="00E26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PH"/>
              </w:rPr>
            </w:pPr>
            <w:r w:rsidRPr="00282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PH"/>
              </w:rPr>
              <w:lastRenderedPageBreak/>
              <w:t xml:space="preserve">APPENDIX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PH"/>
              </w:rPr>
              <w:t>C</w:t>
            </w:r>
            <w:r w:rsidRPr="00282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PH"/>
              </w:rPr>
              <w:t xml:space="preserve">: </w:t>
            </w:r>
            <w:r w:rsidRPr="0028213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PH"/>
              </w:rPr>
              <w:t>Newcastle-Ottawa Scale</w:t>
            </w:r>
          </w:p>
          <w:p w14:paraId="60C7341A" w14:textId="77777777" w:rsidR="007045C0" w:rsidRPr="0028213E" w:rsidRDefault="007045C0" w:rsidP="00E26563">
            <w:pPr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</w:pPr>
          </w:p>
          <w:p w14:paraId="5526C454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Newcastle–Ottawa 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PH" w:bidi="ar"/>
              </w:rPr>
              <w:t>S</w:t>
            </w:r>
            <w:proofErr w:type="spell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cale</w:t>
            </w:r>
            <w:proofErr w:type="spell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for 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PH" w:bidi="ar"/>
              </w:rPr>
              <w:t>C</w:t>
            </w:r>
            <w:proofErr w:type="spell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ohort</w:t>
            </w:r>
            <w:proofErr w:type="spell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PH" w:bidi="ar"/>
              </w:rPr>
              <w:t>S</w:t>
            </w:r>
            <w:proofErr w:type="spell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tudies</w:t>
            </w:r>
            <w:proofErr w:type="spellEnd"/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6A029" w14:textId="77777777" w:rsidR="007045C0" w:rsidRPr="0028213E" w:rsidRDefault="007045C0" w:rsidP="00E2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7B0FF8" w14:textId="77777777" w:rsidR="007045C0" w:rsidRPr="0028213E" w:rsidRDefault="007045C0" w:rsidP="00E2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5C0" w:rsidRPr="0028213E" w14:paraId="1B9C0133" w14:textId="77777777" w:rsidTr="00E26563">
        <w:trPr>
          <w:trHeight w:val="298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FE1A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Study, Year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br/>
              <w:t>(Reference)</w:t>
            </w:r>
          </w:p>
        </w:tc>
        <w:tc>
          <w:tcPr>
            <w:tcW w:w="672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4DD32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Selection</w:t>
            </w:r>
          </w:p>
        </w:tc>
        <w:tc>
          <w:tcPr>
            <w:tcW w:w="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36B861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4C5826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Comparability</w:t>
            </w:r>
          </w:p>
        </w:tc>
        <w:tc>
          <w:tcPr>
            <w:tcW w:w="54" w:type="dxa"/>
            <w:shd w:val="clear" w:color="auto" w:fill="auto"/>
            <w:vAlign w:val="center"/>
          </w:tcPr>
          <w:p w14:paraId="30DE8DC3" w14:textId="77777777" w:rsidR="007045C0" w:rsidRPr="0028213E" w:rsidRDefault="007045C0" w:rsidP="00E2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14:paraId="64F13127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Outcome</w:t>
            </w:r>
          </w:p>
        </w:tc>
        <w:tc>
          <w:tcPr>
            <w:tcW w:w="11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791AB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Aggregate score</w:t>
            </w:r>
          </w:p>
        </w:tc>
      </w:tr>
      <w:tr w:rsidR="007045C0" w:rsidRPr="0028213E" w14:paraId="3C12A5CC" w14:textId="77777777" w:rsidTr="00E26563">
        <w:trPr>
          <w:gridAfter w:val="1"/>
          <w:wAfter w:w="7" w:type="dxa"/>
          <w:trHeight w:val="1489"/>
          <w:jc w:val="center"/>
        </w:trPr>
        <w:tc>
          <w:tcPr>
            <w:tcW w:w="125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6BE38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C4922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Representativeness of the exposed cohort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br/>
              <w:t>(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2E4837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Selection of the non-exposed cohort (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5158F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Ascertainment of exposure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br/>
              <w:t>(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8F5E8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Demonstration that outcome of interest was not present at start of study (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E686C" w14:textId="77777777" w:rsidR="007045C0" w:rsidRPr="0028213E" w:rsidRDefault="007045C0" w:rsidP="00E265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8D857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Comparability of cohorts on the basis of the design or analysis (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*)</w:t>
            </w:r>
          </w:p>
        </w:tc>
        <w:tc>
          <w:tcPr>
            <w:tcW w:w="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07687" w14:textId="77777777" w:rsidR="007045C0" w:rsidRPr="0028213E" w:rsidRDefault="007045C0" w:rsidP="00E26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175F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Assessment of outcome</w:t>
            </w: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br/>
              <w:t>(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D7ACA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Was follow up long enough for outcomes to occur          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  (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>maximum:*)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8B27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Adequacy of follow up of cohorts       </w:t>
            </w:r>
            <w:proofErr w:type="gramStart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   (</w:t>
            </w:r>
            <w:proofErr w:type="gramEnd"/>
            <w:r w:rsidRPr="002821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ar"/>
              </w:rPr>
              <w:t xml:space="preserve">maximum:*) 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2FCA2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45C0" w:rsidRPr="0028213E" w14:paraId="755660DA" w14:textId="77777777" w:rsidTr="00E26563">
        <w:trPr>
          <w:gridAfter w:val="1"/>
          <w:wAfter w:w="7" w:type="dxa"/>
          <w:trHeight w:val="33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326F5FDF" w14:textId="77777777" w:rsidR="007045C0" w:rsidRPr="0028213E" w:rsidRDefault="007045C0" w:rsidP="00E26563">
            <w:pPr>
              <w:textAlignment w:val="center"/>
              <w:rPr>
                <w:rFonts w:ascii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4472C4"/>
                <w:sz w:val="24"/>
                <w:szCs w:val="24"/>
                <w:lang w:bidi="ar"/>
              </w:rPr>
              <w:t>Fuentes et al. 2011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5BDC2E7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EB1068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3E11C41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E05C579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54" w:type="dxa"/>
            <w:shd w:val="clear" w:color="auto" w:fill="auto"/>
            <w:vAlign w:val="center"/>
          </w:tcPr>
          <w:p w14:paraId="3E75A752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2A0D213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54" w:type="dxa"/>
            <w:shd w:val="clear" w:color="auto" w:fill="auto"/>
            <w:vAlign w:val="center"/>
          </w:tcPr>
          <w:p w14:paraId="2EA80236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E69AD40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7287613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6467A44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CD417D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*****</w:t>
            </w: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</w:tr>
      <w:tr w:rsidR="007045C0" w:rsidRPr="0028213E" w14:paraId="0D88A0DA" w14:textId="77777777" w:rsidTr="00E26563">
        <w:trPr>
          <w:gridAfter w:val="1"/>
          <w:wAfter w:w="7" w:type="dxa"/>
          <w:trHeight w:val="33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0DCE828F" w14:textId="77777777" w:rsidR="007045C0" w:rsidRPr="0028213E" w:rsidRDefault="007045C0" w:rsidP="00E26563">
            <w:pPr>
              <w:textAlignment w:val="center"/>
              <w:rPr>
                <w:rFonts w:ascii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4472C4"/>
                <w:sz w:val="24"/>
                <w:szCs w:val="24"/>
                <w:lang w:bidi="ar"/>
              </w:rPr>
              <w:t>Mishra et al. 2011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6736910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4925EBB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E49168F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4F331A2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54" w:type="dxa"/>
            <w:shd w:val="clear" w:color="auto" w:fill="auto"/>
            <w:vAlign w:val="center"/>
          </w:tcPr>
          <w:p w14:paraId="20C3EAD8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71535E4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54" w:type="dxa"/>
            <w:shd w:val="clear" w:color="auto" w:fill="auto"/>
            <w:vAlign w:val="center"/>
          </w:tcPr>
          <w:p w14:paraId="23C12201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342405A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FAB9B2E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56D0F6C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F588A9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*****</w:t>
            </w: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</w:tr>
      <w:tr w:rsidR="007045C0" w:rsidRPr="0028213E" w14:paraId="65874C22" w14:textId="77777777" w:rsidTr="00E26563">
        <w:trPr>
          <w:gridAfter w:val="1"/>
          <w:wAfter w:w="7" w:type="dxa"/>
          <w:trHeight w:val="59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D8F7C6C" w14:textId="77777777" w:rsidR="007045C0" w:rsidRPr="0028213E" w:rsidRDefault="007045C0" w:rsidP="00E26563">
            <w:pPr>
              <w:textAlignment w:val="center"/>
              <w:rPr>
                <w:rFonts w:ascii="Times New Roman" w:eastAsia="SimSun" w:hAnsi="Times New Roman" w:cs="Times New Roman"/>
                <w:b/>
                <w:color w:val="4472C4"/>
                <w:sz w:val="24"/>
                <w:szCs w:val="24"/>
                <w:lang w:val="en-PH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4472C4"/>
                <w:sz w:val="24"/>
                <w:szCs w:val="24"/>
                <w:lang w:val="en-PH" w:bidi="ar"/>
              </w:rPr>
              <w:t>Filipov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4472C4"/>
                <w:sz w:val="24"/>
                <w:szCs w:val="24"/>
                <w:lang w:val="en-PH" w:bidi="ar"/>
              </w:rPr>
              <w:t xml:space="preserve"> et al., 2018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4A5220A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E179534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9C3AEE1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18B00D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54" w:type="dxa"/>
            <w:shd w:val="clear" w:color="auto" w:fill="auto"/>
            <w:vAlign w:val="center"/>
          </w:tcPr>
          <w:p w14:paraId="5526B30B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8AFA269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54" w:type="dxa"/>
            <w:shd w:val="clear" w:color="auto" w:fill="auto"/>
            <w:vAlign w:val="center"/>
          </w:tcPr>
          <w:p w14:paraId="14F661D3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B13A0A9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B075866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3D71532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551EB2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******</w:t>
            </w:r>
          </w:p>
        </w:tc>
      </w:tr>
      <w:tr w:rsidR="007045C0" w:rsidRPr="0028213E" w14:paraId="425DD3FA" w14:textId="77777777" w:rsidTr="00E26563">
        <w:trPr>
          <w:gridAfter w:val="1"/>
          <w:wAfter w:w="7" w:type="dxa"/>
          <w:trHeight w:val="595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9A68" w14:textId="77777777" w:rsidR="007045C0" w:rsidRPr="0028213E" w:rsidRDefault="007045C0" w:rsidP="00E26563">
            <w:pPr>
              <w:textAlignment w:val="center"/>
              <w:rPr>
                <w:rFonts w:ascii="Times New Roman" w:hAnsi="Times New Roman" w:cs="Times New Roman"/>
                <w:b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b/>
                <w:color w:val="4472C4"/>
                <w:sz w:val="24"/>
                <w:szCs w:val="24"/>
                <w:lang w:val="en-PH" w:bidi="ar"/>
              </w:rPr>
              <w:t>Ehrlich, et al., 2019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4A64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CA87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5B9C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3CDA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2E1F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1435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810E4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CDA49" w14:textId="77777777" w:rsidR="007045C0" w:rsidRPr="0028213E" w:rsidRDefault="007045C0" w:rsidP="00E26563">
            <w:pPr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F0C19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FCBEF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F7A26" w14:textId="77777777" w:rsidR="007045C0" w:rsidRPr="0028213E" w:rsidRDefault="007045C0" w:rsidP="00E26563">
            <w:pPr>
              <w:jc w:val="center"/>
              <w:textAlignment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8213E"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*****</w:t>
            </w:r>
            <w:r>
              <w:rPr>
                <w:rFonts w:ascii="Times New Roman" w:eastAsia="SimSun" w:hAnsi="Times New Roman" w:cs="Times New Roman"/>
                <w:color w:val="4472C4"/>
                <w:sz w:val="24"/>
                <w:szCs w:val="24"/>
                <w:lang w:bidi="ar"/>
              </w:rPr>
              <w:t>*</w:t>
            </w:r>
          </w:p>
        </w:tc>
      </w:tr>
    </w:tbl>
    <w:p w14:paraId="3E984C39" w14:textId="1D463CDD" w:rsidR="007045C0" w:rsidRDefault="007045C0">
      <w:pPr>
        <w:spacing w:after="160" w:line="259" w:lineRule="auto"/>
      </w:pPr>
      <w:bookmarkStart w:id="0" w:name="_GoBack"/>
      <w:bookmarkEnd w:id="0"/>
    </w:p>
    <w:p w14:paraId="18ED9A07" w14:textId="77777777" w:rsidR="000509F8" w:rsidRPr="007045C0" w:rsidRDefault="000509F8" w:rsidP="007045C0"/>
    <w:sectPr w:rsidR="000509F8" w:rsidRPr="007045C0" w:rsidSect="007045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02C22"/>
    <w:multiLevelType w:val="hybridMultilevel"/>
    <w:tmpl w:val="E25209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24CD9"/>
    <w:multiLevelType w:val="hybridMultilevel"/>
    <w:tmpl w:val="B816BF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C0"/>
    <w:rsid w:val="000509F8"/>
    <w:rsid w:val="007045C0"/>
    <w:rsid w:val="00D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C65"/>
  <w15:chartTrackingRefBased/>
  <w15:docId w15:val="{D0A14FDE-7B59-4E3B-88BC-4B08EE00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45C0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045C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qFormat/>
    <w:rsid w:val="007045C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C0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PAJO</dc:creator>
  <cp:keywords/>
  <dc:description/>
  <cp:lastModifiedBy>AZALEA PAJO</cp:lastModifiedBy>
  <cp:revision>1</cp:revision>
  <dcterms:created xsi:type="dcterms:W3CDTF">2020-03-18T03:43:00Z</dcterms:created>
  <dcterms:modified xsi:type="dcterms:W3CDTF">2020-03-18T03:55:00Z</dcterms:modified>
</cp:coreProperties>
</file>