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rPr>
      </w:pPr>
      <w:r>
        <w:rPr>
          <w:rFonts w:ascii="Times New Roman" w:hAnsi="Times New Roman" w:cs="Times New Roman"/>
          <w:b/>
          <w:bCs/>
        </w:rPr>
        <w:t>Supplementary material</w:t>
      </w:r>
    </w:p>
    <w:p>
      <w:pPr>
        <w:rPr>
          <w:rFonts w:ascii="Times New Roman" w:hAnsi="Times New Roman" w:cs="Times New Roman"/>
          <w:b/>
          <w:bCs/>
        </w:rPr>
      </w:pPr>
    </w:p>
    <w:p>
      <w:pPr>
        <w:rPr>
          <w:rFonts w:ascii="Times New Roman" w:hAnsi="Times New Roman" w:cs="Times New Roman"/>
          <w:b/>
          <w:bCs/>
        </w:rPr>
      </w:pPr>
      <w:r>
        <w:rPr>
          <w:rFonts w:ascii="Times New Roman" w:hAnsi="Times New Roman" w:cs="Times New Roman"/>
          <w:b/>
          <w:bCs/>
        </w:rPr>
        <w:t>Methods</w:t>
      </w:r>
    </w:p>
    <w:p>
      <w:pPr>
        <w:rPr>
          <w:rFonts w:ascii="Times New Roman" w:hAnsi="Times New Roman" w:cs="Times New Roman"/>
          <w:b/>
          <w:bCs/>
        </w:rPr>
      </w:pPr>
      <w:r>
        <w:rPr>
          <w:rFonts w:ascii="Times New Roman" w:hAnsi="Times New Roman" w:cs="Times New Roman"/>
          <w:b/>
          <w:bCs/>
        </w:rPr>
        <w:t>Patient selection</w:t>
      </w:r>
    </w:p>
    <w:p>
      <w:pPr>
        <w:jc w:val="both"/>
        <w:rPr>
          <w:rFonts w:hint="default" w:ascii="Times New Roman" w:hAnsi="Times New Roman" w:eastAsia="Times New Roman"/>
          <w:lang w:val="en-US"/>
        </w:rPr>
      </w:pPr>
      <w:r>
        <w:rPr>
          <w:rFonts w:ascii="Times New Roman" w:hAnsi="Times New Roman" w:eastAsia="Times New Roman" w:cs="Times New Roman"/>
          <w:lang w:val="en-US"/>
        </w:rPr>
        <w:t>From PPMI cohort, patients were selected if had available DaTscan© data in more than 2 visits. Of these, only patients with available baseline CSF-sphingolipid and serum NfL biomarkers were selected.</w:t>
      </w:r>
      <w:r>
        <w:rPr>
          <w:rFonts w:hint="default" w:ascii="Times New Roman" w:hAnsi="Times New Roman" w:eastAsia="Times New Roman" w:cs="Times New Roman"/>
          <w:lang w:val="en-US"/>
        </w:rPr>
        <w:t xml:space="preserve"> M</w:t>
      </w:r>
      <w:r>
        <w:rPr>
          <w:rFonts w:hint="default" w:ascii="Times New Roman" w:hAnsi="Times New Roman" w:eastAsia="Times New Roman"/>
          <w:lang w:val="en-US"/>
        </w:rPr>
        <w:t>ass spectroscopy results of sphingolipids were measured at the laboratory in University of Iowa, and PPMI researchers have provided the exact delay times from collection to analysis dates. Based on the RUNDATE variable of the sphingolipids the difference between enrollment date resulting in a mean storage time of 2468.5 (SD= 239) days.</w:t>
      </w:r>
    </w:p>
    <w:p>
      <w:pPr>
        <w:jc w:val="both"/>
        <w:rPr>
          <w:rFonts w:hint="default" w:ascii="Times New Roman" w:hAnsi="Times New Roman" w:eastAsia="Times New Roman"/>
          <w:lang w:val="en-US"/>
        </w:rPr>
      </w:pPr>
    </w:p>
    <w:p>
      <w:pPr>
        <w:jc w:val="both"/>
        <w:rPr>
          <w:rFonts w:ascii="Times New Roman" w:hAnsi="Times New Roman" w:eastAsia="Times New Roman" w:cs="Times New Roman"/>
          <w:b/>
          <w:bCs/>
          <w:lang w:val="en-US"/>
        </w:rPr>
      </w:pPr>
      <w:r>
        <w:rPr>
          <w:rFonts w:ascii="Times New Roman" w:hAnsi="Times New Roman" w:eastAsia="Times New Roman" w:cs="Times New Roman"/>
          <w:b/>
          <w:bCs/>
          <w:lang w:val="en-US"/>
        </w:rPr>
        <w:t>Results</w:t>
      </w:r>
    </w:p>
    <w:p>
      <w:pPr>
        <w:jc w:val="both"/>
        <w:rPr>
          <w:rFonts w:ascii="Times New Roman" w:hAnsi="Times New Roman" w:eastAsia="Times New Roman" w:cs="Times New Roman"/>
          <w:lang w:val="en-US"/>
        </w:rPr>
      </w:pPr>
      <w:r>
        <w:rPr>
          <w:rFonts w:ascii="Times New Roman" w:hAnsi="Times New Roman" w:eastAsia="Times New Roman" w:cs="Times New Roman"/>
          <w:lang w:val="en-US"/>
        </w:rPr>
        <w:t>A total of 240 patients had longitudinal DaTscan© data, adding up to a total of 788 scans from which Specific binding ratio (SBR) scores for ipsilateral putamen and ipsilateral caudate were analyzed along multiple visits. A total of 191 PD cases had baseline biomarkers and 44 patients were excluded due to missing CSF and/or serum biomarkers at baseline. Lastly, five patients were excluded due to diagnoses different from PD determined at follow up visits (3 multiple system atrophy, 1 Alzheimer’s disease, 1 corticobasal syndrome).</w:t>
      </w:r>
    </w:p>
    <w:p>
      <w:pPr>
        <w:jc w:val="both"/>
        <w:rPr>
          <w:rFonts w:ascii="Times New Roman" w:hAnsi="Times New Roman" w:eastAsia="Times New Roman" w:cs="Times New Roman"/>
          <w:lang w:val="en-US"/>
        </w:rPr>
      </w:pPr>
    </w:p>
    <w:p>
      <w:pPr>
        <w:rPr>
          <w:rFonts w:ascii="Times New Roman" w:hAnsi="Times New Roman" w:cs="Times New Roman"/>
          <w:lang w:val="en-US"/>
        </w:rPr>
      </w:pPr>
      <w:r>
        <w:rPr>
          <w:rFonts w:ascii="Times New Roman" w:hAnsi="Times New Roman" w:cs="Times New Roman"/>
          <w:b/>
          <w:bCs/>
          <w:lang w:val="en-US"/>
        </w:rPr>
        <w:t>Supplementary figure.</w:t>
      </w:r>
      <w:r>
        <w:rPr>
          <w:rFonts w:ascii="Times New Roman" w:hAnsi="Times New Roman" w:cs="Times New Roman"/>
          <w:lang w:val="en-US"/>
        </w:rPr>
        <w:t xml:space="preserve"> Diagram of patient, images and biomarkers selected for analyses.</w:t>
      </w:r>
    </w:p>
    <w:p>
      <w:pPr>
        <w:rPr>
          <w:lang w:val="en-US"/>
        </w:rPr>
      </w:pPr>
    </w:p>
    <w:p>
      <w:pPr>
        <w:rPr>
          <w:rFonts w:ascii="Times New Roman" w:hAnsi="Times New Roman" w:cs="Times New Roman"/>
          <w:b/>
          <w:bCs/>
          <w:lang w:val="en-US"/>
        </w:rPr>
      </w:pPr>
      <w:r>
        <w:rPr>
          <w:rFonts w:ascii="Times New Roman" w:hAnsi="Times New Roman" w:cs="Times New Roman"/>
          <w:b/>
          <w:bCs/>
          <w:lang w:val="en-US"/>
        </w:rPr>
        <w:pict>
          <v:shape id="_x0000_i1025" o:spt="75" type="#_x0000_t75" style="height:310.9pt;width:466.9pt;" filled="f" o:preferrelative="t" stroked="f" coordsize="21600,21600">
            <v:path/>
            <v:fill on="f" focussize="0,0"/>
            <v:stroke on="f" joinstyle="miter"/>
            <v:imagedata r:id="rId4" o:title="Flow chart"/>
            <o:lock v:ext="edit" aspectratio="t"/>
            <w10:wrap type="none"/>
            <w10:anchorlock/>
          </v:shape>
        </w:pict>
      </w:r>
    </w:p>
    <w:p>
      <w:pPr>
        <w:rPr>
          <w:rFonts w:ascii="Times New Roman" w:hAnsi="Times New Roman" w:cs="Times New Roman"/>
          <w:b/>
          <w:bCs/>
          <w:lang w:val="en-US"/>
        </w:rPr>
      </w:pPr>
    </w:p>
    <w:p>
      <w:pPr>
        <w:rPr>
          <w:rFonts w:ascii="Times New Roman" w:hAnsi="Times New Roman" w:cs="Times New Roman"/>
          <w:lang w:val="en-US"/>
        </w:rPr>
      </w:pPr>
    </w:p>
    <w:p>
      <w:pPr>
        <w:rPr>
          <w:rFonts w:ascii="Times New Roman" w:hAnsi="Times New Roman" w:cs="Times New Roman"/>
          <w:lang w:val="en-US"/>
        </w:rPr>
      </w:pPr>
    </w:p>
    <w:p>
      <w:pPr>
        <w:rPr>
          <w:rFonts w:ascii="Times New Roman" w:hAnsi="Times New Roman" w:cs="Times New Roman"/>
          <w:lang w:val="en-US"/>
        </w:rPr>
      </w:pPr>
    </w:p>
    <w:p>
      <w:pPr>
        <w:rPr>
          <w:rFonts w:ascii="Times New Roman" w:hAnsi="Times New Roman" w:cs="Times New Roman"/>
          <w:lang w:val="en-US"/>
        </w:rPr>
      </w:pPr>
    </w:p>
    <w:p>
      <w:pPr>
        <w:rPr>
          <w:rFonts w:ascii="Times New Roman" w:hAnsi="Times New Roman" w:cs="Times New Roman"/>
          <w:lang w:val="en-US"/>
        </w:rPr>
      </w:pPr>
    </w:p>
    <w:p>
      <w:pPr>
        <w:rPr>
          <w:rFonts w:ascii="Times New Roman" w:hAnsi="Times New Roman" w:cs="Times New Roman"/>
        </w:rPr>
      </w:pPr>
      <w:r>
        <w:rPr>
          <w:rFonts w:ascii="Times New Roman" w:hAnsi="Times New Roman" w:cs="Times New Roman"/>
          <w:b/>
          <w:bCs/>
        </w:rPr>
        <w:t xml:space="preserve">Supplementary table </w:t>
      </w:r>
      <w:r>
        <w:rPr>
          <w:rFonts w:hint="default" w:ascii="Times New Roman" w:hAnsi="Times New Roman" w:cs="Times New Roman"/>
          <w:b/>
          <w:bCs/>
          <w:lang w:val="en-US"/>
        </w:rPr>
        <w:t>1</w:t>
      </w:r>
      <w:r>
        <w:rPr>
          <w:rFonts w:ascii="Times New Roman" w:hAnsi="Times New Roman" w:cs="Times New Roman"/>
          <w:b/>
          <w:bCs/>
        </w:rPr>
        <w:t>.</w:t>
      </w:r>
      <w:r>
        <w:rPr>
          <w:rFonts w:ascii="Times New Roman" w:hAnsi="Times New Roman" w:cs="Times New Roman"/>
        </w:rPr>
        <w:t xml:space="preserve"> Full results of primary mixed-model analyses with longitudinal DaTscan or ipsilateral-putamen SBR values as outcomes.</w:t>
      </w:r>
    </w:p>
    <w:p>
      <w:pPr>
        <w:rPr>
          <w:rFonts w:ascii="Times New Roman" w:hAnsi="Times New Roman" w:cs="Times New Roman"/>
        </w:rPr>
      </w:pPr>
      <w:r>
        <w:rPr>
          <w:rFonts w:ascii="Times New Roman" w:hAnsi="Times New Roman" w:cs="Times New Roman"/>
        </w:rPr>
        <w:drawing>
          <wp:inline distT="0" distB="0" distL="0" distR="0">
            <wp:extent cx="5943600" cy="5186045"/>
            <wp:effectExtent l="0" t="0" r="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5943600" cy="5186045"/>
                    </a:xfrm>
                    <a:prstGeom prst="rect">
                      <a:avLst/>
                    </a:prstGeom>
                  </pic:spPr>
                </pic:pic>
              </a:graphicData>
            </a:graphic>
          </wp:inline>
        </w:drawing>
      </w:r>
    </w:p>
    <w:p>
      <w:pPr>
        <w:rPr>
          <w:rFonts w:ascii="Times New Roman" w:hAnsi="Times New Roman" w:cs="Times New Roman"/>
          <w:b/>
          <w:bCs/>
        </w:rPr>
      </w:pPr>
    </w:p>
    <w:p>
      <w:pPr>
        <w:rPr>
          <w:rFonts w:ascii="Times New Roman" w:hAnsi="Times New Roman" w:cs="Times New Roman"/>
          <w:b/>
          <w:bCs/>
        </w:rPr>
      </w:pPr>
      <w:r>
        <w:rPr>
          <w:rFonts w:ascii="Times New Roman" w:hAnsi="Times New Roman" w:cs="Times New Roman"/>
          <w:b/>
          <w:bCs/>
        </w:rPr>
        <w:br w:type="page"/>
      </w:r>
    </w:p>
    <w:p>
      <w:pPr>
        <w:rPr>
          <w:rFonts w:ascii="Times New Roman" w:hAnsi="Times New Roman" w:cs="Times New Roman"/>
        </w:rPr>
      </w:pPr>
      <w:r>
        <w:rPr>
          <w:rFonts w:ascii="Times New Roman" w:hAnsi="Times New Roman" w:cs="Times New Roman"/>
          <w:b/>
          <w:bCs/>
        </w:rPr>
        <w:t xml:space="preserve">Supplementary table </w:t>
      </w:r>
      <w:r>
        <w:rPr>
          <w:rFonts w:hint="default" w:ascii="Times New Roman" w:hAnsi="Times New Roman" w:cs="Times New Roman"/>
          <w:b/>
          <w:bCs/>
          <w:lang w:val="en-US"/>
        </w:rPr>
        <w:t>2</w:t>
      </w:r>
      <w:bookmarkStart w:id="0" w:name="_GoBack"/>
      <w:bookmarkEnd w:id="0"/>
      <w:r>
        <w:rPr>
          <w:rFonts w:ascii="Times New Roman" w:hAnsi="Times New Roman" w:cs="Times New Roman"/>
          <w:b/>
          <w:bCs/>
        </w:rPr>
        <w:t>.</w:t>
      </w:r>
      <w:r>
        <w:rPr>
          <w:rFonts w:ascii="Times New Roman" w:hAnsi="Times New Roman" w:cs="Times New Roman"/>
        </w:rPr>
        <w:t xml:space="preserve"> Secondary mixed-model analyses with longitudinal MoCA scores or ipsilateral-caudate SBR values as alternative outcomes.</w:t>
      </w:r>
    </w:p>
    <w:p/>
    <w:p>
      <w:r>
        <w:rPr>
          <w:lang w:val="en-US"/>
        </w:rPr>
        <w:drawing>
          <wp:inline distT="0" distB="0" distL="0" distR="0">
            <wp:extent cx="5943600" cy="4771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943600" cy="4771390"/>
                    </a:xfrm>
                    <a:prstGeom prst="rect">
                      <a:avLst/>
                    </a:prstGeom>
                  </pic:spPr>
                </pic:pic>
              </a:graphicData>
            </a:graphic>
          </wp:inline>
        </w:drawing>
      </w:r>
    </w:p>
    <w:p>
      <w:pPr>
        <w:rPr>
          <w:rFonts w:ascii="Times New Roman" w:hAnsi="Times New Roman" w:cs="Times New Roman"/>
          <w:lang w:val="en-US"/>
        </w:rPr>
      </w:pPr>
    </w:p>
    <w:p>
      <w:pPr>
        <w:rPr>
          <w:rFonts w:ascii="Times New Roman" w:hAnsi="Times New Roman" w:cs="Times New Roman"/>
        </w:rPr>
      </w:pPr>
    </w:p>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5B"/>
    <w:rsid w:val="001C293E"/>
    <w:rsid w:val="001C5162"/>
    <w:rsid w:val="001F230B"/>
    <w:rsid w:val="002B38CB"/>
    <w:rsid w:val="002F633C"/>
    <w:rsid w:val="0035106C"/>
    <w:rsid w:val="003E62B5"/>
    <w:rsid w:val="00427C3E"/>
    <w:rsid w:val="004B0133"/>
    <w:rsid w:val="004B53AF"/>
    <w:rsid w:val="004D1F53"/>
    <w:rsid w:val="00513526"/>
    <w:rsid w:val="0053285B"/>
    <w:rsid w:val="005604E9"/>
    <w:rsid w:val="005C409B"/>
    <w:rsid w:val="00652594"/>
    <w:rsid w:val="00663C54"/>
    <w:rsid w:val="0067507D"/>
    <w:rsid w:val="006D0B8D"/>
    <w:rsid w:val="006D3206"/>
    <w:rsid w:val="006F108D"/>
    <w:rsid w:val="007146A6"/>
    <w:rsid w:val="00736EA4"/>
    <w:rsid w:val="0080597C"/>
    <w:rsid w:val="00820F8B"/>
    <w:rsid w:val="008302FA"/>
    <w:rsid w:val="008814D3"/>
    <w:rsid w:val="00992DE7"/>
    <w:rsid w:val="009A753D"/>
    <w:rsid w:val="00A81FEC"/>
    <w:rsid w:val="00AE6124"/>
    <w:rsid w:val="00B717C9"/>
    <w:rsid w:val="00C02052"/>
    <w:rsid w:val="00C47277"/>
    <w:rsid w:val="00C90265"/>
    <w:rsid w:val="00C962C0"/>
    <w:rsid w:val="00CF0BA6"/>
    <w:rsid w:val="00D273E2"/>
    <w:rsid w:val="00D357E6"/>
    <w:rsid w:val="00DB3A60"/>
    <w:rsid w:val="00E34A30"/>
    <w:rsid w:val="00F42C77"/>
    <w:rsid w:val="00F60860"/>
    <w:rsid w:val="00F95DBB"/>
    <w:rsid w:val="00FA7A80"/>
    <w:rsid w:val="F7F74EFC"/>
    <w:rsid w:val="F7FE54F8"/>
    <w:rsid w:val="FF4F68B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C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imes New Roman" w:hAnsi="Times New Roman" w:cs="Times New Roman" w:eastAsiaTheme="minorHAns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9"/>
    <w:semiHidden/>
    <w:unhideWhenUsed/>
    <w:qFormat/>
    <w:uiPriority w:val="99"/>
    <w:rPr>
      <w:sz w:val="20"/>
      <w:szCs w:val="20"/>
    </w:rPr>
  </w:style>
  <w:style w:type="paragraph" w:styleId="7">
    <w:name w:val="annotation subject"/>
    <w:basedOn w:val="6"/>
    <w:next w:val="6"/>
    <w:link w:val="10"/>
    <w:semiHidden/>
    <w:unhideWhenUsed/>
    <w:uiPriority w:val="99"/>
    <w:rPr>
      <w:b/>
      <w:bCs/>
    </w:rPr>
  </w:style>
  <w:style w:type="character" w:customStyle="1" w:styleId="8">
    <w:name w:val="Balloon Text Char"/>
    <w:basedOn w:val="2"/>
    <w:link w:val="4"/>
    <w:semiHidden/>
    <w:uiPriority w:val="99"/>
    <w:rPr>
      <w:rFonts w:ascii="Times New Roman" w:hAnsi="Times New Roman" w:cs="Times New Roman"/>
      <w:sz w:val="18"/>
      <w:szCs w:val="18"/>
    </w:rPr>
  </w:style>
  <w:style w:type="character" w:customStyle="1" w:styleId="9">
    <w:name w:val="Comment Text Char"/>
    <w:basedOn w:val="2"/>
    <w:link w:val="6"/>
    <w:semiHidden/>
    <w:uiPriority w:val="99"/>
    <w:rPr>
      <w:rFonts w:ascii="Calibri" w:hAnsi="Calibri" w:eastAsia="Calibri" w:cs="Calibri"/>
      <w:sz w:val="20"/>
      <w:szCs w:val="20"/>
    </w:rPr>
  </w:style>
  <w:style w:type="character" w:customStyle="1" w:styleId="10">
    <w:name w:val="Comment Subject Char"/>
    <w:basedOn w:val="9"/>
    <w:link w:val="7"/>
    <w:semiHidden/>
    <w:uiPriority w:val="99"/>
    <w:rPr>
      <w:rFonts w:ascii="Calibri" w:hAnsi="Calibri" w:eastAsia="Calibri" w:cs="Calibri"/>
      <w:b/>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Words>
  <Characters>1008</Characters>
  <Lines>8</Lines>
  <Paragraphs>2</Paragraphs>
  <TotalTime>0</TotalTime>
  <ScaleCrop>false</ScaleCrop>
  <LinksUpToDate>false</LinksUpToDate>
  <CharactersWithSpaces>1182</CharactersWithSpaces>
  <Application>WPS Office_5.4.1.7973_F1E327BC-269C-435d-A152-05C5408002CA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2023-02-07T19:07:00Z</dcterms:created>
  <dc:creator>Couto, Blas</dc:creator>
  <cp:lastModifiedBy>blascouto</cp:lastModifiedBy>
  <dcterms:modified xsi:type="dcterms:W3CDTF">2023-08-01T07:13:12Z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1033-5.4.1.7973</vt:lpwstr>
  </property>
</Properties>
</file>