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B329" w14:textId="77777777" w:rsidR="00BE3C80" w:rsidRPr="00541BB6" w:rsidRDefault="00BE3C80" w:rsidP="00BE3C80">
      <w:pPr>
        <w:pStyle w:val="Caption"/>
        <w:rPr>
          <w:rFonts w:cs="Helvetica"/>
          <w:color w:val="auto"/>
        </w:rPr>
      </w:pPr>
      <w:r w:rsidRPr="00541BB6">
        <w:rPr>
          <w:color w:val="auto"/>
        </w:rPr>
        <w:t xml:space="preserve">Supplementary Material </w:t>
      </w:r>
      <w:r w:rsidRPr="00541BB6">
        <w:rPr>
          <w:color w:val="auto"/>
        </w:rPr>
        <w:fldChar w:fldCharType="begin"/>
      </w:r>
      <w:r w:rsidRPr="00541BB6">
        <w:rPr>
          <w:color w:val="auto"/>
        </w:rPr>
        <w:instrText xml:space="preserve"> SEQ Supplementary_Material \* ARABIC </w:instrText>
      </w:r>
      <w:r w:rsidRPr="00541BB6">
        <w:rPr>
          <w:color w:val="auto"/>
        </w:rPr>
        <w:fldChar w:fldCharType="separate"/>
      </w:r>
      <w:r>
        <w:rPr>
          <w:noProof/>
          <w:color w:val="auto"/>
        </w:rPr>
        <w:t>1</w:t>
      </w:r>
      <w:r w:rsidRPr="00541BB6">
        <w:rPr>
          <w:color w:val="auto"/>
        </w:rPr>
        <w:fldChar w:fldCharType="end"/>
      </w:r>
      <w:r w:rsidRPr="00541BB6">
        <w:rPr>
          <w:color w:val="auto"/>
        </w:rPr>
        <w:t xml:space="preserve">: ICD-9 CM/ICD-10-CA </w:t>
      </w:r>
      <w:r>
        <w:rPr>
          <w:color w:val="auto"/>
        </w:rPr>
        <w:t>c</w:t>
      </w:r>
      <w:r w:rsidRPr="00541BB6">
        <w:rPr>
          <w:color w:val="auto"/>
        </w:rPr>
        <w:t xml:space="preserve">odes for </w:t>
      </w:r>
      <w:r>
        <w:rPr>
          <w:color w:val="auto"/>
        </w:rPr>
        <w:t>m</w:t>
      </w:r>
      <w:r w:rsidRPr="00541BB6">
        <w:rPr>
          <w:color w:val="auto"/>
        </w:rPr>
        <w:t xml:space="preserve">igraine (chronic or episodic) </w:t>
      </w:r>
      <w:r>
        <w:rPr>
          <w:color w:val="auto"/>
        </w:rPr>
        <w:t>s</w:t>
      </w:r>
      <w:r w:rsidRPr="00541BB6">
        <w:rPr>
          <w:color w:val="auto"/>
        </w:rPr>
        <w:t xml:space="preserve">tudy </w:t>
      </w:r>
      <w:r>
        <w:rPr>
          <w:color w:val="auto"/>
        </w:rPr>
        <w:t>c</w:t>
      </w:r>
      <w:r w:rsidRPr="00541BB6">
        <w:rPr>
          <w:color w:val="auto"/>
        </w:rPr>
        <w:t xml:space="preserve">ohort </w:t>
      </w:r>
      <w:r>
        <w:rPr>
          <w:color w:val="auto"/>
        </w:rPr>
        <w:t>i</w:t>
      </w:r>
      <w:r w:rsidRPr="00541BB6">
        <w:rPr>
          <w:color w:val="auto"/>
        </w:rPr>
        <w:t>dentification</w:t>
      </w:r>
    </w:p>
    <w:tbl>
      <w:tblPr>
        <w:tblStyle w:val="Table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00" w:firstRow="0" w:lastRow="0" w:firstColumn="0" w:lastColumn="0" w:noHBand="0" w:noVBand="1"/>
      </w:tblPr>
      <w:tblGrid>
        <w:gridCol w:w="4804"/>
        <w:gridCol w:w="2139"/>
        <w:gridCol w:w="2407"/>
      </w:tblGrid>
      <w:tr w:rsidR="00BE3C80" w:rsidRPr="002F6795" w14:paraId="5B739FDD" w14:textId="77777777" w:rsidTr="00D447F9">
        <w:trPr>
          <w:trHeight w:val="340"/>
        </w:trPr>
        <w:tc>
          <w:tcPr>
            <w:tcW w:w="2569" w:type="pct"/>
            <w:shd w:val="clear" w:color="auto" w:fill="850C4B"/>
            <w:vAlign w:val="center"/>
          </w:tcPr>
          <w:p w14:paraId="6A8FE510" w14:textId="77777777" w:rsidR="00BE3C80" w:rsidRPr="002F6795" w:rsidRDefault="00BE3C80" w:rsidP="00D447F9">
            <w:pPr>
              <w:spacing w:line="240" w:lineRule="auto"/>
              <w:contextualSpacing/>
              <w:jc w:val="left"/>
              <w:rPr>
                <w:rFonts w:cs="Helvetica"/>
                <w:b/>
                <w:color w:val="FFFFFF"/>
                <w:sz w:val="18"/>
                <w:szCs w:val="18"/>
              </w:rPr>
            </w:pPr>
            <w:r w:rsidRPr="002F6795">
              <w:rPr>
                <w:rFonts w:cs="Helvetica"/>
                <w:b/>
                <w:color w:val="FFFFFF"/>
                <w:sz w:val="18"/>
                <w:szCs w:val="18"/>
              </w:rPr>
              <w:t>Diagnosis Condition</w:t>
            </w:r>
          </w:p>
        </w:tc>
        <w:tc>
          <w:tcPr>
            <w:tcW w:w="1144" w:type="pct"/>
            <w:shd w:val="clear" w:color="auto" w:fill="850C4B"/>
            <w:vAlign w:val="center"/>
          </w:tcPr>
          <w:p w14:paraId="2D53875B" w14:textId="77777777" w:rsidR="00BE3C80" w:rsidRPr="002F6795" w:rsidRDefault="00BE3C80" w:rsidP="00D447F9">
            <w:pPr>
              <w:spacing w:line="240" w:lineRule="auto"/>
              <w:contextualSpacing/>
              <w:jc w:val="center"/>
              <w:rPr>
                <w:rFonts w:cs="Helvetica"/>
                <w:b/>
                <w:color w:val="FFFFFF"/>
                <w:sz w:val="18"/>
                <w:szCs w:val="18"/>
              </w:rPr>
            </w:pPr>
            <w:r w:rsidRPr="002F6795">
              <w:rPr>
                <w:rFonts w:cs="Helvetica"/>
                <w:b/>
                <w:color w:val="FFFFFF"/>
                <w:sz w:val="18"/>
                <w:szCs w:val="18"/>
              </w:rPr>
              <w:t>ICD-10-CA</w:t>
            </w:r>
          </w:p>
        </w:tc>
        <w:tc>
          <w:tcPr>
            <w:tcW w:w="1287" w:type="pct"/>
            <w:shd w:val="clear" w:color="auto" w:fill="850C4B"/>
            <w:vAlign w:val="center"/>
          </w:tcPr>
          <w:p w14:paraId="787C8127" w14:textId="77777777" w:rsidR="00BE3C80" w:rsidRPr="002F6795" w:rsidRDefault="00BE3C80" w:rsidP="00D447F9">
            <w:pPr>
              <w:spacing w:line="240" w:lineRule="auto"/>
              <w:contextualSpacing/>
              <w:jc w:val="center"/>
              <w:rPr>
                <w:rFonts w:cs="Helvetica"/>
                <w:b/>
                <w:color w:val="FFFFFF"/>
                <w:sz w:val="18"/>
                <w:szCs w:val="18"/>
              </w:rPr>
            </w:pPr>
            <w:r w:rsidRPr="002F6795">
              <w:rPr>
                <w:rFonts w:cs="Helvetica"/>
                <w:b/>
                <w:color w:val="FFFFFF"/>
                <w:sz w:val="18"/>
                <w:szCs w:val="18"/>
              </w:rPr>
              <w:t>ICD-9-CM</w:t>
            </w:r>
          </w:p>
        </w:tc>
      </w:tr>
      <w:tr w:rsidR="00BE3C80" w:rsidRPr="002F6795" w14:paraId="162D229A" w14:textId="77777777" w:rsidTr="00D447F9">
        <w:trPr>
          <w:trHeight w:val="340"/>
        </w:trPr>
        <w:tc>
          <w:tcPr>
            <w:tcW w:w="2569" w:type="pct"/>
            <w:shd w:val="clear" w:color="auto" w:fill="auto"/>
            <w:vAlign w:val="center"/>
          </w:tcPr>
          <w:p w14:paraId="7DC8D44C"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 xml:space="preserve">Migraine </w:t>
            </w:r>
          </w:p>
          <w:p w14:paraId="1C8560D9"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Migraine without aura [common migraine]</w:t>
            </w:r>
          </w:p>
        </w:tc>
        <w:tc>
          <w:tcPr>
            <w:tcW w:w="1144" w:type="pct"/>
            <w:shd w:val="clear" w:color="auto" w:fill="auto"/>
            <w:vAlign w:val="center"/>
          </w:tcPr>
          <w:p w14:paraId="43E11469"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G43.0</w:t>
            </w:r>
          </w:p>
        </w:tc>
        <w:tc>
          <w:tcPr>
            <w:tcW w:w="1287" w:type="pct"/>
            <w:shd w:val="clear" w:color="auto" w:fill="auto"/>
            <w:vAlign w:val="center"/>
          </w:tcPr>
          <w:p w14:paraId="2CD8E719" w14:textId="77777777" w:rsidR="00BE3C80" w:rsidRDefault="00BE3C80" w:rsidP="00D447F9">
            <w:pPr>
              <w:spacing w:before="60" w:after="60" w:line="240" w:lineRule="auto"/>
              <w:contextualSpacing/>
              <w:jc w:val="center"/>
              <w:rPr>
                <w:rFonts w:cs="Helvetica"/>
                <w:sz w:val="18"/>
                <w:szCs w:val="18"/>
              </w:rPr>
            </w:pPr>
            <w:r>
              <w:rPr>
                <w:rFonts w:cs="Helvetica"/>
                <w:sz w:val="18"/>
                <w:szCs w:val="18"/>
              </w:rPr>
              <w:t>346</w:t>
            </w:r>
          </w:p>
          <w:p w14:paraId="18267397"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346.1</w:t>
            </w:r>
          </w:p>
        </w:tc>
      </w:tr>
      <w:tr w:rsidR="00BE3C80" w:rsidRPr="002F6795" w14:paraId="7D935E00" w14:textId="77777777" w:rsidTr="00D447F9">
        <w:trPr>
          <w:trHeight w:val="340"/>
        </w:trPr>
        <w:tc>
          <w:tcPr>
            <w:tcW w:w="2569" w:type="pct"/>
            <w:shd w:val="clear" w:color="auto" w:fill="auto"/>
            <w:vAlign w:val="center"/>
          </w:tcPr>
          <w:p w14:paraId="5C953101"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Migraine with aura [classical migraine], includes:</w:t>
            </w:r>
          </w:p>
          <w:p w14:paraId="6285E301"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Migraine</w:t>
            </w:r>
          </w:p>
          <w:p w14:paraId="45628FEE" w14:textId="77777777" w:rsidR="00BE3C80" w:rsidRPr="002F6795" w:rsidRDefault="00BE3C80" w:rsidP="00BE3C80">
            <w:pPr>
              <w:pStyle w:val="ListParagraph"/>
              <w:numPr>
                <w:ilvl w:val="0"/>
                <w:numId w:val="15"/>
              </w:numPr>
              <w:spacing w:before="60" w:after="60" w:line="240" w:lineRule="auto"/>
              <w:jc w:val="left"/>
              <w:rPr>
                <w:rFonts w:cs="Helvetica"/>
                <w:sz w:val="18"/>
                <w:szCs w:val="18"/>
              </w:rPr>
            </w:pPr>
            <w:r w:rsidRPr="002F6795">
              <w:rPr>
                <w:rFonts w:cs="Helvetica"/>
                <w:sz w:val="18"/>
                <w:szCs w:val="18"/>
              </w:rPr>
              <w:t>Aura without headache</w:t>
            </w:r>
          </w:p>
          <w:p w14:paraId="71386CE2" w14:textId="77777777" w:rsidR="00BE3C80" w:rsidRPr="002F6795" w:rsidRDefault="00BE3C80" w:rsidP="00BE3C80">
            <w:pPr>
              <w:pStyle w:val="ListParagraph"/>
              <w:numPr>
                <w:ilvl w:val="0"/>
                <w:numId w:val="15"/>
              </w:numPr>
              <w:spacing w:before="60" w:after="60" w:line="240" w:lineRule="auto"/>
              <w:jc w:val="left"/>
              <w:rPr>
                <w:rFonts w:cs="Helvetica"/>
                <w:sz w:val="18"/>
                <w:szCs w:val="18"/>
              </w:rPr>
            </w:pPr>
            <w:r w:rsidRPr="002F6795">
              <w:rPr>
                <w:rFonts w:cs="Helvetica"/>
                <w:sz w:val="18"/>
                <w:szCs w:val="18"/>
              </w:rPr>
              <w:t>Basilar</w:t>
            </w:r>
          </w:p>
          <w:p w14:paraId="1CB608A0" w14:textId="77777777" w:rsidR="00BE3C80" w:rsidRPr="002F6795" w:rsidRDefault="00BE3C80" w:rsidP="00BE3C80">
            <w:pPr>
              <w:pStyle w:val="ListParagraph"/>
              <w:numPr>
                <w:ilvl w:val="0"/>
                <w:numId w:val="15"/>
              </w:numPr>
              <w:spacing w:before="60" w:after="60" w:line="240" w:lineRule="auto"/>
              <w:jc w:val="left"/>
              <w:rPr>
                <w:rFonts w:cs="Helvetica"/>
                <w:sz w:val="18"/>
                <w:szCs w:val="18"/>
              </w:rPr>
            </w:pPr>
            <w:r w:rsidRPr="002F6795">
              <w:rPr>
                <w:rFonts w:cs="Helvetica"/>
                <w:sz w:val="18"/>
                <w:szCs w:val="18"/>
              </w:rPr>
              <w:t>Equivalents</w:t>
            </w:r>
          </w:p>
          <w:p w14:paraId="0E75929B" w14:textId="77777777" w:rsidR="00BE3C80" w:rsidRPr="002F6795" w:rsidRDefault="00BE3C80" w:rsidP="00BE3C80">
            <w:pPr>
              <w:pStyle w:val="ListParagraph"/>
              <w:numPr>
                <w:ilvl w:val="0"/>
                <w:numId w:val="15"/>
              </w:numPr>
              <w:spacing w:before="60" w:after="60" w:line="240" w:lineRule="auto"/>
              <w:jc w:val="left"/>
              <w:rPr>
                <w:rFonts w:cs="Helvetica"/>
                <w:sz w:val="18"/>
                <w:szCs w:val="18"/>
              </w:rPr>
            </w:pPr>
            <w:r w:rsidRPr="002F6795">
              <w:rPr>
                <w:rFonts w:cs="Helvetica"/>
                <w:sz w:val="18"/>
                <w:szCs w:val="18"/>
              </w:rPr>
              <w:t xml:space="preserve">Familial hemiplegic </w:t>
            </w:r>
          </w:p>
          <w:p w14:paraId="4F860BCA" w14:textId="77777777" w:rsidR="00BE3C80" w:rsidRPr="002F6795" w:rsidRDefault="00BE3C80" w:rsidP="00BE3C80">
            <w:pPr>
              <w:pStyle w:val="ListParagraph"/>
              <w:numPr>
                <w:ilvl w:val="0"/>
                <w:numId w:val="15"/>
              </w:numPr>
              <w:spacing w:before="60" w:after="60" w:line="240" w:lineRule="auto"/>
              <w:jc w:val="left"/>
              <w:rPr>
                <w:rFonts w:cs="Helvetica"/>
                <w:sz w:val="18"/>
                <w:szCs w:val="18"/>
              </w:rPr>
            </w:pPr>
            <w:r w:rsidRPr="002F6795">
              <w:rPr>
                <w:rFonts w:cs="Helvetica"/>
                <w:sz w:val="18"/>
                <w:szCs w:val="18"/>
              </w:rPr>
              <w:t>With:</w:t>
            </w:r>
          </w:p>
          <w:p w14:paraId="647F2929" w14:textId="77777777" w:rsidR="00BE3C80" w:rsidRPr="002F6795" w:rsidRDefault="00BE3C80" w:rsidP="00BE3C80">
            <w:pPr>
              <w:pStyle w:val="ListParagraph"/>
              <w:numPr>
                <w:ilvl w:val="1"/>
                <w:numId w:val="15"/>
              </w:numPr>
              <w:spacing w:before="60" w:after="60" w:line="240" w:lineRule="auto"/>
              <w:jc w:val="left"/>
              <w:rPr>
                <w:rFonts w:cs="Helvetica"/>
                <w:sz w:val="18"/>
                <w:szCs w:val="18"/>
              </w:rPr>
            </w:pPr>
            <w:r w:rsidRPr="002F6795">
              <w:rPr>
                <w:rFonts w:cs="Helvetica"/>
                <w:sz w:val="18"/>
                <w:szCs w:val="18"/>
              </w:rPr>
              <w:t>Acute-onset aura</w:t>
            </w:r>
          </w:p>
          <w:p w14:paraId="7D5AEF7E" w14:textId="77777777" w:rsidR="00BE3C80" w:rsidRPr="002F6795" w:rsidRDefault="00BE3C80" w:rsidP="00BE3C80">
            <w:pPr>
              <w:pStyle w:val="ListParagraph"/>
              <w:numPr>
                <w:ilvl w:val="1"/>
                <w:numId w:val="15"/>
              </w:numPr>
              <w:spacing w:before="60" w:after="60" w:line="240" w:lineRule="auto"/>
              <w:jc w:val="left"/>
              <w:rPr>
                <w:rFonts w:cs="Helvetica"/>
                <w:sz w:val="18"/>
                <w:szCs w:val="18"/>
              </w:rPr>
            </w:pPr>
            <w:r w:rsidRPr="002F6795">
              <w:rPr>
                <w:rFonts w:cs="Helvetica"/>
                <w:sz w:val="18"/>
                <w:szCs w:val="18"/>
              </w:rPr>
              <w:t>Prolonged aura</w:t>
            </w:r>
          </w:p>
          <w:p w14:paraId="24A2C0AB" w14:textId="77777777" w:rsidR="00BE3C80" w:rsidRPr="002F6795" w:rsidRDefault="00BE3C80" w:rsidP="00BE3C80">
            <w:pPr>
              <w:pStyle w:val="ListParagraph"/>
              <w:numPr>
                <w:ilvl w:val="1"/>
                <w:numId w:val="15"/>
              </w:numPr>
              <w:spacing w:before="60" w:after="60" w:line="240" w:lineRule="auto"/>
              <w:jc w:val="left"/>
              <w:rPr>
                <w:rFonts w:cs="Helvetica"/>
                <w:sz w:val="18"/>
                <w:szCs w:val="18"/>
              </w:rPr>
            </w:pPr>
            <w:r w:rsidRPr="002F6795">
              <w:rPr>
                <w:rFonts w:cs="Helvetica"/>
                <w:sz w:val="18"/>
                <w:szCs w:val="18"/>
              </w:rPr>
              <w:t>Typical aura</w:t>
            </w:r>
          </w:p>
        </w:tc>
        <w:tc>
          <w:tcPr>
            <w:tcW w:w="1144" w:type="pct"/>
            <w:shd w:val="clear" w:color="auto" w:fill="auto"/>
            <w:vAlign w:val="center"/>
          </w:tcPr>
          <w:p w14:paraId="12C61865"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G43.1</w:t>
            </w:r>
          </w:p>
        </w:tc>
        <w:tc>
          <w:tcPr>
            <w:tcW w:w="1287" w:type="pct"/>
            <w:shd w:val="clear" w:color="auto" w:fill="auto"/>
            <w:vAlign w:val="center"/>
          </w:tcPr>
          <w:p w14:paraId="54A29DFA"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346.0</w:t>
            </w:r>
          </w:p>
        </w:tc>
      </w:tr>
      <w:tr w:rsidR="00BE3C80" w:rsidRPr="002F6795" w14:paraId="50C44C12" w14:textId="77777777" w:rsidTr="00D447F9">
        <w:trPr>
          <w:trHeight w:val="340"/>
        </w:trPr>
        <w:tc>
          <w:tcPr>
            <w:tcW w:w="2569" w:type="pct"/>
            <w:shd w:val="clear" w:color="auto" w:fill="auto"/>
            <w:vAlign w:val="center"/>
          </w:tcPr>
          <w:p w14:paraId="198A3291"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 xml:space="preserve">Status </w:t>
            </w:r>
            <w:proofErr w:type="spellStart"/>
            <w:r w:rsidRPr="002F6795">
              <w:rPr>
                <w:rFonts w:cs="Helvetica"/>
                <w:sz w:val="18"/>
                <w:szCs w:val="18"/>
              </w:rPr>
              <w:t>migrainosus</w:t>
            </w:r>
            <w:proofErr w:type="spellEnd"/>
          </w:p>
        </w:tc>
        <w:tc>
          <w:tcPr>
            <w:tcW w:w="1144" w:type="pct"/>
            <w:shd w:val="clear" w:color="auto" w:fill="auto"/>
            <w:vAlign w:val="center"/>
          </w:tcPr>
          <w:p w14:paraId="65C2B539"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G43.2</w:t>
            </w:r>
          </w:p>
        </w:tc>
        <w:tc>
          <w:tcPr>
            <w:tcW w:w="1287" w:type="pct"/>
            <w:shd w:val="clear" w:color="auto" w:fill="auto"/>
            <w:vAlign w:val="center"/>
          </w:tcPr>
          <w:p w14:paraId="79AF2FA8"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NA</w:t>
            </w:r>
          </w:p>
        </w:tc>
      </w:tr>
      <w:tr w:rsidR="00BE3C80" w:rsidRPr="002F6795" w14:paraId="6676202F" w14:textId="77777777" w:rsidTr="00D447F9">
        <w:trPr>
          <w:trHeight w:val="340"/>
        </w:trPr>
        <w:tc>
          <w:tcPr>
            <w:tcW w:w="2569" w:type="pct"/>
            <w:shd w:val="clear" w:color="auto" w:fill="auto"/>
            <w:vAlign w:val="center"/>
          </w:tcPr>
          <w:p w14:paraId="15A73B1D"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Complicated migraine</w:t>
            </w:r>
          </w:p>
        </w:tc>
        <w:tc>
          <w:tcPr>
            <w:tcW w:w="1144" w:type="pct"/>
            <w:shd w:val="clear" w:color="auto" w:fill="auto"/>
            <w:vAlign w:val="center"/>
          </w:tcPr>
          <w:p w14:paraId="4B938294"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G43.3</w:t>
            </w:r>
          </w:p>
        </w:tc>
        <w:tc>
          <w:tcPr>
            <w:tcW w:w="1287" w:type="pct"/>
            <w:shd w:val="clear" w:color="auto" w:fill="auto"/>
            <w:vAlign w:val="center"/>
          </w:tcPr>
          <w:p w14:paraId="750546B2"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NA</w:t>
            </w:r>
          </w:p>
        </w:tc>
      </w:tr>
      <w:tr w:rsidR="00BE3C80" w:rsidRPr="002F6795" w14:paraId="6A00138F" w14:textId="77777777" w:rsidTr="00D447F9">
        <w:trPr>
          <w:trHeight w:val="340"/>
        </w:trPr>
        <w:tc>
          <w:tcPr>
            <w:tcW w:w="2569" w:type="pct"/>
            <w:shd w:val="clear" w:color="auto" w:fill="auto"/>
            <w:vAlign w:val="center"/>
          </w:tcPr>
          <w:p w14:paraId="5CBD9F49"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Other migraine</w:t>
            </w:r>
          </w:p>
          <w:p w14:paraId="7194A927"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Includes:</w:t>
            </w:r>
          </w:p>
          <w:p w14:paraId="6F2A441C" w14:textId="77777777" w:rsidR="00BE3C80" w:rsidRPr="002F6795" w:rsidRDefault="00BE3C80" w:rsidP="00BE3C80">
            <w:pPr>
              <w:pStyle w:val="ListParagraph"/>
              <w:numPr>
                <w:ilvl w:val="0"/>
                <w:numId w:val="16"/>
              </w:numPr>
              <w:spacing w:before="60" w:after="60" w:line="240" w:lineRule="auto"/>
              <w:jc w:val="left"/>
              <w:rPr>
                <w:rFonts w:cs="Helvetica"/>
                <w:sz w:val="18"/>
                <w:szCs w:val="18"/>
              </w:rPr>
            </w:pPr>
            <w:r w:rsidRPr="002F6795">
              <w:rPr>
                <w:rFonts w:cs="Helvetica"/>
                <w:sz w:val="18"/>
                <w:szCs w:val="18"/>
              </w:rPr>
              <w:t>Ophthalmoplegic migraine</w:t>
            </w:r>
          </w:p>
          <w:p w14:paraId="4383EB9F" w14:textId="77777777" w:rsidR="00BE3C80" w:rsidRPr="002F6795" w:rsidRDefault="00BE3C80" w:rsidP="00BE3C80">
            <w:pPr>
              <w:pStyle w:val="ListParagraph"/>
              <w:numPr>
                <w:ilvl w:val="0"/>
                <w:numId w:val="16"/>
              </w:numPr>
              <w:spacing w:before="60" w:after="60" w:line="240" w:lineRule="auto"/>
              <w:jc w:val="left"/>
              <w:rPr>
                <w:rFonts w:cs="Helvetica"/>
                <w:sz w:val="18"/>
                <w:szCs w:val="18"/>
              </w:rPr>
            </w:pPr>
            <w:r w:rsidRPr="002F6795">
              <w:rPr>
                <w:rFonts w:cs="Helvetica"/>
                <w:sz w:val="18"/>
                <w:szCs w:val="18"/>
              </w:rPr>
              <w:t>Retinal migraine</w:t>
            </w:r>
          </w:p>
        </w:tc>
        <w:tc>
          <w:tcPr>
            <w:tcW w:w="1144" w:type="pct"/>
            <w:shd w:val="clear" w:color="auto" w:fill="auto"/>
            <w:vAlign w:val="center"/>
          </w:tcPr>
          <w:p w14:paraId="36F2F992"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G43.8</w:t>
            </w:r>
          </w:p>
        </w:tc>
        <w:tc>
          <w:tcPr>
            <w:tcW w:w="1287" w:type="pct"/>
            <w:shd w:val="clear" w:color="auto" w:fill="auto"/>
            <w:vAlign w:val="center"/>
          </w:tcPr>
          <w:p w14:paraId="225D2278"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NA</w:t>
            </w:r>
          </w:p>
        </w:tc>
      </w:tr>
      <w:tr w:rsidR="00BE3C80" w:rsidRPr="002F6795" w14:paraId="2937BC0E" w14:textId="77777777" w:rsidTr="00D447F9">
        <w:trPr>
          <w:trHeight w:val="340"/>
        </w:trPr>
        <w:tc>
          <w:tcPr>
            <w:tcW w:w="2569" w:type="pct"/>
            <w:shd w:val="clear" w:color="auto" w:fill="auto"/>
            <w:vAlign w:val="center"/>
          </w:tcPr>
          <w:p w14:paraId="1FFB371C"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Variants of migraine</w:t>
            </w:r>
          </w:p>
        </w:tc>
        <w:tc>
          <w:tcPr>
            <w:tcW w:w="1144" w:type="pct"/>
            <w:shd w:val="clear" w:color="auto" w:fill="auto"/>
            <w:vAlign w:val="center"/>
          </w:tcPr>
          <w:p w14:paraId="037DDEB4"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NA</w:t>
            </w:r>
          </w:p>
        </w:tc>
        <w:tc>
          <w:tcPr>
            <w:tcW w:w="1287" w:type="pct"/>
            <w:shd w:val="clear" w:color="auto" w:fill="auto"/>
            <w:vAlign w:val="center"/>
          </w:tcPr>
          <w:p w14:paraId="0ED55558"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346.2</w:t>
            </w:r>
          </w:p>
        </w:tc>
      </w:tr>
      <w:tr w:rsidR="00BE3C80" w:rsidRPr="002F6795" w14:paraId="47C75471" w14:textId="77777777" w:rsidTr="00D447F9">
        <w:trPr>
          <w:trHeight w:val="340"/>
        </w:trPr>
        <w:tc>
          <w:tcPr>
            <w:tcW w:w="2569" w:type="pct"/>
            <w:shd w:val="clear" w:color="auto" w:fill="auto"/>
            <w:vAlign w:val="center"/>
          </w:tcPr>
          <w:p w14:paraId="5A362992" w14:textId="77777777" w:rsidR="00BE3C80" w:rsidRPr="002F6795" w:rsidRDefault="00BE3C80" w:rsidP="00D447F9">
            <w:pPr>
              <w:spacing w:before="60" w:after="60" w:line="240" w:lineRule="auto"/>
              <w:contextualSpacing/>
              <w:rPr>
                <w:rFonts w:cs="Helvetica"/>
                <w:sz w:val="18"/>
                <w:szCs w:val="18"/>
              </w:rPr>
            </w:pPr>
            <w:r>
              <w:rPr>
                <w:rFonts w:cs="Helvetica"/>
                <w:sz w:val="18"/>
                <w:szCs w:val="18"/>
              </w:rPr>
              <w:t>Other forms of migraine</w:t>
            </w:r>
          </w:p>
        </w:tc>
        <w:tc>
          <w:tcPr>
            <w:tcW w:w="1144" w:type="pct"/>
            <w:shd w:val="clear" w:color="auto" w:fill="auto"/>
            <w:vAlign w:val="center"/>
          </w:tcPr>
          <w:p w14:paraId="6AE5A0A0" w14:textId="77777777" w:rsidR="00BE3C80" w:rsidRPr="002F6795" w:rsidRDefault="00BE3C80" w:rsidP="00D447F9">
            <w:pPr>
              <w:spacing w:before="60" w:after="60" w:line="240" w:lineRule="auto"/>
              <w:contextualSpacing/>
              <w:jc w:val="center"/>
              <w:rPr>
                <w:rFonts w:cs="Helvetica"/>
                <w:sz w:val="18"/>
                <w:szCs w:val="18"/>
              </w:rPr>
            </w:pPr>
            <w:r>
              <w:rPr>
                <w:rFonts w:cs="Helvetica"/>
                <w:sz w:val="18"/>
                <w:szCs w:val="18"/>
              </w:rPr>
              <w:t>NA</w:t>
            </w:r>
          </w:p>
        </w:tc>
        <w:tc>
          <w:tcPr>
            <w:tcW w:w="1287" w:type="pct"/>
            <w:shd w:val="clear" w:color="auto" w:fill="auto"/>
            <w:vAlign w:val="center"/>
          </w:tcPr>
          <w:p w14:paraId="06500B1F" w14:textId="77777777" w:rsidR="00BE3C80" w:rsidRPr="002F6795" w:rsidRDefault="00BE3C80" w:rsidP="00D447F9">
            <w:pPr>
              <w:spacing w:before="60" w:after="60" w:line="240" w:lineRule="auto"/>
              <w:contextualSpacing/>
              <w:jc w:val="center"/>
              <w:rPr>
                <w:rFonts w:cs="Helvetica"/>
                <w:sz w:val="18"/>
                <w:szCs w:val="18"/>
              </w:rPr>
            </w:pPr>
            <w:r>
              <w:rPr>
                <w:rFonts w:cs="Helvetica"/>
                <w:sz w:val="18"/>
                <w:szCs w:val="18"/>
              </w:rPr>
              <w:t>346.8</w:t>
            </w:r>
          </w:p>
        </w:tc>
      </w:tr>
      <w:tr w:rsidR="00BE3C80" w:rsidRPr="002F6795" w14:paraId="58DAF6C3" w14:textId="77777777" w:rsidTr="00D447F9">
        <w:trPr>
          <w:trHeight w:val="340"/>
        </w:trPr>
        <w:tc>
          <w:tcPr>
            <w:tcW w:w="2569" w:type="pct"/>
            <w:shd w:val="clear" w:color="auto" w:fill="auto"/>
            <w:vAlign w:val="center"/>
          </w:tcPr>
          <w:p w14:paraId="44FF4506" w14:textId="77777777" w:rsidR="00BE3C80" w:rsidRPr="002F6795" w:rsidRDefault="00BE3C80" w:rsidP="00D447F9">
            <w:pPr>
              <w:spacing w:before="60" w:after="60" w:line="240" w:lineRule="auto"/>
              <w:contextualSpacing/>
              <w:jc w:val="left"/>
              <w:rPr>
                <w:rFonts w:cs="Helvetica"/>
                <w:sz w:val="18"/>
                <w:szCs w:val="18"/>
              </w:rPr>
            </w:pPr>
            <w:r w:rsidRPr="002F6795">
              <w:rPr>
                <w:rFonts w:cs="Helvetica"/>
                <w:sz w:val="18"/>
                <w:szCs w:val="18"/>
              </w:rPr>
              <w:t>Migraine, unspecified</w:t>
            </w:r>
          </w:p>
        </w:tc>
        <w:tc>
          <w:tcPr>
            <w:tcW w:w="1144" w:type="pct"/>
            <w:shd w:val="clear" w:color="auto" w:fill="auto"/>
            <w:vAlign w:val="center"/>
          </w:tcPr>
          <w:p w14:paraId="1007C615"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G43.9</w:t>
            </w:r>
          </w:p>
        </w:tc>
        <w:tc>
          <w:tcPr>
            <w:tcW w:w="1287" w:type="pct"/>
            <w:shd w:val="clear" w:color="auto" w:fill="auto"/>
            <w:vAlign w:val="center"/>
          </w:tcPr>
          <w:p w14:paraId="1546D15F" w14:textId="77777777" w:rsidR="00BE3C80" w:rsidRPr="002F6795" w:rsidRDefault="00BE3C80" w:rsidP="00D447F9">
            <w:pPr>
              <w:spacing w:before="60" w:after="60" w:line="240" w:lineRule="auto"/>
              <w:contextualSpacing/>
              <w:jc w:val="center"/>
              <w:rPr>
                <w:rFonts w:cs="Helvetica"/>
                <w:sz w:val="18"/>
                <w:szCs w:val="18"/>
              </w:rPr>
            </w:pPr>
            <w:r>
              <w:rPr>
                <w:rFonts w:cs="Helvetica"/>
                <w:sz w:val="18"/>
                <w:szCs w:val="18"/>
              </w:rPr>
              <w:t>346.9</w:t>
            </w:r>
          </w:p>
        </w:tc>
      </w:tr>
    </w:tbl>
    <w:p w14:paraId="63397B18" w14:textId="77777777" w:rsidR="00BE3C80" w:rsidRPr="002F6795" w:rsidRDefault="00BE3C80" w:rsidP="00BE3C80">
      <w:pPr>
        <w:spacing w:line="240" w:lineRule="auto"/>
        <w:contextualSpacing/>
        <w:rPr>
          <w:rFonts w:eastAsia="Calibri" w:cs="Helvetica"/>
          <w:sz w:val="16"/>
          <w:szCs w:val="16"/>
        </w:rPr>
      </w:pPr>
      <w:r w:rsidRPr="002F6795">
        <w:rPr>
          <w:rFonts w:eastAsia="Calibri" w:cs="Helvetica"/>
          <w:sz w:val="16"/>
          <w:szCs w:val="16"/>
        </w:rPr>
        <w:t>Abbreviations: ED: emergency department; ICD-9-CM: The International Classification of Diseases, Ninth Revision, Clinical Modification; ICD-10-CA: International Statistical Classification of Diseases and Related Health Problems, Tenth Revision, Canada; IP: inpatient; NA: not applicable</w:t>
      </w:r>
    </w:p>
    <w:p w14:paraId="745BAD3A" w14:textId="7C118EFD" w:rsidR="00BE3C80" w:rsidRPr="00365590" w:rsidRDefault="00DB1A73" w:rsidP="00DB1A73">
      <w:pPr>
        <w:spacing w:after="160" w:line="259" w:lineRule="auto"/>
      </w:pPr>
      <w:r>
        <w:br w:type="page"/>
      </w:r>
    </w:p>
    <w:p w14:paraId="6C43E57A" w14:textId="77777777" w:rsidR="00BE3C80" w:rsidRPr="00541BB6" w:rsidRDefault="00BE3C80" w:rsidP="00BE3C80">
      <w:pPr>
        <w:pStyle w:val="Caption"/>
        <w:rPr>
          <w:rFonts w:cs="Helvetica"/>
          <w:color w:val="auto"/>
          <w:sz w:val="18"/>
        </w:rPr>
      </w:pPr>
      <w:r w:rsidRPr="00541BB6">
        <w:rPr>
          <w:color w:val="auto"/>
        </w:rPr>
        <w:lastRenderedPageBreak/>
        <w:t xml:space="preserve">Supplementary Material </w:t>
      </w:r>
      <w:r w:rsidRPr="00541BB6">
        <w:rPr>
          <w:color w:val="auto"/>
        </w:rPr>
        <w:fldChar w:fldCharType="begin"/>
      </w:r>
      <w:r w:rsidRPr="00541BB6">
        <w:rPr>
          <w:color w:val="auto"/>
        </w:rPr>
        <w:instrText xml:space="preserve"> SEQ Supplementary_Material \* ARABIC </w:instrText>
      </w:r>
      <w:r w:rsidRPr="00541BB6">
        <w:rPr>
          <w:color w:val="auto"/>
        </w:rPr>
        <w:fldChar w:fldCharType="separate"/>
      </w:r>
      <w:r>
        <w:rPr>
          <w:noProof/>
          <w:color w:val="auto"/>
        </w:rPr>
        <w:t>2</w:t>
      </w:r>
      <w:r w:rsidRPr="00541BB6">
        <w:rPr>
          <w:color w:val="auto"/>
        </w:rPr>
        <w:fldChar w:fldCharType="end"/>
      </w:r>
      <w:r w:rsidRPr="00541BB6">
        <w:rPr>
          <w:color w:val="auto"/>
        </w:rPr>
        <w:t>: Migraine sub-cohorts</w:t>
      </w:r>
    </w:p>
    <w:p w14:paraId="03C76106" w14:textId="77777777" w:rsidR="00BE3C80" w:rsidRPr="0007755C" w:rsidRDefault="00BE3C80" w:rsidP="00BE3C80">
      <w:pPr>
        <w:pStyle w:val="Caption"/>
        <w:rPr>
          <w:rFonts w:cs="Helvetica"/>
          <w:color w:val="auto"/>
          <w:sz w:val="22"/>
        </w:rPr>
      </w:pPr>
    </w:p>
    <w:tbl>
      <w:tblPr>
        <w:tblStyle w:val="Table1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00" w:firstRow="0" w:lastRow="0" w:firstColumn="0" w:lastColumn="0" w:noHBand="0" w:noVBand="1"/>
      </w:tblPr>
      <w:tblGrid>
        <w:gridCol w:w="3398"/>
        <w:gridCol w:w="5952"/>
      </w:tblGrid>
      <w:tr w:rsidR="00BE3C80" w:rsidRPr="002F6795" w14:paraId="7AFAD8E9" w14:textId="77777777" w:rsidTr="00D447F9">
        <w:trPr>
          <w:trHeight w:val="407"/>
        </w:trPr>
        <w:tc>
          <w:tcPr>
            <w:tcW w:w="1817" w:type="pct"/>
            <w:shd w:val="clear" w:color="auto" w:fill="850C4B"/>
            <w:vAlign w:val="center"/>
          </w:tcPr>
          <w:p w14:paraId="12E1E5A5" w14:textId="77777777" w:rsidR="00BE3C80" w:rsidRPr="00836BB1" w:rsidRDefault="00BE3C80" w:rsidP="00D447F9">
            <w:pPr>
              <w:spacing w:line="240" w:lineRule="auto"/>
              <w:contextualSpacing/>
              <w:jc w:val="left"/>
              <w:rPr>
                <w:rFonts w:cs="Helvetica"/>
                <w:b/>
                <w:color w:val="FFFFFF"/>
                <w:sz w:val="18"/>
                <w:szCs w:val="18"/>
              </w:rPr>
            </w:pPr>
            <w:r w:rsidRPr="00836BB1">
              <w:rPr>
                <w:rFonts w:cs="Helvetica"/>
                <w:b/>
                <w:color w:val="FFFFFF"/>
                <w:sz w:val="18"/>
                <w:szCs w:val="18"/>
              </w:rPr>
              <w:t xml:space="preserve">Cohort </w:t>
            </w:r>
          </w:p>
        </w:tc>
        <w:tc>
          <w:tcPr>
            <w:tcW w:w="3183" w:type="pct"/>
            <w:shd w:val="clear" w:color="auto" w:fill="850C4B"/>
            <w:vAlign w:val="center"/>
          </w:tcPr>
          <w:p w14:paraId="7F33A2D6" w14:textId="77777777" w:rsidR="00BE3C80" w:rsidRPr="00836BB1" w:rsidRDefault="00BE3C80" w:rsidP="00D447F9">
            <w:pPr>
              <w:spacing w:line="240" w:lineRule="auto"/>
              <w:contextualSpacing/>
              <w:jc w:val="center"/>
              <w:rPr>
                <w:rFonts w:cs="Helvetica"/>
                <w:b/>
                <w:color w:val="FFFFFF"/>
                <w:sz w:val="18"/>
                <w:szCs w:val="18"/>
              </w:rPr>
            </w:pPr>
            <w:r w:rsidRPr="00836BB1">
              <w:rPr>
                <w:rFonts w:cs="Helvetica"/>
                <w:b/>
                <w:color w:val="FFFFFF"/>
                <w:sz w:val="18"/>
                <w:szCs w:val="18"/>
              </w:rPr>
              <w:t xml:space="preserve">Case definition </w:t>
            </w:r>
          </w:p>
        </w:tc>
      </w:tr>
      <w:tr w:rsidR="00BE3C80" w:rsidRPr="002F6795" w14:paraId="015A57A4" w14:textId="77777777" w:rsidTr="00D447F9">
        <w:trPr>
          <w:trHeight w:val="407"/>
        </w:trPr>
        <w:tc>
          <w:tcPr>
            <w:tcW w:w="1817" w:type="pct"/>
            <w:shd w:val="clear" w:color="auto" w:fill="auto"/>
            <w:vAlign w:val="center"/>
          </w:tcPr>
          <w:p w14:paraId="04605583" w14:textId="77777777" w:rsidR="00BE3C80" w:rsidRPr="0007755C" w:rsidRDefault="00BE3C80" w:rsidP="00D447F9">
            <w:pPr>
              <w:spacing w:before="60" w:after="60" w:line="240" w:lineRule="auto"/>
              <w:contextualSpacing/>
              <w:jc w:val="left"/>
              <w:rPr>
                <w:rFonts w:cs="Helvetica"/>
                <w:sz w:val="18"/>
                <w:szCs w:val="18"/>
              </w:rPr>
            </w:pPr>
            <w:r w:rsidRPr="0007755C">
              <w:rPr>
                <w:rFonts w:cs="Helvetica"/>
                <w:sz w:val="18"/>
                <w:szCs w:val="18"/>
              </w:rPr>
              <w:t>Medication Overuse Headache</w:t>
            </w:r>
          </w:p>
        </w:tc>
        <w:tc>
          <w:tcPr>
            <w:tcW w:w="3183" w:type="pct"/>
            <w:shd w:val="clear" w:color="auto" w:fill="auto"/>
            <w:vAlign w:val="center"/>
          </w:tcPr>
          <w:p w14:paraId="7EBD4798" w14:textId="77777777" w:rsidR="00BE3C80" w:rsidRPr="00836BB1" w:rsidRDefault="00BE3C80" w:rsidP="00D447F9">
            <w:pPr>
              <w:rPr>
                <w:rFonts w:cs="Helvetica"/>
                <w:sz w:val="18"/>
                <w:szCs w:val="18"/>
              </w:rPr>
            </w:pPr>
            <w:r w:rsidRPr="00836BB1">
              <w:rPr>
                <w:rFonts w:cs="Helvetica"/>
                <w:sz w:val="18"/>
                <w:szCs w:val="18"/>
              </w:rPr>
              <w:t xml:space="preserve">The Medication Overuse Headache Cohort included patients with ≥ 15 days of use/month for three months of simple analgesics (e.g., non-steroidal anti-inflammatory drugs [NSAIDs], acetaminophen) or with ≥ 10 days of use/month for 3 months of triptans, opioids, or mixed analgesics within a one-year look-forward period (i.e., one year after index date applicable to the Total Migraine Cohort). </w:t>
            </w:r>
          </w:p>
          <w:p w14:paraId="3E709D96" w14:textId="77777777" w:rsidR="00BE3C80" w:rsidRPr="00836BB1" w:rsidRDefault="00BE3C80" w:rsidP="00D447F9">
            <w:pPr>
              <w:spacing w:before="60" w:after="60" w:line="240" w:lineRule="auto"/>
              <w:contextualSpacing/>
              <w:jc w:val="center"/>
              <w:rPr>
                <w:rFonts w:cs="Helvetica"/>
                <w:sz w:val="18"/>
                <w:szCs w:val="18"/>
              </w:rPr>
            </w:pPr>
          </w:p>
        </w:tc>
      </w:tr>
      <w:tr w:rsidR="00BE3C80" w:rsidRPr="002F6795" w14:paraId="644AD490" w14:textId="77777777" w:rsidTr="00D447F9">
        <w:trPr>
          <w:trHeight w:val="407"/>
        </w:trPr>
        <w:tc>
          <w:tcPr>
            <w:tcW w:w="1817" w:type="pct"/>
            <w:shd w:val="clear" w:color="auto" w:fill="auto"/>
            <w:vAlign w:val="center"/>
          </w:tcPr>
          <w:p w14:paraId="01E0E162" w14:textId="77777777" w:rsidR="00BE3C80" w:rsidRPr="008D23D1" w:rsidRDefault="00BE3C80" w:rsidP="00D447F9">
            <w:pPr>
              <w:pStyle w:val="Heading4"/>
              <w:numPr>
                <w:ilvl w:val="0"/>
                <w:numId w:val="0"/>
              </w:numPr>
              <w:ind w:left="864" w:hanging="864"/>
              <w:jc w:val="left"/>
              <w:rPr>
                <w:rFonts w:cs="Helvetica"/>
                <w:b w:val="0"/>
                <w:i/>
                <w:iCs/>
                <w:color w:val="auto"/>
                <w:sz w:val="18"/>
                <w:szCs w:val="18"/>
              </w:rPr>
            </w:pPr>
            <w:r w:rsidRPr="008D23D1">
              <w:rPr>
                <w:rFonts w:cs="Helvetica"/>
                <w:b w:val="0"/>
                <w:iCs/>
                <w:color w:val="auto"/>
                <w:sz w:val="18"/>
                <w:szCs w:val="18"/>
              </w:rPr>
              <w:t xml:space="preserve">Migraine with </w:t>
            </w:r>
            <w:r w:rsidRPr="008D23D1">
              <w:rPr>
                <w:rFonts w:cs="Helvetica"/>
                <w:b w:val="0"/>
                <w:iCs/>
                <w:color w:val="auto"/>
                <w:sz w:val="18"/>
                <w:szCs w:val="18"/>
                <w:lang w:val="en-CA"/>
              </w:rPr>
              <w:t>≥</w:t>
            </w:r>
            <w:r w:rsidRPr="008D23D1">
              <w:rPr>
                <w:rFonts w:cs="Helvetica"/>
                <w:b w:val="0"/>
                <w:iCs/>
                <w:color w:val="auto"/>
                <w:sz w:val="18"/>
                <w:szCs w:val="18"/>
              </w:rPr>
              <w:t xml:space="preserve">2 and ≥3 </w:t>
            </w:r>
            <w:proofErr w:type="gramStart"/>
            <w:r w:rsidRPr="008D23D1">
              <w:rPr>
                <w:rFonts w:cs="Helvetica"/>
                <w:b w:val="0"/>
                <w:iCs/>
                <w:color w:val="auto"/>
                <w:sz w:val="18"/>
                <w:szCs w:val="18"/>
              </w:rPr>
              <w:t>Stopped</w:t>
            </w:r>
            <w:proofErr w:type="gramEnd"/>
          </w:p>
          <w:p w14:paraId="2B3325ED" w14:textId="77777777" w:rsidR="00BE3C80" w:rsidRPr="008D23D1" w:rsidRDefault="00BE3C80" w:rsidP="00D447F9">
            <w:pPr>
              <w:pStyle w:val="Heading4"/>
              <w:numPr>
                <w:ilvl w:val="0"/>
                <w:numId w:val="0"/>
              </w:numPr>
              <w:ind w:left="864" w:hanging="864"/>
              <w:jc w:val="left"/>
              <w:rPr>
                <w:rFonts w:cs="Helvetica"/>
                <w:b w:val="0"/>
                <w:i/>
                <w:iCs/>
                <w:color w:val="auto"/>
                <w:sz w:val="18"/>
                <w:szCs w:val="18"/>
              </w:rPr>
            </w:pPr>
            <w:r w:rsidRPr="008D23D1">
              <w:rPr>
                <w:rFonts w:cs="Helvetica"/>
                <w:b w:val="0"/>
                <w:iCs/>
                <w:color w:val="auto"/>
                <w:sz w:val="18"/>
                <w:szCs w:val="18"/>
              </w:rPr>
              <w:t xml:space="preserve">Preventive Medications </w:t>
            </w:r>
          </w:p>
          <w:p w14:paraId="6442B259" w14:textId="77777777" w:rsidR="00BE3C80" w:rsidRPr="0007755C" w:rsidRDefault="00BE3C80" w:rsidP="00D447F9">
            <w:pPr>
              <w:spacing w:before="60" w:after="60" w:line="240" w:lineRule="auto"/>
              <w:contextualSpacing/>
              <w:rPr>
                <w:rFonts w:cs="Helvetica"/>
                <w:sz w:val="18"/>
                <w:szCs w:val="18"/>
              </w:rPr>
            </w:pPr>
          </w:p>
        </w:tc>
        <w:tc>
          <w:tcPr>
            <w:tcW w:w="3183" w:type="pct"/>
            <w:shd w:val="clear" w:color="auto" w:fill="auto"/>
            <w:vAlign w:val="center"/>
          </w:tcPr>
          <w:p w14:paraId="6DC0E931" w14:textId="326B5492" w:rsidR="00BE3C80" w:rsidRPr="00836BB1" w:rsidRDefault="00BE3C80" w:rsidP="00D447F9">
            <w:pPr>
              <w:rPr>
                <w:rFonts w:cs="Helvetica"/>
                <w:sz w:val="18"/>
                <w:szCs w:val="18"/>
              </w:rPr>
            </w:pPr>
            <w:r>
              <w:rPr>
                <w:rFonts w:cs="Helvetica"/>
                <w:sz w:val="18"/>
                <w:szCs w:val="18"/>
              </w:rPr>
              <w:t>Patients</w:t>
            </w:r>
            <w:r w:rsidRPr="00836BB1">
              <w:rPr>
                <w:rFonts w:cs="Helvetica"/>
                <w:sz w:val="18"/>
                <w:szCs w:val="18"/>
              </w:rPr>
              <w:t xml:space="preserve"> who </w:t>
            </w:r>
            <w:proofErr w:type="gramStart"/>
            <w:r w:rsidRPr="00836BB1">
              <w:rPr>
                <w:rFonts w:cs="Helvetica"/>
                <w:sz w:val="18"/>
                <w:szCs w:val="18"/>
              </w:rPr>
              <w:t>stopped</w:t>
            </w:r>
            <w:proofErr w:type="gramEnd"/>
            <w:r w:rsidRPr="00836BB1">
              <w:rPr>
                <w:rFonts w:cs="Helvetica"/>
                <w:sz w:val="18"/>
                <w:szCs w:val="18"/>
              </w:rPr>
              <w:t xml:space="preserve"> a minimum of two and three prior preventive </w:t>
            </w:r>
            <w:r>
              <w:rPr>
                <w:rFonts w:cs="Helvetica"/>
                <w:sz w:val="18"/>
                <w:szCs w:val="18"/>
              </w:rPr>
              <w:t>medications</w:t>
            </w:r>
            <w:r w:rsidRPr="00836BB1">
              <w:rPr>
                <w:rFonts w:cs="Helvetica"/>
                <w:sz w:val="18"/>
                <w:szCs w:val="18"/>
              </w:rPr>
              <w:t xml:space="preserve"> for migraine were identified using prescription dispenses at any time during follow-up.</w:t>
            </w:r>
            <w:r w:rsidR="008D23D1">
              <w:rPr>
                <w:rFonts w:cs="Helvetica"/>
                <w:sz w:val="18"/>
                <w:szCs w:val="18"/>
              </w:rPr>
              <w:t xml:space="preserve"> </w:t>
            </w:r>
            <w:r>
              <w:rPr>
                <w:rFonts w:cs="Helvetica"/>
                <w:sz w:val="18"/>
                <w:szCs w:val="18"/>
              </w:rPr>
              <w:t>Patients</w:t>
            </w:r>
            <w:r w:rsidRPr="00836BB1">
              <w:rPr>
                <w:rFonts w:cs="Helvetica"/>
                <w:sz w:val="18"/>
                <w:szCs w:val="18"/>
              </w:rPr>
              <w:t xml:space="preserve"> were classified as having </w:t>
            </w:r>
            <w:r w:rsidRPr="00836BB1">
              <w:rPr>
                <w:rFonts w:cs="Helvetica"/>
                <w:sz w:val="18"/>
                <w:szCs w:val="18"/>
                <w:lang w:val="en-CA"/>
              </w:rPr>
              <w:t>≥</w:t>
            </w:r>
            <w:r w:rsidRPr="00836BB1">
              <w:rPr>
                <w:rFonts w:cs="Helvetica"/>
                <w:sz w:val="18"/>
                <w:szCs w:val="18"/>
              </w:rPr>
              <w:t>2</w:t>
            </w:r>
            <w:r>
              <w:rPr>
                <w:rFonts w:cs="Helvetica"/>
                <w:sz w:val="18"/>
                <w:szCs w:val="18"/>
              </w:rPr>
              <w:t xml:space="preserve"> (≥3)</w:t>
            </w:r>
            <w:r w:rsidRPr="00836BB1">
              <w:rPr>
                <w:rFonts w:cs="Helvetica"/>
                <w:sz w:val="18"/>
                <w:szCs w:val="18"/>
              </w:rPr>
              <w:t xml:space="preserve"> stopped treatments if they had no subsequent prescription dispenses for the corresponding medication for a period of at least three months after end date of the prescription dispense (defined as dispense date plus days of supply). Medications dispensed within three months before entering the Total Migraine Cohort were not considered. </w:t>
            </w:r>
          </w:p>
          <w:p w14:paraId="1CBEF1B1" w14:textId="77777777" w:rsidR="00BE3C80" w:rsidRPr="00836BB1" w:rsidRDefault="00BE3C80" w:rsidP="00D447F9">
            <w:pPr>
              <w:spacing w:before="60" w:after="60" w:line="240" w:lineRule="auto"/>
              <w:contextualSpacing/>
              <w:jc w:val="center"/>
              <w:rPr>
                <w:rFonts w:cs="Helvetica"/>
                <w:sz w:val="18"/>
                <w:szCs w:val="18"/>
              </w:rPr>
            </w:pPr>
          </w:p>
        </w:tc>
      </w:tr>
      <w:tr w:rsidR="00BE3C80" w:rsidRPr="002F6795" w14:paraId="3F55740F" w14:textId="77777777" w:rsidTr="00D447F9">
        <w:trPr>
          <w:trHeight w:val="407"/>
        </w:trPr>
        <w:tc>
          <w:tcPr>
            <w:tcW w:w="1817" w:type="pct"/>
            <w:shd w:val="clear" w:color="auto" w:fill="auto"/>
            <w:vAlign w:val="center"/>
          </w:tcPr>
          <w:p w14:paraId="25C97A2C" w14:textId="77777777" w:rsidR="00BE3C80" w:rsidRPr="00836BB1" w:rsidRDefault="00BE3C80" w:rsidP="00D447F9">
            <w:pPr>
              <w:spacing w:before="60" w:after="60" w:line="240" w:lineRule="auto"/>
              <w:contextualSpacing/>
              <w:jc w:val="left"/>
              <w:rPr>
                <w:rFonts w:cs="Helvetica"/>
                <w:sz w:val="18"/>
                <w:szCs w:val="18"/>
              </w:rPr>
            </w:pPr>
            <w:r w:rsidRPr="00836BB1">
              <w:rPr>
                <w:rFonts w:cs="Helvetica"/>
                <w:sz w:val="18"/>
                <w:szCs w:val="18"/>
              </w:rPr>
              <w:t xml:space="preserve">Emergency department (ED) Visit </w:t>
            </w:r>
          </w:p>
        </w:tc>
        <w:tc>
          <w:tcPr>
            <w:tcW w:w="3183" w:type="pct"/>
            <w:shd w:val="clear" w:color="auto" w:fill="auto"/>
            <w:vAlign w:val="center"/>
          </w:tcPr>
          <w:p w14:paraId="3D60A601" w14:textId="77777777" w:rsidR="00BE3C80" w:rsidRPr="00836BB1" w:rsidRDefault="00BE3C80" w:rsidP="00D447F9">
            <w:pPr>
              <w:rPr>
                <w:rFonts w:cs="Helvetica"/>
                <w:sz w:val="18"/>
                <w:szCs w:val="18"/>
              </w:rPr>
            </w:pPr>
            <w:r w:rsidRPr="00836BB1">
              <w:rPr>
                <w:rFonts w:cs="Helvetica"/>
                <w:sz w:val="18"/>
                <w:szCs w:val="18"/>
              </w:rPr>
              <w:t xml:space="preserve">The ED Migraine Cohort included patients identified from the Total Migraine Cohort who also had a record of ≥1 migraine-related ED visit(s) at any point during study follow-up (i.e., after entering the Total Migraine Cohort). </w:t>
            </w:r>
          </w:p>
          <w:p w14:paraId="3FCD3ACC" w14:textId="77777777" w:rsidR="00BE3C80" w:rsidRPr="00836BB1" w:rsidRDefault="00BE3C80" w:rsidP="00D447F9">
            <w:pPr>
              <w:spacing w:before="60" w:after="60" w:line="240" w:lineRule="auto"/>
              <w:contextualSpacing/>
              <w:jc w:val="center"/>
              <w:rPr>
                <w:rFonts w:cs="Helvetica"/>
                <w:sz w:val="18"/>
                <w:szCs w:val="18"/>
              </w:rPr>
            </w:pPr>
          </w:p>
        </w:tc>
      </w:tr>
      <w:tr w:rsidR="00BE3C80" w:rsidRPr="002F6795" w14:paraId="5D2E2E94" w14:textId="77777777" w:rsidTr="00D447F9">
        <w:trPr>
          <w:trHeight w:val="407"/>
        </w:trPr>
        <w:tc>
          <w:tcPr>
            <w:tcW w:w="1817" w:type="pct"/>
            <w:shd w:val="clear" w:color="auto" w:fill="auto"/>
            <w:vAlign w:val="center"/>
          </w:tcPr>
          <w:p w14:paraId="4C523605" w14:textId="77777777" w:rsidR="00BE3C80" w:rsidRPr="00836BB1" w:rsidRDefault="00BE3C80" w:rsidP="00D447F9">
            <w:pPr>
              <w:spacing w:before="60" w:after="60" w:line="240" w:lineRule="auto"/>
              <w:contextualSpacing/>
              <w:jc w:val="left"/>
              <w:rPr>
                <w:rFonts w:cs="Helvetica"/>
                <w:sz w:val="18"/>
                <w:szCs w:val="18"/>
              </w:rPr>
            </w:pPr>
            <w:r w:rsidRPr="00836BB1">
              <w:rPr>
                <w:rFonts w:cs="Helvetica"/>
                <w:sz w:val="18"/>
                <w:szCs w:val="18"/>
              </w:rPr>
              <w:t xml:space="preserve">Chronic Migraine </w:t>
            </w:r>
          </w:p>
        </w:tc>
        <w:tc>
          <w:tcPr>
            <w:tcW w:w="3183" w:type="pct"/>
            <w:shd w:val="clear" w:color="auto" w:fill="auto"/>
            <w:vAlign w:val="center"/>
          </w:tcPr>
          <w:p w14:paraId="08EF3E1A" w14:textId="77777777" w:rsidR="00BE3C80" w:rsidRPr="00836BB1" w:rsidRDefault="00BE3C80" w:rsidP="00D447F9">
            <w:pPr>
              <w:spacing w:line="264" w:lineRule="auto"/>
              <w:rPr>
                <w:rFonts w:cs="Helvetica"/>
                <w:sz w:val="18"/>
                <w:szCs w:val="18"/>
                <w:lang w:val="en-CA"/>
              </w:rPr>
            </w:pPr>
            <w:r w:rsidRPr="00836BB1">
              <w:rPr>
                <w:rFonts w:cs="Helvetica"/>
                <w:sz w:val="18"/>
                <w:szCs w:val="18"/>
              </w:rPr>
              <w:t xml:space="preserve">The Chronic Migraine Cohort included patients that were identified using </w:t>
            </w:r>
            <w:r w:rsidRPr="00836BB1">
              <w:rPr>
                <w:rFonts w:cs="Helvetica"/>
                <w:sz w:val="18"/>
                <w:szCs w:val="18"/>
                <w:lang w:val="en-CA"/>
              </w:rPr>
              <w:t>parameter estimates of a logistic regression model fitted by Pavlovic et al. (2019).</w:t>
            </w:r>
            <w:r w:rsidRPr="00164135">
              <w:rPr>
                <w:rFonts w:cs="Helvetica"/>
                <w:sz w:val="18"/>
                <w:szCs w:val="18"/>
                <w:vertAlign w:val="superscript"/>
                <w:lang w:val="en-CA"/>
              </w:rPr>
              <w:t>1</w:t>
            </w:r>
            <w:r w:rsidRPr="00836BB1">
              <w:rPr>
                <w:rFonts w:cs="Helvetica"/>
                <w:sz w:val="18"/>
                <w:szCs w:val="18"/>
                <w:lang w:val="en-CA"/>
              </w:rPr>
              <w:t xml:space="preserve"> The fitted model was used to generate predicted probabilities for each patient based on the following four predictors assessed during the 1-year post-index period: 1) Number of healthcare visits of any type (i.e., hospitalizations, physician visits, ambulatory visits, and emergency department visits): ≥24 (reference &lt;24); 2) Pharmacy prescriptions for acute migraine medications, including opioids: ≥15 (reference &lt;15);</w:t>
            </w:r>
            <w:r>
              <w:rPr>
                <w:rFonts w:cs="Helvetica"/>
                <w:sz w:val="18"/>
                <w:szCs w:val="18"/>
                <w:lang w:val="en-CA"/>
              </w:rPr>
              <w:t xml:space="preserve"> </w:t>
            </w:r>
            <w:r w:rsidRPr="00836BB1">
              <w:rPr>
                <w:rFonts w:cs="Helvetica"/>
                <w:sz w:val="18"/>
                <w:szCs w:val="18"/>
                <w:lang w:val="en-CA"/>
              </w:rPr>
              <w:t xml:space="preserve">3) Pharmacy prescriptions for unique migraine preventive drug classes: 1, ≥2  (reference 0) and; 4) Sex: Female (reference Male). </w:t>
            </w:r>
            <w:r w:rsidRPr="00836BB1">
              <w:rPr>
                <w:rFonts w:cs="Helvetica"/>
                <w:sz w:val="18"/>
                <w:szCs w:val="18"/>
              </w:rPr>
              <w:t xml:space="preserve">Patients with a predicted probability </w:t>
            </w:r>
            <w:r w:rsidRPr="00836BB1">
              <w:rPr>
                <w:rFonts w:cs="Helvetica"/>
                <w:sz w:val="18"/>
                <w:szCs w:val="18"/>
                <w:lang w:val="en-CA"/>
              </w:rPr>
              <w:t xml:space="preserve">≥ </w:t>
            </w:r>
            <w:r w:rsidRPr="00836BB1">
              <w:rPr>
                <w:rFonts w:cs="Helvetica"/>
                <w:sz w:val="18"/>
                <w:szCs w:val="18"/>
              </w:rPr>
              <w:t xml:space="preserve">0.55 were included in the Chronic Migraine Cohort. </w:t>
            </w:r>
          </w:p>
        </w:tc>
      </w:tr>
    </w:tbl>
    <w:p w14:paraId="4FBDDA60" w14:textId="62950F64" w:rsidR="00DB1A73" w:rsidRDefault="00BE3C80" w:rsidP="00BE3C80">
      <w:pPr>
        <w:spacing w:after="160" w:line="259" w:lineRule="auto"/>
        <w:rPr>
          <w:sz w:val="16"/>
          <w:szCs w:val="16"/>
        </w:rPr>
      </w:pPr>
      <w:r w:rsidRPr="00877AEC">
        <w:rPr>
          <w:rFonts w:cs="Helvetica"/>
          <w:color w:val="auto"/>
          <w:sz w:val="16"/>
          <w:szCs w:val="16"/>
          <w:vertAlign w:val="superscript"/>
          <w:lang w:val="da-DK"/>
        </w:rPr>
        <w:t>1</w:t>
      </w:r>
      <w:r w:rsidRPr="00877AEC">
        <w:rPr>
          <w:sz w:val="16"/>
          <w:szCs w:val="16"/>
          <w:lang w:val="da-DK"/>
        </w:rPr>
        <w:t>Pavlovic JM, Yu JS, Silberstein SD</w:t>
      </w:r>
      <w:r w:rsidRPr="00877AEC">
        <w:rPr>
          <w:i/>
          <w:sz w:val="16"/>
          <w:szCs w:val="16"/>
          <w:lang w:val="da-DK"/>
        </w:rPr>
        <w:t>, et al.</w:t>
      </w:r>
      <w:r w:rsidRPr="00877AEC">
        <w:rPr>
          <w:sz w:val="16"/>
          <w:szCs w:val="16"/>
          <w:lang w:val="da-DK"/>
        </w:rPr>
        <w:t xml:space="preserve"> </w:t>
      </w:r>
      <w:r w:rsidRPr="008876FB">
        <w:rPr>
          <w:sz w:val="16"/>
          <w:szCs w:val="16"/>
        </w:rPr>
        <w:t xml:space="preserve">Development of a claims-based algorithm to identify potentially undiagnosed chronic migraine patients. </w:t>
      </w:r>
      <w:r w:rsidRPr="008876FB">
        <w:rPr>
          <w:i/>
          <w:sz w:val="16"/>
          <w:szCs w:val="16"/>
        </w:rPr>
        <w:t>Cephalalgia</w:t>
      </w:r>
      <w:r w:rsidRPr="008876FB">
        <w:rPr>
          <w:sz w:val="16"/>
          <w:szCs w:val="16"/>
        </w:rPr>
        <w:t xml:space="preserve">. </w:t>
      </w:r>
      <w:proofErr w:type="gramStart"/>
      <w:r w:rsidRPr="008876FB">
        <w:rPr>
          <w:sz w:val="16"/>
          <w:szCs w:val="16"/>
        </w:rPr>
        <w:t>2019;39:465</w:t>
      </w:r>
      <w:proofErr w:type="gramEnd"/>
      <w:r w:rsidRPr="008876FB">
        <w:rPr>
          <w:sz w:val="16"/>
          <w:szCs w:val="16"/>
        </w:rPr>
        <w:t>-476.</w:t>
      </w:r>
    </w:p>
    <w:p w14:paraId="5E439AC3" w14:textId="3E70D5DB" w:rsidR="00BE3C80" w:rsidRPr="00DB1A73" w:rsidRDefault="00DB1A73" w:rsidP="00BE3C80">
      <w:pPr>
        <w:spacing w:after="160" w:line="259" w:lineRule="auto"/>
        <w:rPr>
          <w:sz w:val="16"/>
          <w:szCs w:val="16"/>
        </w:rPr>
      </w:pPr>
      <w:r>
        <w:rPr>
          <w:sz w:val="16"/>
          <w:szCs w:val="16"/>
        </w:rPr>
        <w:br w:type="page"/>
      </w:r>
    </w:p>
    <w:p w14:paraId="5DB2EBAE" w14:textId="77777777" w:rsidR="00BE3C80" w:rsidRDefault="00BE3C80" w:rsidP="00BE3C80">
      <w:pPr>
        <w:pStyle w:val="Caption"/>
      </w:pPr>
      <w:r w:rsidRPr="00541BB6">
        <w:rPr>
          <w:color w:val="auto"/>
        </w:rPr>
        <w:lastRenderedPageBreak/>
        <w:t xml:space="preserve">Supplementary Material </w:t>
      </w:r>
      <w:r w:rsidRPr="00541BB6">
        <w:rPr>
          <w:color w:val="auto"/>
        </w:rPr>
        <w:fldChar w:fldCharType="begin"/>
      </w:r>
      <w:r w:rsidRPr="00541BB6">
        <w:rPr>
          <w:color w:val="auto"/>
        </w:rPr>
        <w:instrText xml:space="preserve"> SEQ Supplementary_Material \* ARABIC </w:instrText>
      </w:r>
      <w:r w:rsidRPr="00541BB6">
        <w:rPr>
          <w:color w:val="auto"/>
        </w:rPr>
        <w:fldChar w:fldCharType="separate"/>
      </w:r>
      <w:r>
        <w:rPr>
          <w:noProof/>
          <w:color w:val="auto"/>
        </w:rPr>
        <w:t>3</w:t>
      </w:r>
      <w:r w:rsidRPr="00541BB6">
        <w:rPr>
          <w:color w:val="auto"/>
        </w:rPr>
        <w:fldChar w:fldCharType="end"/>
      </w:r>
      <w:r w:rsidRPr="00541BB6">
        <w:rPr>
          <w:color w:val="auto"/>
        </w:rPr>
        <w:t>:</w:t>
      </w:r>
      <w:r>
        <w:rPr>
          <w:color w:val="auto"/>
        </w:rPr>
        <w:t xml:space="preserve"> </w:t>
      </w:r>
      <w:r w:rsidRPr="00541BB6">
        <w:rPr>
          <w:color w:val="auto"/>
        </w:rPr>
        <w:t xml:space="preserve">Conditions, </w:t>
      </w:r>
      <w:r>
        <w:rPr>
          <w:color w:val="auto"/>
        </w:rPr>
        <w:t>w</w:t>
      </w:r>
      <w:r w:rsidRPr="00541BB6">
        <w:rPr>
          <w:color w:val="auto"/>
        </w:rPr>
        <w:t>eights</w:t>
      </w:r>
      <w:r>
        <w:rPr>
          <w:color w:val="auto"/>
        </w:rPr>
        <w:t>,</w:t>
      </w:r>
      <w:r w:rsidRPr="00541BB6">
        <w:rPr>
          <w:color w:val="auto"/>
        </w:rPr>
        <w:t xml:space="preserve"> and ICD-9-CM/ICD-10-CA codes used to </w:t>
      </w:r>
      <w:r>
        <w:rPr>
          <w:color w:val="auto"/>
        </w:rPr>
        <w:t>c</w:t>
      </w:r>
      <w:r w:rsidRPr="00541BB6">
        <w:rPr>
          <w:color w:val="auto"/>
        </w:rPr>
        <w:t xml:space="preserve">alculate the </w:t>
      </w:r>
      <w:proofErr w:type="spellStart"/>
      <w:r w:rsidRPr="00541BB6">
        <w:rPr>
          <w:color w:val="auto"/>
        </w:rPr>
        <w:t>Charlson</w:t>
      </w:r>
      <w:proofErr w:type="spellEnd"/>
      <w:r w:rsidRPr="00541BB6">
        <w:rPr>
          <w:color w:val="auto"/>
        </w:rPr>
        <w:t xml:space="preserve"> Comorbidity Index Score</w:t>
      </w:r>
    </w:p>
    <w:p w14:paraId="34085049" w14:textId="77777777" w:rsidR="00BE3C80" w:rsidRDefault="00BE3C80" w:rsidP="00BE3C80">
      <w:pPr>
        <w:rPr>
          <w:rFonts w:cs="Helvetica"/>
          <w:sz w:val="18"/>
          <w:szCs w:val="18"/>
        </w:rPr>
      </w:pPr>
    </w:p>
    <w:tbl>
      <w:tblPr>
        <w:tblStyle w:val="Table13"/>
        <w:tblW w:w="10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3442"/>
        <w:gridCol w:w="3299"/>
        <w:gridCol w:w="1435"/>
      </w:tblGrid>
      <w:tr w:rsidR="00BE3C80" w:rsidRPr="00C060C0" w14:paraId="15FB4192" w14:textId="77777777" w:rsidTr="00D447F9">
        <w:trPr>
          <w:trHeight w:val="342"/>
        </w:trPr>
        <w:tc>
          <w:tcPr>
            <w:tcW w:w="2003" w:type="dxa"/>
            <w:shd w:val="clear" w:color="auto" w:fill="850C4B"/>
            <w:vAlign w:val="center"/>
          </w:tcPr>
          <w:p w14:paraId="3DFCC90D" w14:textId="77777777" w:rsidR="00BE3C80" w:rsidRPr="003945B2" w:rsidRDefault="00BE3C80" w:rsidP="00D447F9">
            <w:pPr>
              <w:jc w:val="left"/>
              <w:rPr>
                <w:rFonts w:cs="Helvetica"/>
                <w:b/>
                <w:color w:val="FFFFFF"/>
                <w:sz w:val="18"/>
                <w:szCs w:val="18"/>
              </w:rPr>
            </w:pPr>
            <w:r w:rsidRPr="003945B2">
              <w:rPr>
                <w:rFonts w:cs="Helvetica"/>
                <w:b/>
                <w:color w:val="FFFFFF"/>
                <w:sz w:val="18"/>
                <w:szCs w:val="18"/>
              </w:rPr>
              <w:t>Comorbid Condition</w:t>
            </w:r>
          </w:p>
        </w:tc>
        <w:tc>
          <w:tcPr>
            <w:tcW w:w="3442" w:type="dxa"/>
            <w:shd w:val="clear" w:color="auto" w:fill="850C4B"/>
            <w:vAlign w:val="center"/>
          </w:tcPr>
          <w:p w14:paraId="25B9CAF8" w14:textId="77777777" w:rsidR="00BE3C80" w:rsidRPr="003945B2" w:rsidRDefault="00BE3C80" w:rsidP="00D447F9">
            <w:pPr>
              <w:jc w:val="center"/>
              <w:rPr>
                <w:rFonts w:cs="Helvetica"/>
                <w:b/>
                <w:color w:val="FFFFFF"/>
                <w:sz w:val="18"/>
                <w:szCs w:val="18"/>
              </w:rPr>
            </w:pPr>
            <w:r w:rsidRPr="003945B2">
              <w:rPr>
                <w:rFonts w:cs="Helvetica"/>
                <w:b/>
                <w:color w:val="FFFFFF"/>
                <w:sz w:val="18"/>
                <w:szCs w:val="18"/>
              </w:rPr>
              <w:t>ICD-9-CM</w:t>
            </w:r>
          </w:p>
        </w:tc>
        <w:tc>
          <w:tcPr>
            <w:tcW w:w="3299" w:type="dxa"/>
            <w:shd w:val="clear" w:color="auto" w:fill="850C4B"/>
            <w:vAlign w:val="center"/>
          </w:tcPr>
          <w:p w14:paraId="63AC5E5D" w14:textId="77777777" w:rsidR="00BE3C80" w:rsidRPr="003945B2" w:rsidRDefault="00BE3C80" w:rsidP="00D447F9">
            <w:pPr>
              <w:jc w:val="center"/>
              <w:rPr>
                <w:rFonts w:cs="Helvetica"/>
                <w:b/>
                <w:color w:val="FFFFFF"/>
                <w:sz w:val="18"/>
                <w:szCs w:val="18"/>
              </w:rPr>
            </w:pPr>
            <w:r w:rsidRPr="003945B2">
              <w:rPr>
                <w:rFonts w:cs="Helvetica"/>
                <w:b/>
                <w:color w:val="FFFFFF"/>
                <w:sz w:val="18"/>
                <w:szCs w:val="18"/>
              </w:rPr>
              <w:t>ICD-10-CA</w:t>
            </w:r>
          </w:p>
        </w:tc>
        <w:tc>
          <w:tcPr>
            <w:tcW w:w="1435" w:type="dxa"/>
            <w:shd w:val="clear" w:color="auto" w:fill="850C4B"/>
            <w:vAlign w:val="center"/>
          </w:tcPr>
          <w:p w14:paraId="66AD008E" w14:textId="77777777" w:rsidR="00BE3C80" w:rsidRPr="003945B2" w:rsidRDefault="00BE3C80" w:rsidP="00D447F9">
            <w:pPr>
              <w:jc w:val="center"/>
              <w:rPr>
                <w:rFonts w:cs="Helvetica"/>
                <w:b/>
                <w:color w:val="FFFFFF"/>
                <w:sz w:val="18"/>
                <w:szCs w:val="18"/>
              </w:rPr>
            </w:pPr>
            <w:r w:rsidRPr="003945B2">
              <w:rPr>
                <w:rFonts w:cs="Helvetica"/>
                <w:b/>
                <w:color w:val="FFFFFF"/>
                <w:sz w:val="18"/>
                <w:szCs w:val="18"/>
              </w:rPr>
              <w:t>Weight</w:t>
            </w:r>
            <w:r w:rsidRPr="003945B2">
              <w:rPr>
                <w:rFonts w:cs="Helvetica"/>
                <w:b/>
                <w:color w:val="FFFFFF"/>
                <w:sz w:val="18"/>
                <w:szCs w:val="18"/>
                <w:vertAlign w:val="superscript"/>
              </w:rPr>
              <w:t>1</w:t>
            </w:r>
          </w:p>
        </w:tc>
      </w:tr>
      <w:tr w:rsidR="00BE3C80" w:rsidRPr="00C060C0" w14:paraId="5BDA11C7" w14:textId="77777777" w:rsidTr="00D447F9">
        <w:trPr>
          <w:trHeight w:val="342"/>
        </w:trPr>
        <w:tc>
          <w:tcPr>
            <w:tcW w:w="2003" w:type="dxa"/>
            <w:shd w:val="clear" w:color="auto" w:fill="auto"/>
            <w:vAlign w:val="center"/>
          </w:tcPr>
          <w:p w14:paraId="630F4CC9" w14:textId="77777777" w:rsidR="00BE3C80" w:rsidRPr="006325B9" w:rsidRDefault="00BE3C80" w:rsidP="00D447F9">
            <w:pPr>
              <w:jc w:val="left"/>
              <w:rPr>
                <w:rFonts w:cs="Helvetica"/>
                <w:sz w:val="18"/>
                <w:szCs w:val="18"/>
              </w:rPr>
            </w:pPr>
            <w:r w:rsidRPr="006325B9">
              <w:rPr>
                <w:rFonts w:cs="Helvetica"/>
                <w:sz w:val="18"/>
                <w:szCs w:val="18"/>
              </w:rPr>
              <w:t>Myocardial Infarction</w:t>
            </w:r>
          </w:p>
        </w:tc>
        <w:tc>
          <w:tcPr>
            <w:tcW w:w="3442" w:type="dxa"/>
            <w:vAlign w:val="center"/>
          </w:tcPr>
          <w:p w14:paraId="5D01B78D" w14:textId="77777777" w:rsidR="00BE3C80" w:rsidRPr="006325B9" w:rsidRDefault="00BE3C80" w:rsidP="00D44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Helvetica"/>
                <w:sz w:val="18"/>
                <w:szCs w:val="18"/>
                <w:lang w:eastAsia="en-CA"/>
              </w:rPr>
            </w:pPr>
            <w:r w:rsidRPr="006325B9">
              <w:rPr>
                <w:rFonts w:cs="Helvetica"/>
                <w:sz w:val="18"/>
                <w:szCs w:val="18"/>
              </w:rPr>
              <w:t>410.x, 412.x</w:t>
            </w:r>
          </w:p>
        </w:tc>
        <w:tc>
          <w:tcPr>
            <w:tcW w:w="3299" w:type="dxa"/>
            <w:shd w:val="clear" w:color="auto" w:fill="auto"/>
            <w:vAlign w:val="center"/>
          </w:tcPr>
          <w:p w14:paraId="25EB71B8" w14:textId="77777777" w:rsidR="00BE3C80" w:rsidRPr="006325B9" w:rsidRDefault="00BE3C80" w:rsidP="00D447F9">
            <w:pPr>
              <w:jc w:val="center"/>
              <w:rPr>
                <w:rFonts w:cs="Helvetica"/>
                <w:sz w:val="18"/>
                <w:szCs w:val="18"/>
              </w:rPr>
            </w:pPr>
            <w:r w:rsidRPr="006325B9">
              <w:rPr>
                <w:rFonts w:cs="Helvetica"/>
                <w:sz w:val="18"/>
                <w:szCs w:val="18"/>
              </w:rPr>
              <w:t>I21.x, I22.x, I25.2</w:t>
            </w:r>
          </w:p>
        </w:tc>
        <w:tc>
          <w:tcPr>
            <w:tcW w:w="1435" w:type="dxa"/>
            <w:vAlign w:val="center"/>
          </w:tcPr>
          <w:p w14:paraId="54765CFC" w14:textId="77777777" w:rsidR="00BE3C80" w:rsidRPr="006325B9" w:rsidRDefault="00BE3C80" w:rsidP="00D447F9">
            <w:pPr>
              <w:jc w:val="center"/>
              <w:rPr>
                <w:rFonts w:cs="Helvetica"/>
                <w:sz w:val="18"/>
                <w:szCs w:val="18"/>
              </w:rPr>
            </w:pPr>
            <w:r w:rsidRPr="006325B9">
              <w:rPr>
                <w:rFonts w:cs="Helvetica"/>
                <w:sz w:val="18"/>
                <w:szCs w:val="18"/>
              </w:rPr>
              <w:t>0</w:t>
            </w:r>
          </w:p>
        </w:tc>
      </w:tr>
      <w:tr w:rsidR="00BE3C80" w:rsidRPr="00C060C0" w14:paraId="36229F2E" w14:textId="77777777" w:rsidTr="00D447F9">
        <w:trPr>
          <w:trHeight w:val="342"/>
        </w:trPr>
        <w:tc>
          <w:tcPr>
            <w:tcW w:w="2003" w:type="dxa"/>
            <w:shd w:val="clear" w:color="auto" w:fill="auto"/>
            <w:vAlign w:val="center"/>
          </w:tcPr>
          <w:p w14:paraId="57E8DE27" w14:textId="77777777" w:rsidR="00BE3C80" w:rsidRPr="003945B2" w:rsidRDefault="00BE3C80" w:rsidP="00D447F9">
            <w:pPr>
              <w:jc w:val="left"/>
              <w:rPr>
                <w:rFonts w:cs="Helvetica"/>
                <w:sz w:val="18"/>
                <w:szCs w:val="18"/>
              </w:rPr>
            </w:pPr>
            <w:r w:rsidRPr="003945B2">
              <w:rPr>
                <w:rFonts w:cs="Helvetica"/>
                <w:sz w:val="18"/>
                <w:szCs w:val="18"/>
              </w:rPr>
              <w:t>Congestive heart failure</w:t>
            </w:r>
          </w:p>
        </w:tc>
        <w:tc>
          <w:tcPr>
            <w:tcW w:w="3442" w:type="dxa"/>
            <w:vAlign w:val="center"/>
          </w:tcPr>
          <w:p w14:paraId="1B9F565C"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398.91, 402.01, 402.11, 402.91, 404.01, 404.03, 404.11, 404.13, 404.91, 404.93, 425.4–425.9, 428.x</w:t>
            </w:r>
          </w:p>
        </w:tc>
        <w:tc>
          <w:tcPr>
            <w:tcW w:w="3299" w:type="dxa"/>
            <w:shd w:val="clear" w:color="auto" w:fill="auto"/>
            <w:vAlign w:val="center"/>
          </w:tcPr>
          <w:p w14:paraId="4AC0D93E"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I09.9, I11.0, I13.0, I13.2, I25.5, I42.0, I42.5–I42.9, I43.x, I50.x, P29.0</w:t>
            </w:r>
          </w:p>
        </w:tc>
        <w:tc>
          <w:tcPr>
            <w:tcW w:w="1435" w:type="dxa"/>
            <w:vAlign w:val="center"/>
          </w:tcPr>
          <w:p w14:paraId="635B06D9" w14:textId="77777777" w:rsidR="00BE3C80" w:rsidRPr="003945B2" w:rsidRDefault="00BE3C80" w:rsidP="00D447F9">
            <w:pPr>
              <w:jc w:val="center"/>
              <w:rPr>
                <w:rFonts w:cs="Helvetica"/>
                <w:sz w:val="18"/>
                <w:szCs w:val="18"/>
              </w:rPr>
            </w:pPr>
            <w:r w:rsidRPr="003945B2">
              <w:rPr>
                <w:rFonts w:cs="Helvetica"/>
                <w:sz w:val="18"/>
                <w:szCs w:val="18"/>
              </w:rPr>
              <w:t>2</w:t>
            </w:r>
          </w:p>
        </w:tc>
      </w:tr>
      <w:tr w:rsidR="00BE3C80" w:rsidRPr="00C060C0" w14:paraId="7E390E20" w14:textId="77777777" w:rsidTr="00D447F9">
        <w:trPr>
          <w:trHeight w:val="342"/>
        </w:trPr>
        <w:tc>
          <w:tcPr>
            <w:tcW w:w="2003" w:type="dxa"/>
            <w:shd w:val="clear" w:color="auto" w:fill="auto"/>
            <w:vAlign w:val="center"/>
          </w:tcPr>
          <w:p w14:paraId="69417436" w14:textId="77777777" w:rsidR="00BE3C80" w:rsidRPr="003945B2" w:rsidRDefault="00BE3C80" w:rsidP="00D447F9">
            <w:pPr>
              <w:jc w:val="left"/>
              <w:rPr>
                <w:rFonts w:cs="Helvetica"/>
                <w:sz w:val="18"/>
                <w:szCs w:val="18"/>
              </w:rPr>
            </w:pPr>
            <w:r w:rsidRPr="003945B2">
              <w:rPr>
                <w:rFonts w:cs="Helvetica"/>
                <w:sz w:val="18"/>
                <w:szCs w:val="18"/>
              </w:rPr>
              <w:t>Peripheral vascular disease</w:t>
            </w:r>
          </w:p>
        </w:tc>
        <w:tc>
          <w:tcPr>
            <w:tcW w:w="3442" w:type="dxa"/>
            <w:vAlign w:val="center"/>
          </w:tcPr>
          <w:p w14:paraId="0F1426EB"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093.0, 437.3, 440.x, 441.x, 443.1–443.9, 47.1, 557.1, 557.9, V43.4</w:t>
            </w:r>
          </w:p>
        </w:tc>
        <w:tc>
          <w:tcPr>
            <w:tcW w:w="3299" w:type="dxa"/>
            <w:shd w:val="clear" w:color="auto" w:fill="auto"/>
            <w:vAlign w:val="center"/>
          </w:tcPr>
          <w:p w14:paraId="1325BD0C"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I70.x, I71.x, I73.1, I73.8, I73.9, I77.1, I79.0, I79.2, K55.1, K55.8, K55.9, Z95.8, Z95.9</w:t>
            </w:r>
          </w:p>
        </w:tc>
        <w:tc>
          <w:tcPr>
            <w:tcW w:w="1435" w:type="dxa"/>
            <w:vAlign w:val="center"/>
          </w:tcPr>
          <w:p w14:paraId="29D22743" w14:textId="77777777" w:rsidR="00BE3C80" w:rsidRPr="003945B2" w:rsidRDefault="00BE3C80" w:rsidP="00D447F9">
            <w:pPr>
              <w:jc w:val="center"/>
              <w:rPr>
                <w:rFonts w:cs="Helvetica"/>
                <w:sz w:val="18"/>
                <w:szCs w:val="18"/>
              </w:rPr>
            </w:pPr>
            <w:r w:rsidRPr="003945B2">
              <w:rPr>
                <w:rFonts w:cs="Helvetica"/>
                <w:sz w:val="18"/>
                <w:szCs w:val="18"/>
              </w:rPr>
              <w:t>0</w:t>
            </w:r>
          </w:p>
        </w:tc>
      </w:tr>
      <w:tr w:rsidR="00BE3C80" w:rsidRPr="00C060C0" w14:paraId="17478BCB" w14:textId="77777777" w:rsidTr="00D447F9">
        <w:trPr>
          <w:trHeight w:val="342"/>
        </w:trPr>
        <w:tc>
          <w:tcPr>
            <w:tcW w:w="2003" w:type="dxa"/>
            <w:shd w:val="clear" w:color="auto" w:fill="auto"/>
            <w:vAlign w:val="center"/>
          </w:tcPr>
          <w:p w14:paraId="6DDFEB31" w14:textId="77777777" w:rsidR="00BE3C80" w:rsidRPr="003945B2" w:rsidRDefault="00BE3C80" w:rsidP="00D447F9">
            <w:pPr>
              <w:jc w:val="left"/>
              <w:rPr>
                <w:rFonts w:cs="Helvetica"/>
                <w:sz w:val="18"/>
                <w:szCs w:val="18"/>
              </w:rPr>
            </w:pPr>
            <w:r w:rsidRPr="003945B2">
              <w:rPr>
                <w:rFonts w:cs="Helvetica"/>
                <w:sz w:val="18"/>
                <w:szCs w:val="18"/>
              </w:rPr>
              <w:t>Cerebrovascular disease</w:t>
            </w:r>
          </w:p>
        </w:tc>
        <w:tc>
          <w:tcPr>
            <w:tcW w:w="3442" w:type="dxa"/>
            <w:vAlign w:val="center"/>
          </w:tcPr>
          <w:p w14:paraId="424EA386" w14:textId="77777777" w:rsidR="00BE3C80" w:rsidRPr="003945B2" w:rsidRDefault="00BE3C80" w:rsidP="00D447F9">
            <w:pPr>
              <w:jc w:val="center"/>
              <w:rPr>
                <w:rFonts w:cs="Helvetica"/>
                <w:sz w:val="18"/>
                <w:szCs w:val="18"/>
              </w:rPr>
            </w:pPr>
            <w:r w:rsidRPr="003945B2">
              <w:rPr>
                <w:rFonts w:cs="Helvetica"/>
                <w:sz w:val="18"/>
                <w:szCs w:val="18"/>
              </w:rPr>
              <w:t>362.34, 430.x–438.x</w:t>
            </w:r>
          </w:p>
        </w:tc>
        <w:tc>
          <w:tcPr>
            <w:tcW w:w="3299" w:type="dxa"/>
            <w:shd w:val="clear" w:color="auto" w:fill="auto"/>
            <w:vAlign w:val="center"/>
          </w:tcPr>
          <w:p w14:paraId="5DE414BC" w14:textId="77777777" w:rsidR="00BE3C80" w:rsidRPr="003945B2" w:rsidRDefault="00BE3C80" w:rsidP="00D447F9">
            <w:pPr>
              <w:jc w:val="center"/>
              <w:rPr>
                <w:rFonts w:cs="Helvetica"/>
                <w:sz w:val="18"/>
                <w:szCs w:val="18"/>
              </w:rPr>
            </w:pPr>
            <w:r w:rsidRPr="003945B2">
              <w:rPr>
                <w:rFonts w:cs="Helvetica"/>
                <w:sz w:val="18"/>
                <w:szCs w:val="18"/>
              </w:rPr>
              <w:t>G45.x, G46.x, H34.0, I60.x–I69.x</w:t>
            </w:r>
          </w:p>
        </w:tc>
        <w:tc>
          <w:tcPr>
            <w:tcW w:w="1435" w:type="dxa"/>
            <w:vAlign w:val="center"/>
          </w:tcPr>
          <w:p w14:paraId="11FC4DF6" w14:textId="77777777" w:rsidR="00BE3C80" w:rsidRPr="003945B2" w:rsidRDefault="00BE3C80" w:rsidP="00D447F9">
            <w:pPr>
              <w:jc w:val="center"/>
              <w:rPr>
                <w:rFonts w:cs="Helvetica"/>
                <w:sz w:val="18"/>
                <w:szCs w:val="18"/>
              </w:rPr>
            </w:pPr>
            <w:r w:rsidRPr="003945B2">
              <w:rPr>
                <w:rFonts w:cs="Helvetica"/>
                <w:sz w:val="18"/>
                <w:szCs w:val="18"/>
              </w:rPr>
              <w:t>0</w:t>
            </w:r>
          </w:p>
        </w:tc>
      </w:tr>
      <w:tr w:rsidR="00BE3C80" w:rsidRPr="00C060C0" w14:paraId="5703FD8A" w14:textId="77777777" w:rsidTr="00D447F9">
        <w:trPr>
          <w:trHeight w:val="342"/>
        </w:trPr>
        <w:tc>
          <w:tcPr>
            <w:tcW w:w="2003" w:type="dxa"/>
            <w:shd w:val="clear" w:color="auto" w:fill="auto"/>
            <w:vAlign w:val="center"/>
          </w:tcPr>
          <w:p w14:paraId="2ECAB1C8" w14:textId="77777777" w:rsidR="00BE3C80" w:rsidRPr="003945B2" w:rsidRDefault="00BE3C80" w:rsidP="00D447F9">
            <w:pPr>
              <w:jc w:val="left"/>
              <w:rPr>
                <w:rFonts w:cs="Helvetica"/>
                <w:sz w:val="18"/>
                <w:szCs w:val="18"/>
              </w:rPr>
            </w:pPr>
            <w:r w:rsidRPr="003945B2">
              <w:rPr>
                <w:rFonts w:cs="Helvetica"/>
                <w:sz w:val="18"/>
                <w:szCs w:val="18"/>
              </w:rPr>
              <w:t>Hemiplegia or paraplegia</w:t>
            </w:r>
          </w:p>
        </w:tc>
        <w:tc>
          <w:tcPr>
            <w:tcW w:w="3442" w:type="dxa"/>
            <w:vAlign w:val="center"/>
          </w:tcPr>
          <w:p w14:paraId="311300A0"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334.1, 342.x, 343.x, 344.0–344.6, 344.9</w:t>
            </w:r>
          </w:p>
        </w:tc>
        <w:tc>
          <w:tcPr>
            <w:tcW w:w="3299" w:type="dxa"/>
            <w:shd w:val="clear" w:color="auto" w:fill="auto"/>
            <w:vAlign w:val="center"/>
          </w:tcPr>
          <w:p w14:paraId="410BD217"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G04.1, G11.4, G80.1, G80.2, G81.x, G82.x, G83.0–G83.4, G83.9</w:t>
            </w:r>
          </w:p>
        </w:tc>
        <w:tc>
          <w:tcPr>
            <w:tcW w:w="1435" w:type="dxa"/>
            <w:vAlign w:val="center"/>
          </w:tcPr>
          <w:p w14:paraId="7D879FA2" w14:textId="77777777" w:rsidR="00BE3C80" w:rsidRPr="003945B2" w:rsidRDefault="00BE3C80" w:rsidP="00D447F9">
            <w:pPr>
              <w:jc w:val="center"/>
              <w:rPr>
                <w:rFonts w:cs="Helvetica"/>
                <w:sz w:val="18"/>
                <w:szCs w:val="18"/>
              </w:rPr>
            </w:pPr>
            <w:r w:rsidRPr="003945B2">
              <w:rPr>
                <w:rFonts w:cs="Helvetica"/>
                <w:sz w:val="18"/>
                <w:szCs w:val="18"/>
              </w:rPr>
              <w:t>2</w:t>
            </w:r>
          </w:p>
        </w:tc>
      </w:tr>
      <w:tr w:rsidR="00BE3C80" w:rsidRPr="00C060C0" w14:paraId="0C4CC68A" w14:textId="77777777" w:rsidTr="00D447F9">
        <w:trPr>
          <w:trHeight w:val="342"/>
        </w:trPr>
        <w:tc>
          <w:tcPr>
            <w:tcW w:w="2003" w:type="dxa"/>
            <w:shd w:val="clear" w:color="auto" w:fill="auto"/>
            <w:vAlign w:val="center"/>
          </w:tcPr>
          <w:p w14:paraId="4F22825B" w14:textId="77777777" w:rsidR="00BE3C80" w:rsidRPr="003945B2" w:rsidRDefault="00BE3C80" w:rsidP="00D447F9">
            <w:pPr>
              <w:jc w:val="left"/>
              <w:rPr>
                <w:rFonts w:cs="Helvetica"/>
                <w:sz w:val="18"/>
                <w:szCs w:val="18"/>
              </w:rPr>
            </w:pPr>
            <w:r w:rsidRPr="003945B2">
              <w:rPr>
                <w:rFonts w:cs="Helvetica"/>
                <w:sz w:val="18"/>
                <w:szCs w:val="18"/>
              </w:rPr>
              <w:t>Dementia</w:t>
            </w:r>
          </w:p>
        </w:tc>
        <w:tc>
          <w:tcPr>
            <w:tcW w:w="3442" w:type="dxa"/>
            <w:vAlign w:val="center"/>
          </w:tcPr>
          <w:p w14:paraId="79EFB41F" w14:textId="77777777" w:rsidR="00BE3C80" w:rsidRPr="003945B2" w:rsidRDefault="00BE3C80" w:rsidP="00D447F9">
            <w:pPr>
              <w:jc w:val="center"/>
              <w:rPr>
                <w:rFonts w:cs="Helvetica"/>
                <w:sz w:val="18"/>
                <w:szCs w:val="18"/>
              </w:rPr>
            </w:pPr>
            <w:r w:rsidRPr="003945B2">
              <w:rPr>
                <w:rFonts w:cs="Helvetica"/>
                <w:sz w:val="18"/>
                <w:szCs w:val="18"/>
              </w:rPr>
              <w:t>290.x, 294.1, 331.2</w:t>
            </w:r>
          </w:p>
        </w:tc>
        <w:tc>
          <w:tcPr>
            <w:tcW w:w="3299" w:type="dxa"/>
            <w:shd w:val="clear" w:color="auto" w:fill="auto"/>
            <w:vAlign w:val="center"/>
          </w:tcPr>
          <w:p w14:paraId="7BDE0C02" w14:textId="77777777" w:rsidR="00BE3C80" w:rsidRPr="003945B2" w:rsidRDefault="00BE3C80" w:rsidP="00D447F9">
            <w:pPr>
              <w:jc w:val="center"/>
              <w:rPr>
                <w:rFonts w:cs="Helvetica"/>
                <w:sz w:val="18"/>
                <w:szCs w:val="18"/>
              </w:rPr>
            </w:pPr>
            <w:r w:rsidRPr="003945B2">
              <w:rPr>
                <w:rFonts w:cs="Helvetica"/>
                <w:sz w:val="18"/>
                <w:szCs w:val="18"/>
              </w:rPr>
              <w:t>F00.x–F03.x, F05.1, G30.x, G31.1</w:t>
            </w:r>
          </w:p>
        </w:tc>
        <w:tc>
          <w:tcPr>
            <w:tcW w:w="1435" w:type="dxa"/>
            <w:vAlign w:val="center"/>
          </w:tcPr>
          <w:p w14:paraId="107FA795" w14:textId="77777777" w:rsidR="00BE3C80" w:rsidRPr="003945B2" w:rsidRDefault="00BE3C80" w:rsidP="00D447F9">
            <w:pPr>
              <w:jc w:val="center"/>
              <w:rPr>
                <w:rFonts w:cs="Helvetica"/>
                <w:sz w:val="18"/>
                <w:szCs w:val="18"/>
              </w:rPr>
            </w:pPr>
            <w:r w:rsidRPr="003945B2">
              <w:rPr>
                <w:rFonts w:cs="Helvetica"/>
                <w:sz w:val="18"/>
                <w:szCs w:val="18"/>
              </w:rPr>
              <w:t>2</w:t>
            </w:r>
          </w:p>
        </w:tc>
      </w:tr>
      <w:tr w:rsidR="00BE3C80" w:rsidRPr="00C060C0" w14:paraId="7C6BF15F" w14:textId="77777777" w:rsidTr="00D447F9">
        <w:trPr>
          <w:trHeight w:val="342"/>
        </w:trPr>
        <w:tc>
          <w:tcPr>
            <w:tcW w:w="2003" w:type="dxa"/>
            <w:shd w:val="clear" w:color="auto" w:fill="auto"/>
            <w:vAlign w:val="center"/>
          </w:tcPr>
          <w:p w14:paraId="78695394" w14:textId="77777777" w:rsidR="00BE3C80" w:rsidRPr="003945B2" w:rsidRDefault="00BE3C80" w:rsidP="00D447F9">
            <w:pPr>
              <w:jc w:val="left"/>
              <w:rPr>
                <w:rFonts w:cs="Helvetica"/>
                <w:sz w:val="18"/>
                <w:szCs w:val="18"/>
              </w:rPr>
            </w:pPr>
            <w:r w:rsidRPr="003945B2">
              <w:rPr>
                <w:rFonts w:cs="Helvetica"/>
                <w:sz w:val="18"/>
                <w:szCs w:val="18"/>
              </w:rPr>
              <w:t>Chronic pulmonary disease</w:t>
            </w:r>
          </w:p>
        </w:tc>
        <w:tc>
          <w:tcPr>
            <w:tcW w:w="3442" w:type="dxa"/>
            <w:vAlign w:val="center"/>
          </w:tcPr>
          <w:p w14:paraId="7BB83E7C"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416.8, 416.9, 490.x–505.x, 506.4, 508.1, 508.8</w:t>
            </w:r>
          </w:p>
        </w:tc>
        <w:tc>
          <w:tcPr>
            <w:tcW w:w="3299" w:type="dxa"/>
            <w:shd w:val="clear" w:color="auto" w:fill="auto"/>
            <w:vAlign w:val="center"/>
          </w:tcPr>
          <w:p w14:paraId="664226A3"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I27.8, I27.9, J40.x–J47.x, J60.x–J67.x, J68.4, J70.1, J70.3</w:t>
            </w:r>
          </w:p>
        </w:tc>
        <w:tc>
          <w:tcPr>
            <w:tcW w:w="1435" w:type="dxa"/>
            <w:vAlign w:val="center"/>
          </w:tcPr>
          <w:p w14:paraId="12D12458" w14:textId="77777777" w:rsidR="00BE3C80" w:rsidRPr="003945B2" w:rsidRDefault="00BE3C80" w:rsidP="00D447F9">
            <w:pPr>
              <w:jc w:val="center"/>
              <w:rPr>
                <w:rFonts w:cs="Helvetica"/>
                <w:sz w:val="18"/>
                <w:szCs w:val="18"/>
              </w:rPr>
            </w:pPr>
            <w:r w:rsidRPr="003945B2">
              <w:rPr>
                <w:rFonts w:cs="Helvetica"/>
                <w:sz w:val="18"/>
                <w:szCs w:val="18"/>
              </w:rPr>
              <w:t>1</w:t>
            </w:r>
          </w:p>
        </w:tc>
      </w:tr>
      <w:tr w:rsidR="00BE3C80" w:rsidRPr="00C060C0" w14:paraId="1374E654" w14:textId="77777777" w:rsidTr="00D447F9">
        <w:trPr>
          <w:trHeight w:val="342"/>
        </w:trPr>
        <w:tc>
          <w:tcPr>
            <w:tcW w:w="2003" w:type="dxa"/>
            <w:shd w:val="clear" w:color="auto" w:fill="auto"/>
            <w:vAlign w:val="center"/>
          </w:tcPr>
          <w:p w14:paraId="5417CC8F" w14:textId="77777777" w:rsidR="00BE3C80" w:rsidRPr="003945B2" w:rsidRDefault="00BE3C80" w:rsidP="00D447F9">
            <w:pPr>
              <w:jc w:val="left"/>
              <w:rPr>
                <w:rFonts w:cs="Helvetica"/>
                <w:sz w:val="18"/>
                <w:szCs w:val="18"/>
              </w:rPr>
            </w:pPr>
            <w:r w:rsidRPr="003945B2">
              <w:rPr>
                <w:rFonts w:cs="Helvetica"/>
                <w:sz w:val="18"/>
                <w:szCs w:val="18"/>
              </w:rPr>
              <w:t>Rheumatic disease</w:t>
            </w:r>
          </w:p>
        </w:tc>
        <w:tc>
          <w:tcPr>
            <w:tcW w:w="3442" w:type="dxa"/>
            <w:vAlign w:val="center"/>
          </w:tcPr>
          <w:p w14:paraId="300F7E50"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446.5, 710.0–710.4, 714.0–714.2, 714.8, 725.x</w:t>
            </w:r>
          </w:p>
        </w:tc>
        <w:tc>
          <w:tcPr>
            <w:tcW w:w="3299" w:type="dxa"/>
            <w:shd w:val="clear" w:color="auto" w:fill="auto"/>
            <w:vAlign w:val="center"/>
          </w:tcPr>
          <w:p w14:paraId="5D6DA046" w14:textId="77777777" w:rsidR="00BE3C80" w:rsidRPr="003945B2" w:rsidRDefault="00BE3C80" w:rsidP="00D447F9">
            <w:pPr>
              <w:autoSpaceDE w:val="0"/>
              <w:autoSpaceDN w:val="0"/>
              <w:adjustRightInd w:val="0"/>
              <w:jc w:val="center"/>
              <w:rPr>
                <w:rFonts w:cs="Helvetica"/>
                <w:sz w:val="18"/>
                <w:szCs w:val="18"/>
                <w:lang w:val="fr-FR"/>
              </w:rPr>
            </w:pPr>
            <w:r w:rsidRPr="003945B2">
              <w:rPr>
                <w:rFonts w:cs="Helvetica"/>
                <w:sz w:val="18"/>
                <w:szCs w:val="18"/>
                <w:lang w:val="fr-FR"/>
              </w:rPr>
              <w:t>M05.x, M06.x, M31.5, M32.x–M34.x, M35.1, M35.3, M36.0</w:t>
            </w:r>
          </w:p>
        </w:tc>
        <w:tc>
          <w:tcPr>
            <w:tcW w:w="1435" w:type="dxa"/>
            <w:vAlign w:val="center"/>
          </w:tcPr>
          <w:p w14:paraId="51AA75C5" w14:textId="77777777" w:rsidR="00BE3C80" w:rsidRPr="003945B2" w:rsidRDefault="00BE3C80" w:rsidP="00D447F9">
            <w:pPr>
              <w:jc w:val="center"/>
              <w:rPr>
                <w:rFonts w:cs="Helvetica"/>
                <w:sz w:val="18"/>
                <w:szCs w:val="18"/>
              </w:rPr>
            </w:pPr>
            <w:r w:rsidRPr="003945B2">
              <w:rPr>
                <w:rFonts w:cs="Helvetica"/>
                <w:sz w:val="18"/>
                <w:szCs w:val="18"/>
              </w:rPr>
              <w:t>1</w:t>
            </w:r>
          </w:p>
        </w:tc>
      </w:tr>
      <w:tr w:rsidR="00BE3C80" w:rsidRPr="00C060C0" w14:paraId="7B9ABAE4" w14:textId="77777777" w:rsidTr="00D447F9">
        <w:trPr>
          <w:trHeight w:val="342"/>
        </w:trPr>
        <w:tc>
          <w:tcPr>
            <w:tcW w:w="2003" w:type="dxa"/>
            <w:shd w:val="clear" w:color="auto" w:fill="auto"/>
            <w:vAlign w:val="center"/>
          </w:tcPr>
          <w:p w14:paraId="06B4DD3D" w14:textId="77777777" w:rsidR="00BE3C80" w:rsidRPr="003945B2" w:rsidRDefault="00BE3C80" w:rsidP="00D447F9">
            <w:pPr>
              <w:jc w:val="left"/>
              <w:rPr>
                <w:rFonts w:cs="Helvetica"/>
                <w:sz w:val="18"/>
                <w:szCs w:val="18"/>
              </w:rPr>
            </w:pPr>
            <w:r w:rsidRPr="003945B2">
              <w:rPr>
                <w:rFonts w:cs="Helvetica"/>
                <w:sz w:val="18"/>
                <w:szCs w:val="18"/>
              </w:rPr>
              <w:t>Peptic ulcer disease</w:t>
            </w:r>
          </w:p>
        </w:tc>
        <w:tc>
          <w:tcPr>
            <w:tcW w:w="3442" w:type="dxa"/>
            <w:vAlign w:val="center"/>
          </w:tcPr>
          <w:p w14:paraId="639833E4" w14:textId="77777777" w:rsidR="00BE3C80" w:rsidRPr="003945B2" w:rsidRDefault="00BE3C80" w:rsidP="00D447F9">
            <w:pPr>
              <w:jc w:val="center"/>
              <w:rPr>
                <w:rFonts w:cs="Helvetica"/>
                <w:sz w:val="18"/>
                <w:szCs w:val="18"/>
              </w:rPr>
            </w:pPr>
            <w:r w:rsidRPr="003945B2">
              <w:rPr>
                <w:rFonts w:cs="Helvetica"/>
                <w:sz w:val="18"/>
                <w:szCs w:val="18"/>
              </w:rPr>
              <w:t>531.x–534.x</w:t>
            </w:r>
          </w:p>
        </w:tc>
        <w:tc>
          <w:tcPr>
            <w:tcW w:w="3299" w:type="dxa"/>
            <w:shd w:val="clear" w:color="auto" w:fill="auto"/>
            <w:vAlign w:val="center"/>
          </w:tcPr>
          <w:p w14:paraId="610B9DA6" w14:textId="77777777" w:rsidR="00BE3C80" w:rsidRPr="003945B2" w:rsidRDefault="00BE3C80" w:rsidP="00D447F9">
            <w:pPr>
              <w:jc w:val="center"/>
              <w:rPr>
                <w:rFonts w:cs="Helvetica"/>
                <w:sz w:val="18"/>
                <w:szCs w:val="18"/>
              </w:rPr>
            </w:pPr>
            <w:r w:rsidRPr="003945B2">
              <w:rPr>
                <w:rFonts w:cs="Helvetica"/>
                <w:sz w:val="18"/>
                <w:szCs w:val="18"/>
              </w:rPr>
              <w:t>K25.x–K28.x</w:t>
            </w:r>
          </w:p>
        </w:tc>
        <w:tc>
          <w:tcPr>
            <w:tcW w:w="1435" w:type="dxa"/>
            <w:vAlign w:val="center"/>
          </w:tcPr>
          <w:p w14:paraId="15ABD1C2" w14:textId="77777777" w:rsidR="00BE3C80" w:rsidRPr="003945B2" w:rsidRDefault="00BE3C80" w:rsidP="00D447F9">
            <w:pPr>
              <w:jc w:val="center"/>
              <w:rPr>
                <w:rFonts w:cs="Helvetica"/>
                <w:sz w:val="18"/>
                <w:szCs w:val="18"/>
              </w:rPr>
            </w:pPr>
            <w:r w:rsidRPr="003945B2">
              <w:rPr>
                <w:rFonts w:cs="Helvetica"/>
                <w:sz w:val="18"/>
                <w:szCs w:val="18"/>
              </w:rPr>
              <w:t>0</w:t>
            </w:r>
          </w:p>
        </w:tc>
      </w:tr>
      <w:tr w:rsidR="00BE3C80" w:rsidRPr="00C060C0" w14:paraId="51FCA2A6" w14:textId="77777777" w:rsidTr="00D447F9">
        <w:trPr>
          <w:trHeight w:val="342"/>
        </w:trPr>
        <w:tc>
          <w:tcPr>
            <w:tcW w:w="2003" w:type="dxa"/>
            <w:shd w:val="clear" w:color="auto" w:fill="auto"/>
            <w:vAlign w:val="center"/>
          </w:tcPr>
          <w:p w14:paraId="7A00BE9A" w14:textId="77777777" w:rsidR="00BE3C80" w:rsidRPr="003945B2" w:rsidRDefault="00BE3C80" w:rsidP="00D447F9">
            <w:pPr>
              <w:jc w:val="left"/>
              <w:rPr>
                <w:rFonts w:cs="Helvetica"/>
                <w:sz w:val="18"/>
                <w:szCs w:val="18"/>
              </w:rPr>
            </w:pPr>
            <w:r w:rsidRPr="003945B2">
              <w:rPr>
                <w:rFonts w:cs="Helvetica"/>
                <w:sz w:val="18"/>
                <w:szCs w:val="18"/>
              </w:rPr>
              <w:t>Diabetes without chronic complications</w:t>
            </w:r>
          </w:p>
        </w:tc>
        <w:tc>
          <w:tcPr>
            <w:tcW w:w="3442" w:type="dxa"/>
            <w:vAlign w:val="center"/>
          </w:tcPr>
          <w:p w14:paraId="099D0ADE" w14:textId="77777777" w:rsidR="00BE3C80" w:rsidRPr="003945B2" w:rsidRDefault="00BE3C80" w:rsidP="00D447F9">
            <w:pPr>
              <w:jc w:val="center"/>
              <w:rPr>
                <w:rFonts w:cs="Helvetica"/>
                <w:sz w:val="18"/>
                <w:szCs w:val="18"/>
              </w:rPr>
            </w:pPr>
            <w:r w:rsidRPr="003945B2">
              <w:rPr>
                <w:rFonts w:cs="Helvetica"/>
                <w:sz w:val="18"/>
                <w:szCs w:val="18"/>
              </w:rPr>
              <w:t>250.0–250.3, 250.8, 250.9</w:t>
            </w:r>
          </w:p>
        </w:tc>
        <w:tc>
          <w:tcPr>
            <w:tcW w:w="3299" w:type="dxa"/>
            <w:shd w:val="clear" w:color="auto" w:fill="auto"/>
            <w:vAlign w:val="center"/>
          </w:tcPr>
          <w:p w14:paraId="68B68FEF" w14:textId="77777777" w:rsidR="00BE3C80" w:rsidRPr="003945B2" w:rsidRDefault="00BE3C80" w:rsidP="00D447F9">
            <w:pPr>
              <w:autoSpaceDE w:val="0"/>
              <w:autoSpaceDN w:val="0"/>
              <w:adjustRightInd w:val="0"/>
              <w:jc w:val="center"/>
              <w:rPr>
                <w:rFonts w:cs="Helvetica"/>
                <w:sz w:val="18"/>
                <w:szCs w:val="18"/>
                <w:lang w:val="es-ES"/>
              </w:rPr>
            </w:pPr>
            <w:r w:rsidRPr="003945B2">
              <w:rPr>
                <w:rFonts w:cs="Helvetica"/>
                <w:sz w:val="18"/>
                <w:szCs w:val="18"/>
                <w:lang w:val="es-ES"/>
              </w:rPr>
              <w:t>E10.0, E10.1, E10.6, E10.8, E10.9, E11.0, E11.1, E11.6, E11.8, E11.9, E12.0, E12.1, E12.6, E12.8, E12.9,</w:t>
            </w:r>
          </w:p>
          <w:p w14:paraId="3EBCA0E3" w14:textId="77777777" w:rsidR="00BE3C80" w:rsidRPr="003945B2" w:rsidRDefault="00BE3C80" w:rsidP="00D447F9">
            <w:pPr>
              <w:autoSpaceDE w:val="0"/>
              <w:autoSpaceDN w:val="0"/>
              <w:adjustRightInd w:val="0"/>
              <w:jc w:val="center"/>
              <w:rPr>
                <w:rFonts w:cs="Helvetica"/>
                <w:sz w:val="18"/>
                <w:szCs w:val="18"/>
                <w:lang w:val="es-ES"/>
              </w:rPr>
            </w:pPr>
            <w:r w:rsidRPr="003945B2">
              <w:rPr>
                <w:rFonts w:cs="Helvetica"/>
                <w:sz w:val="18"/>
                <w:szCs w:val="18"/>
                <w:lang w:val="es-ES"/>
              </w:rPr>
              <w:t>E13.0, E13.1, E13.6, E13.8, E13.9, E14.0, E14.1, E14.6, E14.8, E14.9</w:t>
            </w:r>
          </w:p>
        </w:tc>
        <w:tc>
          <w:tcPr>
            <w:tcW w:w="1435" w:type="dxa"/>
            <w:vAlign w:val="center"/>
          </w:tcPr>
          <w:p w14:paraId="6574EEDE" w14:textId="77777777" w:rsidR="00BE3C80" w:rsidRPr="003945B2" w:rsidRDefault="00BE3C80" w:rsidP="00D447F9">
            <w:pPr>
              <w:jc w:val="center"/>
              <w:rPr>
                <w:rFonts w:cs="Helvetica"/>
                <w:sz w:val="18"/>
                <w:szCs w:val="18"/>
              </w:rPr>
            </w:pPr>
            <w:r w:rsidRPr="003945B2">
              <w:rPr>
                <w:rFonts w:cs="Helvetica"/>
                <w:sz w:val="18"/>
                <w:szCs w:val="18"/>
              </w:rPr>
              <w:t>0</w:t>
            </w:r>
          </w:p>
        </w:tc>
      </w:tr>
      <w:tr w:rsidR="00BE3C80" w:rsidRPr="00C060C0" w14:paraId="5EB29E0B" w14:textId="77777777" w:rsidTr="00D447F9">
        <w:trPr>
          <w:trHeight w:val="342"/>
        </w:trPr>
        <w:tc>
          <w:tcPr>
            <w:tcW w:w="2003" w:type="dxa"/>
            <w:shd w:val="clear" w:color="auto" w:fill="auto"/>
            <w:vAlign w:val="center"/>
          </w:tcPr>
          <w:p w14:paraId="63F898A3" w14:textId="77777777" w:rsidR="00BE3C80" w:rsidRPr="003945B2" w:rsidRDefault="00BE3C80" w:rsidP="00D447F9">
            <w:pPr>
              <w:jc w:val="left"/>
              <w:rPr>
                <w:rFonts w:cs="Helvetica"/>
                <w:sz w:val="18"/>
                <w:szCs w:val="18"/>
              </w:rPr>
            </w:pPr>
            <w:r w:rsidRPr="003945B2">
              <w:rPr>
                <w:rFonts w:cs="Helvetica"/>
                <w:sz w:val="18"/>
                <w:szCs w:val="18"/>
              </w:rPr>
              <w:t>Diabetes with chronic complications</w:t>
            </w:r>
          </w:p>
        </w:tc>
        <w:tc>
          <w:tcPr>
            <w:tcW w:w="3442" w:type="dxa"/>
            <w:vAlign w:val="center"/>
          </w:tcPr>
          <w:p w14:paraId="5304995A" w14:textId="77777777" w:rsidR="00BE3C80" w:rsidRPr="003945B2" w:rsidRDefault="00BE3C80" w:rsidP="00D447F9">
            <w:pPr>
              <w:jc w:val="center"/>
              <w:rPr>
                <w:rFonts w:cs="Helvetica"/>
                <w:sz w:val="18"/>
                <w:szCs w:val="18"/>
              </w:rPr>
            </w:pPr>
            <w:r w:rsidRPr="003945B2">
              <w:rPr>
                <w:rFonts w:cs="Helvetica"/>
                <w:sz w:val="18"/>
                <w:szCs w:val="18"/>
              </w:rPr>
              <w:t>250.4–250.7</w:t>
            </w:r>
          </w:p>
        </w:tc>
        <w:tc>
          <w:tcPr>
            <w:tcW w:w="3299" w:type="dxa"/>
            <w:shd w:val="clear" w:color="auto" w:fill="auto"/>
            <w:vAlign w:val="center"/>
          </w:tcPr>
          <w:p w14:paraId="727C005D" w14:textId="77777777" w:rsidR="00BE3C80" w:rsidRPr="003945B2" w:rsidRDefault="00BE3C80" w:rsidP="00D447F9">
            <w:pPr>
              <w:autoSpaceDE w:val="0"/>
              <w:autoSpaceDN w:val="0"/>
              <w:adjustRightInd w:val="0"/>
              <w:jc w:val="center"/>
              <w:rPr>
                <w:rFonts w:cs="Helvetica"/>
                <w:sz w:val="18"/>
                <w:szCs w:val="18"/>
                <w:lang w:val="es-ES"/>
              </w:rPr>
            </w:pPr>
            <w:r w:rsidRPr="003945B2">
              <w:rPr>
                <w:rFonts w:cs="Helvetica"/>
                <w:sz w:val="18"/>
                <w:szCs w:val="18"/>
                <w:lang w:val="es-ES"/>
              </w:rPr>
              <w:t>E10.2–E10.5, E10.7, E11.2–E11.5, E11.7, E12.2–E12.5, E12.7, E13.2–E13.5, E13.7, E14.2–E14.5, E14.7</w:t>
            </w:r>
          </w:p>
        </w:tc>
        <w:tc>
          <w:tcPr>
            <w:tcW w:w="1435" w:type="dxa"/>
            <w:vAlign w:val="center"/>
          </w:tcPr>
          <w:p w14:paraId="1A26D47E" w14:textId="77777777" w:rsidR="00BE3C80" w:rsidRPr="003945B2" w:rsidRDefault="00BE3C80" w:rsidP="00D447F9">
            <w:pPr>
              <w:jc w:val="center"/>
              <w:rPr>
                <w:rFonts w:cs="Helvetica"/>
                <w:sz w:val="18"/>
                <w:szCs w:val="18"/>
              </w:rPr>
            </w:pPr>
            <w:r w:rsidRPr="003945B2">
              <w:rPr>
                <w:rFonts w:cs="Helvetica"/>
                <w:sz w:val="18"/>
                <w:szCs w:val="18"/>
              </w:rPr>
              <w:t>1</w:t>
            </w:r>
          </w:p>
        </w:tc>
      </w:tr>
      <w:tr w:rsidR="00BE3C80" w:rsidRPr="00C060C0" w14:paraId="344F8F45" w14:textId="77777777" w:rsidTr="00D447F9">
        <w:trPr>
          <w:trHeight w:val="342"/>
        </w:trPr>
        <w:tc>
          <w:tcPr>
            <w:tcW w:w="2003" w:type="dxa"/>
            <w:shd w:val="clear" w:color="auto" w:fill="auto"/>
            <w:vAlign w:val="center"/>
          </w:tcPr>
          <w:p w14:paraId="0565F5A6" w14:textId="77777777" w:rsidR="00BE3C80" w:rsidRPr="003945B2" w:rsidRDefault="00BE3C80" w:rsidP="00D447F9">
            <w:pPr>
              <w:jc w:val="left"/>
              <w:rPr>
                <w:rFonts w:cs="Helvetica"/>
                <w:sz w:val="18"/>
                <w:szCs w:val="18"/>
              </w:rPr>
            </w:pPr>
            <w:r w:rsidRPr="003945B2">
              <w:rPr>
                <w:rFonts w:cs="Helvetica"/>
                <w:sz w:val="18"/>
                <w:szCs w:val="18"/>
              </w:rPr>
              <w:t>Renal disease</w:t>
            </w:r>
          </w:p>
        </w:tc>
        <w:tc>
          <w:tcPr>
            <w:tcW w:w="3442" w:type="dxa"/>
            <w:vAlign w:val="center"/>
          </w:tcPr>
          <w:p w14:paraId="338D9921"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403.01, 403.11, 403.91, 404.02, 404.03, 404.12, 404.13, 404.92, 404.93, 582.x, 583.0–583.7, 585.x, 586.x, 588.0, V42.0, V45.1, V56.x</w:t>
            </w:r>
          </w:p>
        </w:tc>
        <w:tc>
          <w:tcPr>
            <w:tcW w:w="3299" w:type="dxa"/>
            <w:shd w:val="clear" w:color="auto" w:fill="auto"/>
            <w:vAlign w:val="center"/>
          </w:tcPr>
          <w:p w14:paraId="5A3846D3"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I12.0, I13.1, N03.2–N03.7, N05.2–N05.7, N18.x, N19.x, N25.0, Z49.0–Z49.2, Z94.0, Z99.2</w:t>
            </w:r>
          </w:p>
        </w:tc>
        <w:tc>
          <w:tcPr>
            <w:tcW w:w="1435" w:type="dxa"/>
            <w:vAlign w:val="center"/>
          </w:tcPr>
          <w:p w14:paraId="3C020390" w14:textId="77777777" w:rsidR="00BE3C80" w:rsidRPr="003945B2" w:rsidRDefault="00BE3C80" w:rsidP="00D447F9">
            <w:pPr>
              <w:jc w:val="center"/>
              <w:rPr>
                <w:rFonts w:cs="Helvetica"/>
                <w:sz w:val="18"/>
                <w:szCs w:val="18"/>
              </w:rPr>
            </w:pPr>
            <w:r w:rsidRPr="003945B2">
              <w:rPr>
                <w:rFonts w:cs="Helvetica"/>
                <w:sz w:val="18"/>
                <w:szCs w:val="18"/>
              </w:rPr>
              <w:t>1</w:t>
            </w:r>
          </w:p>
        </w:tc>
      </w:tr>
      <w:tr w:rsidR="00BE3C80" w:rsidRPr="00C060C0" w14:paraId="4632267B" w14:textId="77777777" w:rsidTr="00D447F9">
        <w:trPr>
          <w:trHeight w:val="342"/>
        </w:trPr>
        <w:tc>
          <w:tcPr>
            <w:tcW w:w="2003" w:type="dxa"/>
            <w:shd w:val="clear" w:color="auto" w:fill="auto"/>
            <w:vAlign w:val="center"/>
          </w:tcPr>
          <w:p w14:paraId="6B380961" w14:textId="77777777" w:rsidR="00BE3C80" w:rsidRPr="003945B2" w:rsidRDefault="00BE3C80" w:rsidP="00D447F9">
            <w:pPr>
              <w:jc w:val="left"/>
              <w:rPr>
                <w:rFonts w:cs="Helvetica"/>
                <w:sz w:val="18"/>
                <w:szCs w:val="18"/>
              </w:rPr>
            </w:pPr>
            <w:r w:rsidRPr="003945B2">
              <w:rPr>
                <w:rFonts w:cs="Helvetica"/>
                <w:sz w:val="18"/>
                <w:szCs w:val="18"/>
              </w:rPr>
              <w:t>Any malignancy, including leukemia and lymphoma</w:t>
            </w:r>
          </w:p>
        </w:tc>
        <w:tc>
          <w:tcPr>
            <w:tcW w:w="3442" w:type="dxa"/>
            <w:vAlign w:val="center"/>
          </w:tcPr>
          <w:p w14:paraId="5FCCBABC"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140.x–172.x, 174.x–195.8, 200.x–208.x, 238.6</w:t>
            </w:r>
          </w:p>
        </w:tc>
        <w:tc>
          <w:tcPr>
            <w:tcW w:w="3299" w:type="dxa"/>
            <w:shd w:val="clear" w:color="auto" w:fill="auto"/>
            <w:vAlign w:val="center"/>
          </w:tcPr>
          <w:p w14:paraId="4C2498BC" w14:textId="77777777" w:rsidR="00BE3C80" w:rsidRPr="003945B2" w:rsidRDefault="00BE3C80" w:rsidP="00D447F9">
            <w:pPr>
              <w:autoSpaceDE w:val="0"/>
              <w:autoSpaceDN w:val="0"/>
              <w:adjustRightInd w:val="0"/>
              <w:jc w:val="center"/>
              <w:rPr>
                <w:rFonts w:cs="Helvetica"/>
                <w:sz w:val="18"/>
                <w:szCs w:val="18"/>
                <w:lang w:val="fr-FR"/>
              </w:rPr>
            </w:pPr>
            <w:r w:rsidRPr="003945B2">
              <w:rPr>
                <w:rFonts w:cs="Helvetica"/>
                <w:sz w:val="18"/>
                <w:szCs w:val="18"/>
                <w:lang w:val="fr-FR"/>
              </w:rPr>
              <w:t>C00.x–C26.x, C30.x–C34.x, C37.x–C41.x, C43.x, C45.x–C58.x, C60.x–C76.x, C81.x–C85.x, C88.x, C90.x–C97.x</w:t>
            </w:r>
          </w:p>
        </w:tc>
        <w:tc>
          <w:tcPr>
            <w:tcW w:w="1435" w:type="dxa"/>
            <w:vAlign w:val="center"/>
          </w:tcPr>
          <w:p w14:paraId="3304475A" w14:textId="77777777" w:rsidR="00BE3C80" w:rsidRPr="003945B2" w:rsidRDefault="00BE3C80" w:rsidP="00D447F9">
            <w:pPr>
              <w:jc w:val="center"/>
              <w:rPr>
                <w:rFonts w:cs="Helvetica"/>
                <w:sz w:val="18"/>
                <w:szCs w:val="18"/>
              </w:rPr>
            </w:pPr>
            <w:r w:rsidRPr="003945B2">
              <w:rPr>
                <w:rFonts w:cs="Helvetica"/>
                <w:sz w:val="18"/>
                <w:szCs w:val="18"/>
              </w:rPr>
              <w:t>2</w:t>
            </w:r>
          </w:p>
        </w:tc>
      </w:tr>
      <w:tr w:rsidR="00BE3C80" w:rsidRPr="00C060C0" w14:paraId="68E0DCA9" w14:textId="77777777" w:rsidTr="00D447F9">
        <w:trPr>
          <w:trHeight w:val="342"/>
        </w:trPr>
        <w:tc>
          <w:tcPr>
            <w:tcW w:w="2003" w:type="dxa"/>
            <w:shd w:val="clear" w:color="auto" w:fill="auto"/>
            <w:vAlign w:val="center"/>
          </w:tcPr>
          <w:p w14:paraId="0CFB0DE9" w14:textId="77777777" w:rsidR="00BE3C80" w:rsidRPr="003945B2" w:rsidRDefault="00BE3C80" w:rsidP="00D447F9">
            <w:pPr>
              <w:jc w:val="left"/>
              <w:rPr>
                <w:rFonts w:cs="Helvetica"/>
                <w:sz w:val="18"/>
                <w:szCs w:val="18"/>
              </w:rPr>
            </w:pPr>
            <w:r w:rsidRPr="003945B2">
              <w:rPr>
                <w:rFonts w:cs="Helvetica"/>
                <w:sz w:val="18"/>
                <w:szCs w:val="18"/>
              </w:rPr>
              <w:t>Metastatic solid tumor</w:t>
            </w:r>
          </w:p>
        </w:tc>
        <w:tc>
          <w:tcPr>
            <w:tcW w:w="3442" w:type="dxa"/>
            <w:vAlign w:val="center"/>
          </w:tcPr>
          <w:p w14:paraId="1651533A" w14:textId="77777777" w:rsidR="00BE3C80" w:rsidRPr="003945B2" w:rsidRDefault="00BE3C80" w:rsidP="00D447F9">
            <w:pPr>
              <w:jc w:val="center"/>
              <w:rPr>
                <w:rFonts w:cs="Helvetica"/>
                <w:sz w:val="18"/>
                <w:szCs w:val="18"/>
              </w:rPr>
            </w:pPr>
            <w:r w:rsidRPr="003945B2">
              <w:rPr>
                <w:rFonts w:cs="Helvetica"/>
                <w:sz w:val="18"/>
                <w:szCs w:val="18"/>
              </w:rPr>
              <w:t>196.x–199.x</w:t>
            </w:r>
          </w:p>
        </w:tc>
        <w:tc>
          <w:tcPr>
            <w:tcW w:w="3299" w:type="dxa"/>
            <w:shd w:val="clear" w:color="auto" w:fill="auto"/>
            <w:vAlign w:val="center"/>
          </w:tcPr>
          <w:p w14:paraId="48F298A9" w14:textId="77777777" w:rsidR="00BE3C80" w:rsidRPr="003945B2" w:rsidRDefault="00BE3C80" w:rsidP="00D447F9">
            <w:pPr>
              <w:jc w:val="center"/>
              <w:rPr>
                <w:rFonts w:cs="Helvetica"/>
                <w:sz w:val="18"/>
                <w:szCs w:val="18"/>
              </w:rPr>
            </w:pPr>
            <w:r w:rsidRPr="003945B2">
              <w:rPr>
                <w:rFonts w:cs="Helvetica"/>
                <w:sz w:val="18"/>
                <w:szCs w:val="18"/>
              </w:rPr>
              <w:t>C77.x–C80.x</w:t>
            </w:r>
          </w:p>
        </w:tc>
        <w:tc>
          <w:tcPr>
            <w:tcW w:w="1435" w:type="dxa"/>
            <w:vAlign w:val="center"/>
          </w:tcPr>
          <w:p w14:paraId="1DD754E7" w14:textId="77777777" w:rsidR="00BE3C80" w:rsidRPr="003945B2" w:rsidRDefault="00BE3C80" w:rsidP="00D447F9">
            <w:pPr>
              <w:jc w:val="center"/>
              <w:rPr>
                <w:rFonts w:cs="Helvetica"/>
                <w:sz w:val="18"/>
                <w:szCs w:val="18"/>
              </w:rPr>
            </w:pPr>
            <w:r w:rsidRPr="003945B2">
              <w:rPr>
                <w:rFonts w:cs="Helvetica"/>
                <w:sz w:val="18"/>
                <w:szCs w:val="18"/>
              </w:rPr>
              <w:t>6</w:t>
            </w:r>
          </w:p>
        </w:tc>
      </w:tr>
      <w:tr w:rsidR="00BE3C80" w:rsidRPr="00C060C0" w14:paraId="137FBE18" w14:textId="77777777" w:rsidTr="00D447F9">
        <w:trPr>
          <w:trHeight w:val="342"/>
        </w:trPr>
        <w:tc>
          <w:tcPr>
            <w:tcW w:w="2003" w:type="dxa"/>
            <w:shd w:val="clear" w:color="auto" w:fill="auto"/>
            <w:vAlign w:val="center"/>
          </w:tcPr>
          <w:p w14:paraId="157E28D2" w14:textId="77777777" w:rsidR="00BE3C80" w:rsidRPr="003945B2" w:rsidRDefault="00BE3C80" w:rsidP="00D447F9">
            <w:pPr>
              <w:jc w:val="left"/>
              <w:rPr>
                <w:rFonts w:cs="Helvetica"/>
                <w:sz w:val="18"/>
                <w:szCs w:val="18"/>
              </w:rPr>
            </w:pPr>
            <w:r w:rsidRPr="003945B2">
              <w:rPr>
                <w:rFonts w:cs="Helvetica"/>
                <w:sz w:val="18"/>
                <w:szCs w:val="18"/>
              </w:rPr>
              <w:t>Mild liver disease</w:t>
            </w:r>
          </w:p>
        </w:tc>
        <w:tc>
          <w:tcPr>
            <w:tcW w:w="3442" w:type="dxa"/>
            <w:vAlign w:val="center"/>
          </w:tcPr>
          <w:p w14:paraId="23F0C992"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070.22, 070.23, 070.32, 070.33, 070.44, 070.54, 070.6, 070.9, 570.x, 571.x, 573.3, 573.4, 573.8, 573.9, V42.7</w:t>
            </w:r>
          </w:p>
        </w:tc>
        <w:tc>
          <w:tcPr>
            <w:tcW w:w="3299" w:type="dxa"/>
            <w:shd w:val="clear" w:color="auto" w:fill="auto"/>
            <w:vAlign w:val="center"/>
          </w:tcPr>
          <w:p w14:paraId="6771B23D"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B18.x, K70.0–K70.3, K70.9, K71.3–K71.5, K71.7, K73.x, K74.x,</w:t>
            </w:r>
          </w:p>
          <w:p w14:paraId="0FCFC3F3"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K76.0, K76.2–K76.4, K76.8, K76.9, Z94.4</w:t>
            </w:r>
          </w:p>
        </w:tc>
        <w:tc>
          <w:tcPr>
            <w:tcW w:w="1435" w:type="dxa"/>
            <w:vAlign w:val="center"/>
          </w:tcPr>
          <w:p w14:paraId="309D096F" w14:textId="77777777" w:rsidR="00BE3C80" w:rsidRPr="003945B2" w:rsidRDefault="00BE3C80" w:rsidP="00D447F9">
            <w:pPr>
              <w:jc w:val="center"/>
              <w:rPr>
                <w:rFonts w:cs="Helvetica"/>
                <w:sz w:val="18"/>
                <w:szCs w:val="18"/>
              </w:rPr>
            </w:pPr>
            <w:r w:rsidRPr="003945B2">
              <w:rPr>
                <w:rFonts w:cs="Helvetica"/>
                <w:sz w:val="18"/>
                <w:szCs w:val="18"/>
              </w:rPr>
              <w:t>2</w:t>
            </w:r>
          </w:p>
        </w:tc>
      </w:tr>
      <w:tr w:rsidR="00BE3C80" w:rsidRPr="00C060C0" w14:paraId="18A7E9BA" w14:textId="77777777" w:rsidTr="00D447F9">
        <w:trPr>
          <w:trHeight w:val="342"/>
        </w:trPr>
        <w:tc>
          <w:tcPr>
            <w:tcW w:w="2003" w:type="dxa"/>
            <w:shd w:val="clear" w:color="auto" w:fill="auto"/>
            <w:vAlign w:val="center"/>
          </w:tcPr>
          <w:p w14:paraId="26AC5F3C" w14:textId="77777777" w:rsidR="00BE3C80" w:rsidRPr="003945B2" w:rsidRDefault="00BE3C80" w:rsidP="00D447F9">
            <w:pPr>
              <w:jc w:val="left"/>
              <w:rPr>
                <w:rFonts w:cs="Helvetica"/>
                <w:sz w:val="18"/>
                <w:szCs w:val="18"/>
              </w:rPr>
            </w:pPr>
            <w:r w:rsidRPr="003945B2">
              <w:rPr>
                <w:rFonts w:cs="Helvetica"/>
                <w:sz w:val="18"/>
                <w:szCs w:val="18"/>
              </w:rPr>
              <w:t>Moderate or severe liver disease</w:t>
            </w:r>
          </w:p>
        </w:tc>
        <w:tc>
          <w:tcPr>
            <w:tcW w:w="3442" w:type="dxa"/>
            <w:vAlign w:val="center"/>
          </w:tcPr>
          <w:p w14:paraId="3DCE4355" w14:textId="77777777" w:rsidR="00BE3C80" w:rsidRPr="003945B2" w:rsidRDefault="00BE3C80" w:rsidP="00D447F9">
            <w:pPr>
              <w:jc w:val="center"/>
              <w:rPr>
                <w:rFonts w:cs="Helvetica"/>
                <w:sz w:val="18"/>
                <w:szCs w:val="18"/>
              </w:rPr>
            </w:pPr>
            <w:r w:rsidRPr="003945B2">
              <w:rPr>
                <w:rFonts w:cs="Helvetica"/>
                <w:sz w:val="18"/>
                <w:szCs w:val="18"/>
              </w:rPr>
              <w:t>456.0–456.2, 572.2–572.8</w:t>
            </w:r>
          </w:p>
        </w:tc>
        <w:tc>
          <w:tcPr>
            <w:tcW w:w="3299" w:type="dxa"/>
            <w:shd w:val="clear" w:color="auto" w:fill="auto"/>
            <w:vAlign w:val="center"/>
          </w:tcPr>
          <w:p w14:paraId="2CF9F91C" w14:textId="77777777" w:rsidR="00BE3C80" w:rsidRPr="003945B2" w:rsidRDefault="00BE3C80" w:rsidP="00D447F9">
            <w:pPr>
              <w:autoSpaceDE w:val="0"/>
              <w:autoSpaceDN w:val="0"/>
              <w:adjustRightInd w:val="0"/>
              <w:jc w:val="center"/>
              <w:rPr>
                <w:rFonts w:cs="Helvetica"/>
                <w:sz w:val="18"/>
                <w:szCs w:val="18"/>
              </w:rPr>
            </w:pPr>
            <w:r w:rsidRPr="003945B2">
              <w:rPr>
                <w:rFonts w:cs="Helvetica"/>
                <w:sz w:val="18"/>
                <w:szCs w:val="18"/>
              </w:rPr>
              <w:t>I85.0, I85.9, I86.4, I98.2, K70.4, K71.1, K72.1, K72.9, K76.5, K76.6, K76.7</w:t>
            </w:r>
          </w:p>
        </w:tc>
        <w:tc>
          <w:tcPr>
            <w:tcW w:w="1435" w:type="dxa"/>
            <w:vAlign w:val="center"/>
          </w:tcPr>
          <w:p w14:paraId="0CD669DD" w14:textId="77777777" w:rsidR="00BE3C80" w:rsidRPr="003945B2" w:rsidRDefault="00BE3C80" w:rsidP="00D447F9">
            <w:pPr>
              <w:jc w:val="center"/>
              <w:rPr>
                <w:rFonts w:cs="Helvetica"/>
                <w:sz w:val="18"/>
                <w:szCs w:val="18"/>
              </w:rPr>
            </w:pPr>
            <w:r w:rsidRPr="003945B2">
              <w:rPr>
                <w:rFonts w:cs="Helvetica"/>
                <w:sz w:val="18"/>
                <w:szCs w:val="18"/>
              </w:rPr>
              <w:t>4</w:t>
            </w:r>
          </w:p>
        </w:tc>
      </w:tr>
      <w:tr w:rsidR="00BE3C80" w:rsidRPr="00C060C0" w14:paraId="7E618BB3" w14:textId="77777777" w:rsidTr="00D447F9">
        <w:trPr>
          <w:trHeight w:val="342"/>
        </w:trPr>
        <w:tc>
          <w:tcPr>
            <w:tcW w:w="2003" w:type="dxa"/>
            <w:shd w:val="clear" w:color="auto" w:fill="auto"/>
            <w:vAlign w:val="center"/>
          </w:tcPr>
          <w:p w14:paraId="7CBE3F03" w14:textId="77777777" w:rsidR="00BE3C80" w:rsidRPr="003945B2" w:rsidRDefault="00BE3C80" w:rsidP="00D447F9">
            <w:pPr>
              <w:jc w:val="left"/>
              <w:rPr>
                <w:rFonts w:cs="Helvetica"/>
                <w:sz w:val="18"/>
                <w:szCs w:val="18"/>
              </w:rPr>
            </w:pPr>
            <w:r w:rsidRPr="003945B2">
              <w:rPr>
                <w:rFonts w:cs="Helvetica"/>
                <w:sz w:val="18"/>
                <w:szCs w:val="18"/>
              </w:rPr>
              <w:t>AIDS/HIV</w:t>
            </w:r>
          </w:p>
        </w:tc>
        <w:tc>
          <w:tcPr>
            <w:tcW w:w="3442" w:type="dxa"/>
            <w:vAlign w:val="center"/>
          </w:tcPr>
          <w:p w14:paraId="29844A01" w14:textId="77777777" w:rsidR="00BE3C80" w:rsidRPr="003945B2" w:rsidRDefault="00BE3C80" w:rsidP="00D447F9">
            <w:pPr>
              <w:jc w:val="center"/>
              <w:rPr>
                <w:rFonts w:cs="Helvetica"/>
                <w:sz w:val="18"/>
                <w:szCs w:val="18"/>
              </w:rPr>
            </w:pPr>
            <w:r w:rsidRPr="003945B2">
              <w:rPr>
                <w:rFonts w:cs="Helvetica"/>
                <w:sz w:val="18"/>
                <w:szCs w:val="18"/>
              </w:rPr>
              <w:t>042.x–044.x</w:t>
            </w:r>
          </w:p>
        </w:tc>
        <w:tc>
          <w:tcPr>
            <w:tcW w:w="3299" w:type="dxa"/>
            <w:shd w:val="clear" w:color="auto" w:fill="auto"/>
            <w:vAlign w:val="center"/>
          </w:tcPr>
          <w:p w14:paraId="5317E234" w14:textId="77777777" w:rsidR="00BE3C80" w:rsidRPr="003945B2" w:rsidRDefault="00BE3C80" w:rsidP="00D447F9">
            <w:pPr>
              <w:jc w:val="center"/>
              <w:rPr>
                <w:rFonts w:cs="Helvetica"/>
                <w:sz w:val="18"/>
                <w:szCs w:val="18"/>
              </w:rPr>
            </w:pPr>
            <w:r w:rsidRPr="003945B2">
              <w:rPr>
                <w:rFonts w:cs="Helvetica"/>
                <w:sz w:val="18"/>
                <w:szCs w:val="18"/>
              </w:rPr>
              <w:t>B20.x–B22.x, B24.x</w:t>
            </w:r>
          </w:p>
        </w:tc>
        <w:tc>
          <w:tcPr>
            <w:tcW w:w="1435" w:type="dxa"/>
            <w:vAlign w:val="center"/>
          </w:tcPr>
          <w:p w14:paraId="564DB690" w14:textId="77777777" w:rsidR="00BE3C80" w:rsidRPr="003945B2" w:rsidRDefault="00BE3C80" w:rsidP="00D447F9">
            <w:pPr>
              <w:jc w:val="center"/>
              <w:rPr>
                <w:rFonts w:cs="Helvetica"/>
                <w:sz w:val="18"/>
                <w:szCs w:val="18"/>
              </w:rPr>
            </w:pPr>
            <w:r w:rsidRPr="003945B2">
              <w:rPr>
                <w:rFonts w:cs="Helvetica"/>
                <w:sz w:val="18"/>
                <w:szCs w:val="18"/>
              </w:rPr>
              <w:t>4</w:t>
            </w:r>
          </w:p>
        </w:tc>
      </w:tr>
    </w:tbl>
    <w:p w14:paraId="7F39469D" w14:textId="77777777" w:rsidR="00BE3C80" w:rsidRPr="00F07464" w:rsidRDefault="00BE3C80" w:rsidP="00BE3C80">
      <w:pPr>
        <w:pBdr>
          <w:top w:val="nil"/>
          <w:left w:val="nil"/>
          <w:bottom w:val="nil"/>
          <w:right w:val="nil"/>
          <w:between w:val="nil"/>
        </w:pBdr>
        <w:spacing w:line="240" w:lineRule="auto"/>
        <w:rPr>
          <w:rFonts w:eastAsia="Calibri" w:cs="Helvetica"/>
          <w:sz w:val="16"/>
          <w:szCs w:val="16"/>
        </w:rPr>
      </w:pPr>
      <w:r w:rsidRPr="00F07464">
        <w:rPr>
          <w:rFonts w:eastAsia="Calibri" w:cs="Helvetica"/>
          <w:sz w:val="16"/>
          <w:szCs w:val="16"/>
        </w:rPr>
        <w:t xml:space="preserve">Abbreviations: AIDS/HIV: </w:t>
      </w:r>
      <w:r w:rsidRPr="00F07464">
        <w:rPr>
          <w:rFonts w:cs="Helvetica"/>
          <w:sz w:val="16"/>
          <w:szCs w:val="16"/>
        </w:rPr>
        <w:t xml:space="preserve">Acquired Immunodeficiency Syndrome/Human Immunodeficiency Virus: </w:t>
      </w:r>
      <w:r w:rsidRPr="00F07464">
        <w:rPr>
          <w:rFonts w:cs="Helvetica"/>
          <w:sz w:val="16"/>
          <w:szCs w:val="16"/>
          <w:lang w:val="en-CA"/>
        </w:rPr>
        <w:t xml:space="preserve">ICD-9-CM: International Classification of Diseases, Ninth Revision, Clinical Modification; ICD-10-CA: </w:t>
      </w:r>
      <w:bookmarkStart w:id="0" w:name="_Hlk122072881"/>
      <w:r w:rsidRPr="00F07464">
        <w:rPr>
          <w:rFonts w:cs="Helvetica"/>
          <w:sz w:val="16"/>
          <w:szCs w:val="16"/>
          <w:lang w:val="en-CA"/>
        </w:rPr>
        <w:t>International Statistical Classification of Diseases and Related Health Problems, 10</w:t>
      </w:r>
      <w:r w:rsidRPr="00F07464">
        <w:rPr>
          <w:rFonts w:cs="Helvetica"/>
          <w:sz w:val="16"/>
          <w:szCs w:val="16"/>
          <w:vertAlign w:val="superscript"/>
          <w:lang w:val="en-CA"/>
        </w:rPr>
        <w:t>th</w:t>
      </w:r>
      <w:r w:rsidRPr="00F07464">
        <w:rPr>
          <w:rFonts w:cs="Helvetica"/>
          <w:sz w:val="16"/>
          <w:szCs w:val="16"/>
          <w:lang w:val="en-CA"/>
        </w:rPr>
        <w:t xml:space="preserve"> Revision, Canada</w:t>
      </w:r>
      <w:bookmarkEnd w:id="0"/>
    </w:p>
    <w:p w14:paraId="5356E726" w14:textId="6D0E5B01" w:rsidR="00DB1A73" w:rsidRDefault="00BE3C80" w:rsidP="00BE3C80">
      <w:pPr>
        <w:spacing w:line="240" w:lineRule="auto"/>
        <w:rPr>
          <w:bCs/>
          <w:sz w:val="16"/>
          <w:szCs w:val="16"/>
        </w:rPr>
      </w:pPr>
      <w:r w:rsidRPr="00BE3C80">
        <w:rPr>
          <w:sz w:val="16"/>
          <w:szCs w:val="16"/>
          <w:vertAlign w:val="superscript"/>
          <w:lang w:val="fr-FR"/>
        </w:rPr>
        <w:t>1</w:t>
      </w:r>
      <w:r w:rsidRPr="00BE3C80">
        <w:rPr>
          <w:sz w:val="16"/>
          <w:szCs w:val="16"/>
          <w:lang w:val="fr-FR"/>
        </w:rPr>
        <w:t xml:space="preserve">Quan H, Li B, </w:t>
      </w:r>
      <w:proofErr w:type="spellStart"/>
      <w:r w:rsidRPr="00BE3C80">
        <w:rPr>
          <w:sz w:val="16"/>
          <w:szCs w:val="16"/>
          <w:lang w:val="fr-FR"/>
        </w:rPr>
        <w:t>Couris</w:t>
      </w:r>
      <w:proofErr w:type="spellEnd"/>
      <w:r w:rsidRPr="00BE3C80">
        <w:rPr>
          <w:sz w:val="16"/>
          <w:szCs w:val="16"/>
          <w:lang w:val="fr-FR"/>
        </w:rPr>
        <w:t xml:space="preserve"> CM, et al. </w:t>
      </w:r>
      <w:r w:rsidRPr="00FD4A5F">
        <w:rPr>
          <w:sz w:val="16"/>
          <w:szCs w:val="16"/>
        </w:rPr>
        <w:t xml:space="preserve">Updating and validating the </w:t>
      </w:r>
      <w:proofErr w:type="spellStart"/>
      <w:r w:rsidRPr="00FD4A5F">
        <w:rPr>
          <w:sz w:val="16"/>
          <w:szCs w:val="16"/>
        </w:rPr>
        <w:t>Charlson</w:t>
      </w:r>
      <w:proofErr w:type="spellEnd"/>
      <w:r w:rsidRPr="00FD4A5F">
        <w:rPr>
          <w:sz w:val="16"/>
          <w:szCs w:val="16"/>
        </w:rPr>
        <w:t xml:space="preserve"> comorbidity index and score for risk adjustment in hospital discharge abstracts using data from 6 countries. </w:t>
      </w:r>
      <w:r w:rsidRPr="00FD4A5F">
        <w:rPr>
          <w:i/>
          <w:sz w:val="16"/>
          <w:szCs w:val="16"/>
        </w:rPr>
        <w:t>Am J Epidemiol</w:t>
      </w:r>
      <w:r w:rsidRPr="00FD4A5F">
        <w:rPr>
          <w:sz w:val="16"/>
          <w:szCs w:val="16"/>
        </w:rPr>
        <w:t xml:space="preserve"> 2011; </w:t>
      </w:r>
      <w:r w:rsidRPr="003945B2">
        <w:rPr>
          <w:bCs/>
          <w:sz w:val="16"/>
          <w:szCs w:val="16"/>
        </w:rPr>
        <w:t>173(6): 676-82</w:t>
      </w:r>
    </w:p>
    <w:p w14:paraId="5AC6174B" w14:textId="77777777" w:rsidR="00DB1A73" w:rsidRDefault="00DB1A73">
      <w:pPr>
        <w:spacing w:after="160" w:line="259" w:lineRule="auto"/>
        <w:rPr>
          <w:bCs/>
          <w:sz w:val="16"/>
          <w:szCs w:val="16"/>
        </w:rPr>
      </w:pPr>
      <w:r>
        <w:rPr>
          <w:bCs/>
          <w:sz w:val="16"/>
          <w:szCs w:val="16"/>
        </w:rPr>
        <w:br w:type="page"/>
      </w:r>
    </w:p>
    <w:p w14:paraId="3A6919C5" w14:textId="77777777" w:rsidR="00BE3C80" w:rsidRDefault="00BE3C80" w:rsidP="00BE3C80">
      <w:pPr>
        <w:spacing w:line="240" w:lineRule="auto"/>
        <w:rPr>
          <w:sz w:val="16"/>
          <w:szCs w:val="16"/>
        </w:rPr>
      </w:pPr>
    </w:p>
    <w:p w14:paraId="65FA318F" w14:textId="77777777" w:rsidR="00BE3C80" w:rsidRPr="00E30A1F" w:rsidRDefault="00BE3C80" w:rsidP="00BE3C80">
      <w:pPr>
        <w:pStyle w:val="Caption"/>
        <w:rPr>
          <w:rFonts w:cs="Helvetica"/>
          <w:color w:val="auto"/>
        </w:rPr>
      </w:pPr>
      <w:r w:rsidRPr="00E30A1F">
        <w:rPr>
          <w:color w:val="auto"/>
        </w:rPr>
        <w:t xml:space="preserve">Supplementary Material </w:t>
      </w:r>
      <w:r>
        <w:rPr>
          <w:color w:val="auto"/>
        </w:rPr>
        <w:t>4</w:t>
      </w:r>
      <w:r w:rsidRPr="00E30A1F">
        <w:rPr>
          <w:color w:val="auto"/>
        </w:rPr>
        <w:t xml:space="preserve">: ICD-9-CM/ICD-10-CA </w:t>
      </w:r>
      <w:r>
        <w:rPr>
          <w:color w:val="auto"/>
        </w:rPr>
        <w:t>c</w:t>
      </w:r>
      <w:r w:rsidRPr="00E30A1F">
        <w:rPr>
          <w:color w:val="auto"/>
        </w:rPr>
        <w:t xml:space="preserve">odes for </w:t>
      </w:r>
      <w:r>
        <w:rPr>
          <w:color w:val="auto"/>
        </w:rPr>
        <w:t>c</w:t>
      </w:r>
      <w:r w:rsidRPr="00E30A1F">
        <w:rPr>
          <w:color w:val="auto"/>
        </w:rPr>
        <w:t xml:space="preserve">omorbidities of </w:t>
      </w:r>
      <w:r>
        <w:rPr>
          <w:color w:val="auto"/>
        </w:rPr>
        <w:t>i</w:t>
      </w:r>
      <w:r w:rsidRPr="00E30A1F">
        <w:rPr>
          <w:color w:val="auto"/>
        </w:rPr>
        <w:t xml:space="preserve">nterest in </w:t>
      </w:r>
      <w:r>
        <w:rPr>
          <w:color w:val="auto"/>
        </w:rPr>
        <w:t>p</w:t>
      </w:r>
      <w:r w:rsidRPr="00E30A1F">
        <w:rPr>
          <w:color w:val="auto"/>
        </w:rPr>
        <w:t xml:space="preserve">atients with </w:t>
      </w:r>
      <w:r>
        <w:rPr>
          <w:color w:val="auto"/>
        </w:rPr>
        <w:t>m</w:t>
      </w:r>
      <w:r w:rsidRPr="00E30A1F">
        <w:rPr>
          <w:color w:val="auto"/>
        </w:rPr>
        <w:t>igraine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00" w:firstRow="0" w:lastRow="0" w:firstColumn="0" w:lastColumn="0" w:noHBand="0" w:noVBand="1"/>
      </w:tblPr>
      <w:tblGrid>
        <w:gridCol w:w="2342"/>
        <w:gridCol w:w="3524"/>
        <w:gridCol w:w="3484"/>
      </w:tblGrid>
      <w:tr w:rsidR="00BE3C80" w:rsidRPr="002F6795" w14:paraId="44D1E105" w14:textId="77777777" w:rsidTr="00D447F9">
        <w:trPr>
          <w:trHeight w:val="340"/>
        </w:trPr>
        <w:tc>
          <w:tcPr>
            <w:tcW w:w="1252" w:type="pct"/>
            <w:shd w:val="clear" w:color="auto" w:fill="850C4B"/>
            <w:vAlign w:val="center"/>
            <w:hideMark/>
          </w:tcPr>
          <w:p w14:paraId="4A4C3754" w14:textId="77777777" w:rsidR="00BE3C80" w:rsidRPr="002F6795" w:rsidRDefault="00BE3C80" w:rsidP="00D447F9">
            <w:pPr>
              <w:spacing w:line="240" w:lineRule="auto"/>
              <w:contextualSpacing/>
              <w:rPr>
                <w:rFonts w:cs="Helvetica"/>
                <w:b/>
                <w:color w:val="FFFFFF" w:themeColor="background1"/>
                <w:sz w:val="18"/>
                <w:szCs w:val="18"/>
              </w:rPr>
            </w:pPr>
            <w:r w:rsidRPr="002F6795">
              <w:rPr>
                <w:rFonts w:cs="Helvetica"/>
                <w:b/>
                <w:color w:val="FFFFFF" w:themeColor="background1"/>
                <w:sz w:val="18"/>
                <w:szCs w:val="18"/>
              </w:rPr>
              <w:t>Comorbid Condition</w:t>
            </w:r>
          </w:p>
        </w:tc>
        <w:tc>
          <w:tcPr>
            <w:tcW w:w="1884" w:type="pct"/>
            <w:shd w:val="clear" w:color="auto" w:fill="850C4B"/>
            <w:vAlign w:val="center"/>
            <w:hideMark/>
          </w:tcPr>
          <w:p w14:paraId="68F37F6F" w14:textId="77777777" w:rsidR="00BE3C80" w:rsidRPr="002F6795" w:rsidRDefault="00BE3C80" w:rsidP="00D447F9">
            <w:pPr>
              <w:spacing w:line="240" w:lineRule="auto"/>
              <w:contextualSpacing/>
              <w:jc w:val="center"/>
              <w:rPr>
                <w:rFonts w:cs="Helvetica"/>
                <w:b/>
                <w:color w:val="FFFFFF" w:themeColor="background1"/>
                <w:sz w:val="18"/>
                <w:szCs w:val="18"/>
              </w:rPr>
            </w:pPr>
            <w:r w:rsidRPr="002F6795">
              <w:rPr>
                <w:rFonts w:cs="Helvetica"/>
                <w:b/>
                <w:color w:val="FFFFFF" w:themeColor="background1"/>
                <w:sz w:val="18"/>
                <w:szCs w:val="18"/>
              </w:rPr>
              <w:t>ICD-10-CA</w:t>
            </w:r>
          </w:p>
        </w:tc>
        <w:tc>
          <w:tcPr>
            <w:tcW w:w="1863" w:type="pct"/>
            <w:shd w:val="clear" w:color="auto" w:fill="850C4B"/>
            <w:vAlign w:val="center"/>
            <w:hideMark/>
          </w:tcPr>
          <w:p w14:paraId="606CB112" w14:textId="77777777" w:rsidR="00BE3C80" w:rsidRPr="002F6795" w:rsidRDefault="00BE3C80" w:rsidP="00D447F9">
            <w:pPr>
              <w:spacing w:line="240" w:lineRule="auto"/>
              <w:contextualSpacing/>
              <w:jc w:val="center"/>
              <w:rPr>
                <w:rFonts w:cs="Helvetica"/>
                <w:b/>
                <w:color w:val="FFFFFF" w:themeColor="background1"/>
                <w:sz w:val="18"/>
                <w:szCs w:val="18"/>
              </w:rPr>
            </w:pPr>
            <w:r w:rsidRPr="002F6795">
              <w:rPr>
                <w:rFonts w:cs="Helvetica"/>
                <w:b/>
                <w:color w:val="FFFFFF" w:themeColor="background1"/>
                <w:sz w:val="18"/>
                <w:szCs w:val="18"/>
              </w:rPr>
              <w:t>ICD-9-CM</w:t>
            </w:r>
          </w:p>
        </w:tc>
      </w:tr>
      <w:tr w:rsidR="00BE3C80" w:rsidRPr="002F6795" w14:paraId="4C2AE1CE" w14:textId="77777777" w:rsidTr="00D447F9">
        <w:trPr>
          <w:trHeight w:val="340"/>
        </w:trPr>
        <w:tc>
          <w:tcPr>
            <w:tcW w:w="1252" w:type="pct"/>
            <w:shd w:val="clear" w:color="auto" w:fill="auto"/>
            <w:vAlign w:val="center"/>
            <w:hideMark/>
          </w:tcPr>
          <w:p w14:paraId="42B262B8"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Depression</w:t>
            </w:r>
          </w:p>
        </w:tc>
        <w:tc>
          <w:tcPr>
            <w:tcW w:w="1884" w:type="pct"/>
            <w:shd w:val="clear" w:color="auto" w:fill="auto"/>
            <w:vAlign w:val="center"/>
            <w:hideMark/>
          </w:tcPr>
          <w:p w14:paraId="508207E2"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F</w:t>
            </w:r>
            <w:proofErr w:type="gramStart"/>
            <w:r w:rsidRPr="002F6795">
              <w:rPr>
                <w:rFonts w:cs="Helvetica"/>
                <w:sz w:val="18"/>
                <w:szCs w:val="18"/>
              </w:rPr>
              <w:t>32.^</w:t>
            </w:r>
            <w:proofErr w:type="gramEnd"/>
            <w:r w:rsidRPr="002F6795">
              <w:rPr>
                <w:rFonts w:cs="Helvetica"/>
                <w:sz w:val="18"/>
                <w:szCs w:val="18"/>
              </w:rPr>
              <w:t xml:space="preserve"> (Depressive episode)</w:t>
            </w:r>
          </w:p>
          <w:p w14:paraId="2775372E"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F</w:t>
            </w:r>
            <w:proofErr w:type="gramStart"/>
            <w:r w:rsidRPr="002F6795">
              <w:rPr>
                <w:rFonts w:cs="Helvetica"/>
                <w:sz w:val="18"/>
                <w:szCs w:val="18"/>
              </w:rPr>
              <w:t>33.^</w:t>
            </w:r>
            <w:proofErr w:type="gramEnd"/>
            <w:r w:rsidRPr="002F6795">
              <w:rPr>
                <w:rFonts w:cs="Helvetica"/>
                <w:sz w:val="18"/>
                <w:szCs w:val="18"/>
              </w:rPr>
              <w:t xml:space="preserve"> (Recurrent depressive disorder)</w:t>
            </w:r>
          </w:p>
          <w:p w14:paraId="56D29D87"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F34.1 (Dysthymia)</w:t>
            </w:r>
          </w:p>
          <w:p w14:paraId="68F21843"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F38.1 (Other recurrent mood (affective) disorders)</w:t>
            </w:r>
          </w:p>
        </w:tc>
        <w:tc>
          <w:tcPr>
            <w:tcW w:w="1863" w:type="pct"/>
            <w:shd w:val="clear" w:color="auto" w:fill="auto"/>
            <w:vAlign w:val="center"/>
            <w:hideMark/>
          </w:tcPr>
          <w:p w14:paraId="2A99A279"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V79.0 (Depression)</w:t>
            </w:r>
          </w:p>
          <w:p w14:paraId="62FAD785"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311 (Depression NOS)</w:t>
            </w:r>
          </w:p>
        </w:tc>
      </w:tr>
      <w:tr w:rsidR="00BE3C80" w:rsidRPr="002F6795" w14:paraId="55E0ECB8" w14:textId="77777777" w:rsidTr="00D447F9">
        <w:trPr>
          <w:trHeight w:val="340"/>
        </w:trPr>
        <w:tc>
          <w:tcPr>
            <w:tcW w:w="1252" w:type="pct"/>
            <w:shd w:val="clear" w:color="auto" w:fill="auto"/>
            <w:vAlign w:val="center"/>
            <w:hideMark/>
          </w:tcPr>
          <w:p w14:paraId="24258988"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Anxiety</w:t>
            </w:r>
          </w:p>
        </w:tc>
        <w:tc>
          <w:tcPr>
            <w:tcW w:w="1884" w:type="pct"/>
            <w:shd w:val="clear" w:color="auto" w:fill="auto"/>
            <w:vAlign w:val="center"/>
            <w:hideMark/>
          </w:tcPr>
          <w:p w14:paraId="4F19FD3F"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F</w:t>
            </w:r>
            <w:proofErr w:type="gramStart"/>
            <w:r w:rsidRPr="002F6795">
              <w:rPr>
                <w:rFonts w:cs="Helvetica"/>
                <w:sz w:val="18"/>
                <w:szCs w:val="18"/>
              </w:rPr>
              <w:t>40.^</w:t>
            </w:r>
            <w:proofErr w:type="gramEnd"/>
            <w:r w:rsidRPr="002F6795">
              <w:rPr>
                <w:rFonts w:cs="Helvetica"/>
                <w:sz w:val="18"/>
                <w:szCs w:val="18"/>
              </w:rPr>
              <w:t xml:space="preserve"> (Phobic anxiety disorders)</w:t>
            </w:r>
          </w:p>
          <w:p w14:paraId="331547BC"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F</w:t>
            </w:r>
            <w:proofErr w:type="gramStart"/>
            <w:r w:rsidRPr="002F6795">
              <w:rPr>
                <w:rFonts w:cs="Helvetica"/>
                <w:sz w:val="18"/>
                <w:szCs w:val="18"/>
              </w:rPr>
              <w:t>41.^</w:t>
            </w:r>
            <w:proofErr w:type="gramEnd"/>
            <w:r w:rsidRPr="002F6795">
              <w:rPr>
                <w:rFonts w:cs="Helvetica"/>
                <w:sz w:val="18"/>
                <w:szCs w:val="18"/>
              </w:rPr>
              <w:t xml:space="preserve"> (Other anxiety disorders)</w:t>
            </w:r>
          </w:p>
        </w:tc>
        <w:tc>
          <w:tcPr>
            <w:tcW w:w="1863" w:type="pct"/>
            <w:shd w:val="clear" w:color="auto" w:fill="auto"/>
            <w:vAlign w:val="center"/>
            <w:hideMark/>
          </w:tcPr>
          <w:p w14:paraId="526DB5B6"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300.0 (Anxiety states)</w:t>
            </w:r>
          </w:p>
        </w:tc>
      </w:tr>
      <w:tr w:rsidR="00BE3C80" w:rsidRPr="002F6795" w14:paraId="0F910AF3" w14:textId="77777777" w:rsidTr="00D447F9">
        <w:trPr>
          <w:trHeight w:val="340"/>
        </w:trPr>
        <w:tc>
          <w:tcPr>
            <w:tcW w:w="1252" w:type="pct"/>
            <w:shd w:val="clear" w:color="auto" w:fill="auto"/>
            <w:vAlign w:val="center"/>
            <w:hideMark/>
          </w:tcPr>
          <w:p w14:paraId="30E6345F"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Allergy</w:t>
            </w:r>
          </w:p>
        </w:tc>
        <w:tc>
          <w:tcPr>
            <w:tcW w:w="1884" w:type="pct"/>
            <w:shd w:val="clear" w:color="auto" w:fill="auto"/>
            <w:vAlign w:val="center"/>
            <w:hideMark/>
          </w:tcPr>
          <w:p w14:paraId="0A73FF13"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J</w:t>
            </w:r>
            <w:proofErr w:type="gramStart"/>
            <w:r w:rsidRPr="002F6795">
              <w:rPr>
                <w:rFonts w:cs="Helvetica"/>
                <w:sz w:val="18"/>
                <w:szCs w:val="18"/>
              </w:rPr>
              <w:t>30.^</w:t>
            </w:r>
            <w:proofErr w:type="gramEnd"/>
            <w:r w:rsidRPr="002F6795">
              <w:rPr>
                <w:rFonts w:cs="Helvetica"/>
                <w:sz w:val="18"/>
                <w:szCs w:val="18"/>
              </w:rPr>
              <w:t xml:space="preserve"> (Vasomotor and allergic rhinitis)</w:t>
            </w:r>
          </w:p>
          <w:p w14:paraId="1F0D3839"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Z</w:t>
            </w:r>
            <w:proofErr w:type="gramStart"/>
            <w:r w:rsidRPr="002F6795">
              <w:rPr>
                <w:rFonts w:cs="Helvetica"/>
                <w:sz w:val="18"/>
                <w:szCs w:val="18"/>
              </w:rPr>
              <w:t>88.^</w:t>
            </w:r>
            <w:proofErr w:type="gramEnd"/>
            <w:r w:rsidRPr="002F6795">
              <w:rPr>
                <w:rFonts w:cs="Helvetica"/>
                <w:sz w:val="18"/>
                <w:szCs w:val="18"/>
              </w:rPr>
              <w:t xml:space="preserve"> (Personal history of allergy to drugs, medicaments, and biological substances)</w:t>
            </w:r>
          </w:p>
        </w:tc>
        <w:tc>
          <w:tcPr>
            <w:tcW w:w="1863" w:type="pct"/>
            <w:shd w:val="clear" w:color="auto" w:fill="auto"/>
            <w:vAlign w:val="center"/>
            <w:hideMark/>
          </w:tcPr>
          <w:p w14:paraId="59329EA6"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477.^ (Allergic rhinitis)</w:t>
            </w:r>
          </w:p>
          <w:p w14:paraId="05FD2C23"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995.2 (Unspecified adverse effect of drug, medicament and biological)</w:t>
            </w:r>
          </w:p>
          <w:p w14:paraId="5C92E86B"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995.3 (Allergy, unspecified)</w:t>
            </w:r>
          </w:p>
          <w:p w14:paraId="0AEB496F"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V</w:t>
            </w:r>
            <w:proofErr w:type="gramStart"/>
            <w:r w:rsidRPr="002F6795">
              <w:rPr>
                <w:rFonts w:cs="Helvetica"/>
                <w:sz w:val="18"/>
                <w:szCs w:val="18"/>
              </w:rPr>
              <w:t>14.^</w:t>
            </w:r>
            <w:proofErr w:type="gramEnd"/>
            <w:r w:rsidRPr="002F6795">
              <w:rPr>
                <w:rFonts w:cs="Helvetica"/>
                <w:sz w:val="18"/>
                <w:szCs w:val="18"/>
              </w:rPr>
              <w:t xml:space="preserve"> (Personal history of allergy to medicinal agents)</w:t>
            </w:r>
          </w:p>
          <w:p w14:paraId="7F6CE4C3"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V15.0 (Personal history of allergy other than to medicinal agents)</w:t>
            </w:r>
          </w:p>
        </w:tc>
      </w:tr>
      <w:tr w:rsidR="00BE3C80" w:rsidRPr="002F6795" w14:paraId="2A94238D" w14:textId="77777777" w:rsidTr="00D447F9">
        <w:trPr>
          <w:trHeight w:val="340"/>
        </w:trPr>
        <w:tc>
          <w:tcPr>
            <w:tcW w:w="1252" w:type="pct"/>
            <w:shd w:val="clear" w:color="auto" w:fill="auto"/>
            <w:vAlign w:val="center"/>
            <w:hideMark/>
          </w:tcPr>
          <w:p w14:paraId="4A5DB45D"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Sleep Disorders</w:t>
            </w:r>
          </w:p>
        </w:tc>
        <w:tc>
          <w:tcPr>
            <w:tcW w:w="1884" w:type="pct"/>
            <w:shd w:val="clear" w:color="auto" w:fill="auto"/>
            <w:vAlign w:val="center"/>
            <w:hideMark/>
          </w:tcPr>
          <w:p w14:paraId="07DD3472"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w:t>
            </w:r>
            <w:proofErr w:type="gramStart"/>
            <w:r w:rsidRPr="002F6795">
              <w:rPr>
                <w:rFonts w:cs="Helvetica"/>
                <w:sz w:val="18"/>
                <w:szCs w:val="18"/>
              </w:rPr>
              <w:t>47.^</w:t>
            </w:r>
            <w:proofErr w:type="gramEnd"/>
            <w:r w:rsidRPr="002F6795">
              <w:rPr>
                <w:rFonts w:cs="Helvetica"/>
                <w:sz w:val="18"/>
                <w:szCs w:val="18"/>
              </w:rPr>
              <w:t xml:space="preserve"> (Other sleep disorders)</w:t>
            </w:r>
          </w:p>
        </w:tc>
        <w:tc>
          <w:tcPr>
            <w:tcW w:w="1863" w:type="pct"/>
            <w:shd w:val="clear" w:color="auto" w:fill="auto"/>
            <w:vAlign w:val="center"/>
            <w:hideMark/>
          </w:tcPr>
          <w:p w14:paraId="4C31B907"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326.^ (Organic sleep disorders)</w:t>
            </w:r>
          </w:p>
        </w:tc>
      </w:tr>
      <w:tr w:rsidR="00BE3C80" w:rsidRPr="002F6795" w14:paraId="4B3860DC" w14:textId="77777777" w:rsidTr="00D447F9">
        <w:trPr>
          <w:trHeight w:val="340"/>
        </w:trPr>
        <w:tc>
          <w:tcPr>
            <w:tcW w:w="1252" w:type="pct"/>
            <w:shd w:val="clear" w:color="auto" w:fill="auto"/>
            <w:vAlign w:val="center"/>
            <w:hideMark/>
          </w:tcPr>
          <w:p w14:paraId="1024A22E"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 xml:space="preserve">Cardiovascular Disease (including hypertension, </w:t>
            </w:r>
            <w:r>
              <w:rPr>
                <w:rFonts w:cs="Helvetica"/>
                <w:szCs w:val="20"/>
              </w:rPr>
              <w:t>dyslipidemia</w:t>
            </w:r>
            <w:r w:rsidRPr="002F6795">
              <w:rPr>
                <w:rFonts w:cs="Helvetica"/>
                <w:sz w:val="18"/>
                <w:szCs w:val="18"/>
              </w:rPr>
              <w:t>, stroke)</w:t>
            </w:r>
          </w:p>
        </w:tc>
        <w:tc>
          <w:tcPr>
            <w:tcW w:w="1884" w:type="pct"/>
            <w:shd w:val="clear" w:color="auto" w:fill="auto"/>
            <w:vAlign w:val="center"/>
            <w:hideMark/>
          </w:tcPr>
          <w:p w14:paraId="686E7CE6"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I</w:t>
            </w:r>
            <w:proofErr w:type="gramStart"/>
            <w:r w:rsidRPr="002F6795">
              <w:rPr>
                <w:rFonts w:cs="Helvetica"/>
                <w:sz w:val="18"/>
                <w:szCs w:val="18"/>
              </w:rPr>
              <w:t>25.^</w:t>
            </w:r>
            <w:proofErr w:type="gramEnd"/>
            <w:r w:rsidRPr="002F6795">
              <w:rPr>
                <w:rFonts w:cs="Helvetica"/>
                <w:sz w:val="18"/>
                <w:szCs w:val="18"/>
              </w:rPr>
              <w:t xml:space="preserve"> (Chronic </w:t>
            </w:r>
            <w:proofErr w:type="spellStart"/>
            <w:r w:rsidRPr="002F6795">
              <w:rPr>
                <w:rFonts w:cs="Helvetica"/>
                <w:sz w:val="18"/>
                <w:szCs w:val="18"/>
              </w:rPr>
              <w:t>ischaemic</w:t>
            </w:r>
            <w:proofErr w:type="spellEnd"/>
            <w:r w:rsidRPr="002F6795">
              <w:rPr>
                <w:rFonts w:cs="Helvetica"/>
                <w:sz w:val="18"/>
                <w:szCs w:val="18"/>
              </w:rPr>
              <w:t xml:space="preserve"> heart disease)</w:t>
            </w:r>
          </w:p>
          <w:p w14:paraId="71BA7A9D"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I</w:t>
            </w:r>
            <w:proofErr w:type="gramStart"/>
            <w:r w:rsidRPr="002F6795">
              <w:rPr>
                <w:rFonts w:cs="Helvetica"/>
                <w:sz w:val="18"/>
                <w:szCs w:val="18"/>
              </w:rPr>
              <w:t>11.^</w:t>
            </w:r>
            <w:proofErr w:type="gramEnd"/>
            <w:r w:rsidRPr="002F6795">
              <w:rPr>
                <w:rFonts w:cs="Helvetica"/>
                <w:sz w:val="18"/>
                <w:szCs w:val="18"/>
              </w:rPr>
              <w:t xml:space="preserve"> (Hypertensive heart disease)</w:t>
            </w:r>
          </w:p>
          <w:p w14:paraId="19FECAEE"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E</w:t>
            </w:r>
            <w:proofErr w:type="gramStart"/>
            <w:r w:rsidRPr="002F6795">
              <w:rPr>
                <w:rFonts w:cs="Helvetica"/>
                <w:sz w:val="18"/>
                <w:szCs w:val="18"/>
              </w:rPr>
              <w:t>78.^</w:t>
            </w:r>
            <w:proofErr w:type="gramEnd"/>
            <w:r w:rsidRPr="002F6795">
              <w:rPr>
                <w:rFonts w:cs="Helvetica"/>
                <w:sz w:val="18"/>
                <w:szCs w:val="18"/>
              </w:rPr>
              <w:t>(Disorders of lipoprotein metabolism)</w:t>
            </w:r>
          </w:p>
          <w:p w14:paraId="5EBBC388"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I</w:t>
            </w:r>
            <w:proofErr w:type="gramStart"/>
            <w:r w:rsidRPr="002F6795">
              <w:rPr>
                <w:rFonts w:cs="Helvetica"/>
                <w:sz w:val="18"/>
                <w:szCs w:val="18"/>
              </w:rPr>
              <w:t>64.^</w:t>
            </w:r>
            <w:proofErr w:type="gramEnd"/>
            <w:r w:rsidRPr="002F6795">
              <w:rPr>
                <w:rFonts w:cs="Helvetica"/>
                <w:sz w:val="18"/>
                <w:szCs w:val="18"/>
              </w:rPr>
              <w:t xml:space="preserve"> (Stroke, not specified as </w:t>
            </w:r>
            <w:proofErr w:type="spellStart"/>
            <w:r w:rsidRPr="002F6795">
              <w:rPr>
                <w:rFonts w:cs="Helvetica"/>
                <w:sz w:val="18"/>
                <w:szCs w:val="18"/>
              </w:rPr>
              <w:t>haemorrhage</w:t>
            </w:r>
            <w:proofErr w:type="spellEnd"/>
            <w:r w:rsidRPr="002F6795">
              <w:rPr>
                <w:rFonts w:cs="Helvetica"/>
                <w:sz w:val="18"/>
                <w:szCs w:val="18"/>
              </w:rPr>
              <w:t xml:space="preserve"> or infarction)</w:t>
            </w:r>
          </w:p>
          <w:p w14:paraId="644925A6"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I11-I15 (Hypertension)</w:t>
            </w:r>
          </w:p>
        </w:tc>
        <w:tc>
          <w:tcPr>
            <w:tcW w:w="1863" w:type="pct"/>
            <w:shd w:val="clear" w:color="auto" w:fill="auto"/>
            <w:vAlign w:val="center"/>
            <w:hideMark/>
          </w:tcPr>
          <w:p w14:paraId="65364B10"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410-414 (</w:t>
            </w:r>
            <w:proofErr w:type="spellStart"/>
            <w:r w:rsidRPr="002F6795">
              <w:rPr>
                <w:rFonts w:cs="Helvetica"/>
                <w:sz w:val="18"/>
                <w:szCs w:val="18"/>
              </w:rPr>
              <w:t>Ischaemic</w:t>
            </w:r>
            <w:proofErr w:type="spellEnd"/>
            <w:r w:rsidRPr="002F6795">
              <w:rPr>
                <w:rFonts w:cs="Helvetica"/>
                <w:sz w:val="18"/>
                <w:szCs w:val="18"/>
              </w:rPr>
              <w:t xml:space="preserve"> heart disease)</w:t>
            </w:r>
          </w:p>
          <w:p w14:paraId="6EEA8505"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429.2 (</w:t>
            </w:r>
            <w:proofErr w:type="gramStart"/>
            <w:r w:rsidRPr="002F6795">
              <w:rPr>
                <w:rFonts w:cs="Helvetica"/>
                <w:sz w:val="18"/>
                <w:szCs w:val="18"/>
              </w:rPr>
              <w:t>Cardiovascular disease</w:t>
            </w:r>
            <w:proofErr w:type="gramEnd"/>
            <w:r w:rsidRPr="002F6795">
              <w:rPr>
                <w:rFonts w:cs="Helvetica"/>
                <w:sz w:val="18"/>
                <w:szCs w:val="18"/>
              </w:rPr>
              <w:t>, unspecified)</w:t>
            </w:r>
          </w:p>
          <w:p w14:paraId="35FDF359"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401-405 (Hypertensive disease)</w:t>
            </w:r>
          </w:p>
          <w:p w14:paraId="6A6D71C6"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V81.1 (Hypertension)</w:t>
            </w:r>
          </w:p>
          <w:p w14:paraId="03B2ADF9"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272.^ (Disorders of lipoid metabolism)</w:t>
            </w:r>
          </w:p>
          <w:p w14:paraId="78C8D24A"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430-439 (Cerebrovascular disease)</w:t>
            </w:r>
          </w:p>
        </w:tc>
      </w:tr>
      <w:tr w:rsidR="00BE3C80" w:rsidRPr="002F6795" w14:paraId="6FF9B1DD" w14:textId="77777777" w:rsidTr="00D447F9">
        <w:trPr>
          <w:trHeight w:val="340"/>
        </w:trPr>
        <w:tc>
          <w:tcPr>
            <w:tcW w:w="1252" w:type="pct"/>
            <w:shd w:val="clear" w:color="auto" w:fill="auto"/>
            <w:vAlign w:val="center"/>
          </w:tcPr>
          <w:p w14:paraId="4CE8BB0D"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Respiratory Disorders (including COPD, emphysema, asthma)</w:t>
            </w:r>
          </w:p>
        </w:tc>
        <w:tc>
          <w:tcPr>
            <w:tcW w:w="1884" w:type="pct"/>
            <w:shd w:val="clear" w:color="auto" w:fill="auto"/>
            <w:vAlign w:val="center"/>
          </w:tcPr>
          <w:p w14:paraId="175CC77A"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J</w:t>
            </w:r>
            <w:proofErr w:type="gramStart"/>
            <w:r w:rsidRPr="002F6795">
              <w:rPr>
                <w:rFonts w:cs="Helvetica"/>
                <w:sz w:val="18"/>
                <w:szCs w:val="18"/>
              </w:rPr>
              <w:t>43.^</w:t>
            </w:r>
            <w:proofErr w:type="gramEnd"/>
            <w:r w:rsidRPr="002F6795">
              <w:rPr>
                <w:rFonts w:cs="Helvetica"/>
                <w:sz w:val="18"/>
                <w:szCs w:val="18"/>
              </w:rPr>
              <w:t xml:space="preserve"> (Emphysema)</w:t>
            </w:r>
          </w:p>
          <w:p w14:paraId="5D5D606C"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J</w:t>
            </w:r>
            <w:proofErr w:type="gramStart"/>
            <w:r w:rsidRPr="002F6795">
              <w:rPr>
                <w:rFonts w:cs="Helvetica"/>
                <w:sz w:val="18"/>
                <w:szCs w:val="18"/>
              </w:rPr>
              <w:t>44.^</w:t>
            </w:r>
            <w:proofErr w:type="gramEnd"/>
            <w:r w:rsidRPr="002F6795">
              <w:rPr>
                <w:rFonts w:cs="Helvetica"/>
                <w:sz w:val="18"/>
                <w:szCs w:val="18"/>
              </w:rPr>
              <w:t xml:space="preserve"> (Chronic obstructive pulmonary disease with acute lower respiratory infection)</w:t>
            </w:r>
          </w:p>
          <w:p w14:paraId="6248E58D"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J</w:t>
            </w:r>
            <w:proofErr w:type="gramStart"/>
            <w:r w:rsidRPr="002F6795">
              <w:rPr>
                <w:rFonts w:cs="Helvetica"/>
                <w:sz w:val="18"/>
                <w:szCs w:val="18"/>
              </w:rPr>
              <w:t>45.^</w:t>
            </w:r>
            <w:proofErr w:type="gramEnd"/>
            <w:r w:rsidRPr="002F6795">
              <w:rPr>
                <w:rFonts w:cs="Helvetica"/>
                <w:sz w:val="18"/>
                <w:szCs w:val="18"/>
              </w:rPr>
              <w:t xml:space="preserve"> (Asthma)</w:t>
            </w:r>
          </w:p>
        </w:tc>
        <w:tc>
          <w:tcPr>
            <w:tcW w:w="1863" w:type="pct"/>
            <w:shd w:val="clear" w:color="auto" w:fill="auto"/>
            <w:vAlign w:val="center"/>
          </w:tcPr>
          <w:p w14:paraId="219B35A8"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492 (Emphysema)</w:t>
            </w:r>
          </w:p>
          <w:p w14:paraId="5A6622EE"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490-496 (Chronic obstructive pulmonary disease and allied conditions)</w:t>
            </w:r>
          </w:p>
          <w:p w14:paraId="1B56E772"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493.^</w:t>
            </w:r>
          </w:p>
        </w:tc>
      </w:tr>
      <w:tr w:rsidR="00BE3C80" w:rsidRPr="002F6795" w14:paraId="0C609AC5" w14:textId="77777777" w:rsidTr="00D447F9">
        <w:trPr>
          <w:trHeight w:val="340"/>
        </w:trPr>
        <w:tc>
          <w:tcPr>
            <w:tcW w:w="1252" w:type="pct"/>
            <w:shd w:val="clear" w:color="auto" w:fill="auto"/>
            <w:vAlign w:val="center"/>
            <w:hideMark/>
          </w:tcPr>
          <w:p w14:paraId="592966FE"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Arthritis</w:t>
            </w:r>
          </w:p>
        </w:tc>
        <w:tc>
          <w:tcPr>
            <w:tcW w:w="1884" w:type="pct"/>
            <w:shd w:val="clear" w:color="auto" w:fill="auto"/>
            <w:vAlign w:val="center"/>
            <w:hideMark/>
          </w:tcPr>
          <w:p w14:paraId="2460F3EB"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M13.9^ (Arthritis, unspecified)</w:t>
            </w:r>
          </w:p>
        </w:tc>
        <w:tc>
          <w:tcPr>
            <w:tcW w:w="1863" w:type="pct"/>
            <w:shd w:val="clear" w:color="auto" w:fill="auto"/>
            <w:vAlign w:val="center"/>
            <w:hideMark/>
          </w:tcPr>
          <w:p w14:paraId="367A4973"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V13.4 (Personal history of arthritis)</w:t>
            </w:r>
          </w:p>
        </w:tc>
      </w:tr>
      <w:tr w:rsidR="00BE3C80" w:rsidRPr="002F6795" w14:paraId="196CAA4D" w14:textId="77777777" w:rsidTr="00D447F9">
        <w:trPr>
          <w:trHeight w:val="340"/>
        </w:trPr>
        <w:tc>
          <w:tcPr>
            <w:tcW w:w="1252" w:type="pct"/>
            <w:shd w:val="clear" w:color="auto" w:fill="auto"/>
            <w:vAlign w:val="center"/>
            <w:hideMark/>
          </w:tcPr>
          <w:p w14:paraId="711E30CF"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Chronic pain disorder</w:t>
            </w:r>
          </w:p>
        </w:tc>
        <w:tc>
          <w:tcPr>
            <w:tcW w:w="1884" w:type="pct"/>
            <w:shd w:val="clear" w:color="auto" w:fill="auto"/>
            <w:vAlign w:val="center"/>
            <w:hideMark/>
          </w:tcPr>
          <w:p w14:paraId="2E436CB6"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R52 (Pain, not elsewhere classified)</w:t>
            </w:r>
          </w:p>
        </w:tc>
        <w:tc>
          <w:tcPr>
            <w:tcW w:w="1863" w:type="pct"/>
            <w:shd w:val="clear" w:color="auto" w:fill="auto"/>
            <w:vAlign w:val="center"/>
            <w:hideMark/>
          </w:tcPr>
          <w:p w14:paraId="6BAE512A"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338.4 (Chronic pain syndrome)</w:t>
            </w:r>
          </w:p>
        </w:tc>
      </w:tr>
      <w:tr w:rsidR="00BE3C80" w:rsidRPr="002F6795" w14:paraId="1BEDC071" w14:textId="77777777" w:rsidTr="00D447F9">
        <w:trPr>
          <w:trHeight w:val="340"/>
        </w:trPr>
        <w:tc>
          <w:tcPr>
            <w:tcW w:w="1252" w:type="pct"/>
            <w:shd w:val="clear" w:color="auto" w:fill="auto"/>
            <w:vAlign w:val="center"/>
            <w:hideMark/>
          </w:tcPr>
          <w:p w14:paraId="78CE1121"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Epilepsy</w:t>
            </w:r>
          </w:p>
        </w:tc>
        <w:tc>
          <w:tcPr>
            <w:tcW w:w="1884" w:type="pct"/>
            <w:shd w:val="clear" w:color="auto" w:fill="auto"/>
            <w:vAlign w:val="center"/>
            <w:hideMark/>
          </w:tcPr>
          <w:p w14:paraId="147411EE"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G</w:t>
            </w:r>
            <w:proofErr w:type="gramStart"/>
            <w:r w:rsidRPr="002F6795">
              <w:rPr>
                <w:rFonts w:cs="Helvetica"/>
                <w:sz w:val="18"/>
                <w:szCs w:val="18"/>
              </w:rPr>
              <w:t>40.^</w:t>
            </w:r>
            <w:proofErr w:type="gramEnd"/>
            <w:r w:rsidRPr="002F6795">
              <w:rPr>
                <w:rFonts w:cs="Helvetica"/>
                <w:sz w:val="18"/>
                <w:szCs w:val="18"/>
              </w:rPr>
              <w:t>^ Epilepsy</w:t>
            </w:r>
          </w:p>
        </w:tc>
        <w:tc>
          <w:tcPr>
            <w:tcW w:w="1863" w:type="pct"/>
            <w:shd w:val="clear" w:color="auto" w:fill="auto"/>
            <w:vAlign w:val="center"/>
            <w:hideMark/>
          </w:tcPr>
          <w:p w14:paraId="43E0A383"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345.^ (Epilepsy and recurrent seizures)</w:t>
            </w:r>
          </w:p>
        </w:tc>
      </w:tr>
      <w:tr w:rsidR="00BE3C80" w:rsidRPr="002F6795" w14:paraId="332EA7CD" w14:textId="77777777" w:rsidTr="00D447F9">
        <w:trPr>
          <w:trHeight w:val="340"/>
        </w:trPr>
        <w:tc>
          <w:tcPr>
            <w:tcW w:w="1252" w:type="pct"/>
            <w:shd w:val="clear" w:color="auto" w:fill="auto"/>
            <w:vAlign w:val="center"/>
            <w:hideMark/>
          </w:tcPr>
          <w:p w14:paraId="0AFC7F74"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Stroke</w:t>
            </w:r>
          </w:p>
        </w:tc>
        <w:tc>
          <w:tcPr>
            <w:tcW w:w="1884" w:type="pct"/>
            <w:shd w:val="clear" w:color="auto" w:fill="auto"/>
            <w:vAlign w:val="center"/>
            <w:hideMark/>
          </w:tcPr>
          <w:p w14:paraId="13B234CC"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 xml:space="preserve">I60 (subarachnoid </w:t>
            </w:r>
            <w:proofErr w:type="spellStart"/>
            <w:r w:rsidRPr="002F6795">
              <w:rPr>
                <w:rFonts w:cs="Helvetica"/>
                <w:sz w:val="18"/>
                <w:szCs w:val="18"/>
              </w:rPr>
              <w:t>haemorrhage</w:t>
            </w:r>
            <w:proofErr w:type="spellEnd"/>
            <w:r w:rsidRPr="002F6795">
              <w:rPr>
                <w:rFonts w:cs="Helvetica"/>
                <w:sz w:val="18"/>
                <w:szCs w:val="18"/>
              </w:rPr>
              <w:t>)</w:t>
            </w:r>
          </w:p>
          <w:p w14:paraId="36A03DAB"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 xml:space="preserve">I61 (intracerebral </w:t>
            </w:r>
            <w:proofErr w:type="spellStart"/>
            <w:r w:rsidRPr="002F6795">
              <w:rPr>
                <w:rFonts w:cs="Helvetica"/>
                <w:sz w:val="18"/>
                <w:szCs w:val="18"/>
              </w:rPr>
              <w:t>haemorrhage</w:t>
            </w:r>
            <w:proofErr w:type="spellEnd"/>
            <w:r w:rsidRPr="002F6795">
              <w:rPr>
                <w:rFonts w:cs="Helvetica"/>
                <w:sz w:val="18"/>
                <w:szCs w:val="18"/>
              </w:rPr>
              <w:t>)</w:t>
            </w:r>
          </w:p>
          <w:p w14:paraId="3C6A8E81"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I63 (cerebral infarction)</w:t>
            </w:r>
          </w:p>
          <w:p w14:paraId="5EE9CC58"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 xml:space="preserve">I64 (stroke, not specified as </w:t>
            </w:r>
            <w:proofErr w:type="spellStart"/>
            <w:r w:rsidRPr="002F6795">
              <w:rPr>
                <w:rFonts w:cs="Helvetica"/>
                <w:sz w:val="18"/>
                <w:szCs w:val="18"/>
              </w:rPr>
              <w:t>haemorrhage</w:t>
            </w:r>
            <w:proofErr w:type="spellEnd"/>
            <w:r w:rsidRPr="002F6795">
              <w:rPr>
                <w:rFonts w:cs="Helvetica"/>
                <w:sz w:val="18"/>
                <w:szCs w:val="18"/>
              </w:rPr>
              <w:t xml:space="preserve"> or infarction)</w:t>
            </w:r>
          </w:p>
        </w:tc>
        <w:tc>
          <w:tcPr>
            <w:tcW w:w="1863" w:type="pct"/>
            <w:shd w:val="clear" w:color="auto" w:fill="auto"/>
            <w:vAlign w:val="center"/>
          </w:tcPr>
          <w:p w14:paraId="4A5131DF"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 xml:space="preserve">433.^, </w:t>
            </w:r>
            <w:proofErr w:type="gramStart"/>
            <w:r w:rsidRPr="002F6795">
              <w:rPr>
                <w:rFonts w:cs="Helvetica"/>
                <w:sz w:val="18"/>
                <w:szCs w:val="18"/>
              </w:rPr>
              <w:t>434.^</w:t>
            </w:r>
            <w:proofErr w:type="gramEnd"/>
            <w:r w:rsidRPr="002F6795">
              <w:rPr>
                <w:rFonts w:cs="Helvetica"/>
                <w:sz w:val="18"/>
                <w:szCs w:val="18"/>
              </w:rPr>
              <w:t xml:space="preserve"> (Ischemic stroke)</w:t>
            </w:r>
          </w:p>
          <w:p w14:paraId="27F3130D"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 xml:space="preserve">430.^, </w:t>
            </w:r>
            <w:proofErr w:type="gramStart"/>
            <w:r w:rsidRPr="002F6795">
              <w:rPr>
                <w:rFonts w:cs="Helvetica"/>
                <w:sz w:val="18"/>
                <w:szCs w:val="18"/>
              </w:rPr>
              <w:t>431.^</w:t>
            </w:r>
            <w:proofErr w:type="gramEnd"/>
            <w:r w:rsidRPr="002F6795">
              <w:rPr>
                <w:rFonts w:cs="Helvetica"/>
                <w:sz w:val="18"/>
                <w:szCs w:val="18"/>
              </w:rPr>
              <w:t xml:space="preserve"> (</w:t>
            </w:r>
            <w:proofErr w:type="spellStart"/>
            <w:r w:rsidRPr="002F6795">
              <w:rPr>
                <w:rFonts w:cs="Helvetica"/>
                <w:sz w:val="18"/>
                <w:szCs w:val="18"/>
              </w:rPr>
              <w:t>Haemorrhagic</w:t>
            </w:r>
            <w:proofErr w:type="spellEnd"/>
            <w:r w:rsidRPr="002F6795">
              <w:rPr>
                <w:rFonts w:cs="Helvetica"/>
                <w:sz w:val="18"/>
                <w:szCs w:val="18"/>
              </w:rPr>
              <w:t xml:space="preserve"> stroke)</w:t>
            </w:r>
          </w:p>
        </w:tc>
      </w:tr>
      <w:tr w:rsidR="00BE3C80" w:rsidRPr="002F6795" w14:paraId="5D0FC254" w14:textId="77777777" w:rsidTr="00D447F9">
        <w:trPr>
          <w:trHeight w:val="340"/>
        </w:trPr>
        <w:tc>
          <w:tcPr>
            <w:tcW w:w="1252" w:type="pct"/>
            <w:shd w:val="clear" w:color="auto" w:fill="auto"/>
            <w:vAlign w:val="center"/>
            <w:hideMark/>
          </w:tcPr>
          <w:p w14:paraId="1FE8214A"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Fibromyalgia</w:t>
            </w:r>
          </w:p>
        </w:tc>
        <w:tc>
          <w:tcPr>
            <w:tcW w:w="1884" w:type="pct"/>
            <w:shd w:val="clear" w:color="auto" w:fill="auto"/>
            <w:vAlign w:val="center"/>
            <w:hideMark/>
          </w:tcPr>
          <w:p w14:paraId="2751E81B"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M79.7 (Fibromyalgia)</w:t>
            </w:r>
          </w:p>
        </w:tc>
        <w:tc>
          <w:tcPr>
            <w:tcW w:w="1863" w:type="pct"/>
            <w:shd w:val="clear" w:color="auto" w:fill="auto"/>
            <w:vAlign w:val="center"/>
          </w:tcPr>
          <w:p w14:paraId="0C420D95"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NA</w:t>
            </w:r>
          </w:p>
        </w:tc>
      </w:tr>
      <w:tr w:rsidR="00BE3C80" w:rsidRPr="002F6795" w14:paraId="720243BA" w14:textId="77777777" w:rsidTr="00D447F9">
        <w:trPr>
          <w:trHeight w:val="340"/>
        </w:trPr>
        <w:tc>
          <w:tcPr>
            <w:tcW w:w="1252" w:type="pct"/>
            <w:shd w:val="clear" w:color="auto" w:fill="auto"/>
            <w:vAlign w:val="center"/>
          </w:tcPr>
          <w:p w14:paraId="409EE902" w14:textId="77777777" w:rsidR="00BE3C80" w:rsidRPr="002F6795" w:rsidRDefault="00BE3C80" w:rsidP="00D447F9">
            <w:pPr>
              <w:spacing w:before="60" w:after="60" w:line="240" w:lineRule="auto"/>
              <w:contextualSpacing/>
              <w:rPr>
                <w:rFonts w:cs="Helvetica"/>
                <w:sz w:val="18"/>
                <w:szCs w:val="18"/>
              </w:rPr>
            </w:pPr>
            <w:r w:rsidRPr="002F6795">
              <w:rPr>
                <w:rFonts w:cs="Helvetica"/>
                <w:sz w:val="18"/>
                <w:szCs w:val="18"/>
              </w:rPr>
              <w:t>Obesity</w:t>
            </w:r>
          </w:p>
        </w:tc>
        <w:tc>
          <w:tcPr>
            <w:tcW w:w="1884" w:type="pct"/>
            <w:shd w:val="clear" w:color="auto" w:fill="auto"/>
            <w:vAlign w:val="center"/>
          </w:tcPr>
          <w:p w14:paraId="2B5DB90F"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E65-E68 (Obesity)</w:t>
            </w:r>
          </w:p>
        </w:tc>
        <w:tc>
          <w:tcPr>
            <w:tcW w:w="1863" w:type="pct"/>
            <w:shd w:val="clear" w:color="auto" w:fill="auto"/>
            <w:vAlign w:val="center"/>
          </w:tcPr>
          <w:p w14:paraId="45914B4B" w14:textId="77777777" w:rsidR="00BE3C80" w:rsidRPr="002F6795" w:rsidRDefault="00BE3C80" w:rsidP="00D447F9">
            <w:pPr>
              <w:spacing w:before="60" w:after="60" w:line="240" w:lineRule="auto"/>
              <w:contextualSpacing/>
              <w:jc w:val="center"/>
              <w:rPr>
                <w:rFonts w:cs="Helvetica"/>
                <w:sz w:val="18"/>
                <w:szCs w:val="18"/>
              </w:rPr>
            </w:pPr>
            <w:r w:rsidRPr="002F6795">
              <w:rPr>
                <w:rFonts w:cs="Helvetica"/>
                <w:sz w:val="18"/>
                <w:szCs w:val="18"/>
              </w:rPr>
              <w:t>278, V85.2-V85.4, and V45.86 (Obesity)</w:t>
            </w:r>
          </w:p>
        </w:tc>
      </w:tr>
    </w:tbl>
    <w:p w14:paraId="7320177E" w14:textId="0BD3DB43" w:rsidR="00DB1A73" w:rsidRDefault="00BE3C80" w:rsidP="00DB1A73">
      <w:pPr>
        <w:spacing w:line="240" w:lineRule="auto"/>
        <w:contextualSpacing/>
        <w:rPr>
          <w:rFonts w:eastAsia="Calibri" w:cs="Helvetica"/>
          <w:sz w:val="16"/>
          <w:szCs w:val="16"/>
        </w:rPr>
      </w:pPr>
      <w:r w:rsidRPr="002F6795">
        <w:rPr>
          <w:rFonts w:eastAsia="Calibri" w:cs="Helvetica"/>
          <w:sz w:val="16"/>
          <w:szCs w:val="16"/>
        </w:rPr>
        <w:t>Abbreviations: COPD: chronic obstructive pulmonary disease</w:t>
      </w:r>
      <w:r>
        <w:rPr>
          <w:rFonts w:eastAsia="Calibri" w:cs="Helvetica"/>
          <w:sz w:val="16"/>
          <w:szCs w:val="16"/>
        </w:rPr>
        <w:t xml:space="preserve">; </w:t>
      </w:r>
      <w:r w:rsidRPr="002F6795">
        <w:rPr>
          <w:rFonts w:eastAsia="Calibri" w:cs="Helvetica"/>
          <w:sz w:val="16"/>
          <w:szCs w:val="16"/>
        </w:rPr>
        <w:t>ICD-9-CM: The International Classification of Diseases, Ninth Revision, Clinical Modification; ICD-10-CA: International Statistical Classification of Diseases and Related Health Problems, Tenth Revision, Canada; NA: not applicable; NOS: not otherwise specified</w:t>
      </w:r>
    </w:p>
    <w:p w14:paraId="0748B852" w14:textId="6B574A84" w:rsidR="00BE3C80" w:rsidRPr="00DB1A73" w:rsidRDefault="00DB1A73" w:rsidP="00DB1A73">
      <w:pPr>
        <w:spacing w:after="160" w:line="259" w:lineRule="auto"/>
        <w:rPr>
          <w:rFonts w:eastAsia="Calibri" w:cs="Helvetica"/>
          <w:sz w:val="16"/>
          <w:szCs w:val="16"/>
        </w:rPr>
      </w:pPr>
      <w:r>
        <w:rPr>
          <w:rFonts w:eastAsia="Calibri" w:cs="Helvetica"/>
          <w:sz w:val="16"/>
          <w:szCs w:val="16"/>
        </w:rPr>
        <w:br w:type="page"/>
      </w:r>
    </w:p>
    <w:p w14:paraId="313241EC" w14:textId="157A5278" w:rsidR="00BE3C80" w:rsidRPr="00E30A1F" w:rsidRDefault="00BE3C80" w:rsidP="00BE3C80">
      <w:pPr>
        <w:pStyle w:val="Caption"/>
        <w:rPr>
          <w:rFonts w:cs="Helvetica"/>
          <w:color w:val="auto"/>
          <w:sz w:val="18"/>
        </w:rPr>
      </w:pPr>
      <w:r w:rsidRPr="00E30A1F">
        <w:rPr>
          <w:color w:val="auto"/>
        </w:rPr>
        <w:lastRenderedPageBreak/>
        <w:t xml:space="preserve">Supplementary Material </w:t>
      </w:r>
      <w:r>
        <w:rPr>
          <w:color w:val="auto"/>
        </w:rPr>
        <w:t>5</w:t>
      </w:r>
      <w:r w:rsidRPr="00E30A1F">
        <w:rPr>
          <w:color w:val="auto"/>
        </w:rPr>
        <w:t xml:space="preserve">: </w:t>
      </w:r>
      <w:r w:rsidR="00C54C8A">
        <w:rPr>
          <w:color w:val="auto"/>
        </w:rPr>
        <w:t>A</w:t>
      </w:r>
      <w:r w:rsidRPr="00E30A1F">
        <w:rPr>
          <w:color w:val="auto"/>
        </w:rPr>
        <w:t>cute medications</w:t>
      </w:r>
    </w:p>
    <w:p w14:paraId="7017CC07" w14:textId="77777777" w:rsidR="00BE3C80" w:rsidRDefault="00BE3C80" w:rsidP="00BE3C80"/>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00" w:firstRow="0" w:lastRow="0" w:firstColumn="0" w:lastColumn="0" w:noHBand="0" w:noVBand="1"/>
      </w:tblPr>
      <w:tblGrid>
        <w:gridCol w:w="6597"/>
        <w:gridCol w:w="2753"/>
      </w:tblGrid>
      <w:tr w:rsidR="00BE3C80" w:rsidRPr="00E97A17" w14:paraId="45E4835B" w14:textId="77777777" w:rsidTr="00D447F9">
        <w:trPr>
          <w:trHeight w:val="273"/>
        </w:trPr>
        <w:tc>
          <w:tcPr>
            <w:tcW w:w="3528" w:type="pct"/>
            <w:shd w:val="clear" w:color="auto" w:fill="850C4B"/>
            <w:vAlign w:val="center"/>
            <w:hideMark/>
          </w:tcPr>
          <w:p w14:paraId="5BFB2BD1" w14:textId="77777777" w:rsidR="00BE3C80" w:rsidRPr="00E97A17" w:rsidRDefault="00BE3C80" w:rsidP="00D447F9">
            <w:pPr>
              <w:rPr>
                <w:rFonts w:cs="Helvetica"/>
                <w:b/>
                <w:color w:val="FFFFFF" w:themeColor="background1"/>
                <w:sz w:val="18"/>
                <w:szCs w:val="18"/>
              </w:rPr>
            </w:pPr>
            <w:r w:rsidRPr="00E97A17">
              <w:rPr>
                <w:rFonts w:cs="Helvetica"/>
                <w:b/>
                <w:color w:val="FFFFFF" w:themeColor="background1"/>
                <w:sz w:val="18"/>
                <w:szCs w:val="18"/>
              </w:rPr>
              <w:t>Treatment classification</w:t>
            </w:r>
          </w:p>
        </w:tc>
        <w:tc>
          <w:tcPr>
            <w:tcW w:w="1472" w:type="pct"/>
            <w:shd w:val="clear" w:color="auto" w:fill="850C4B"/>
            <w:vAlign w:val="center"/>
            <w:hideMark/>
          </w:tcPr>
          <w:p w14:paraId="4DCCD3C1" w14:textId="77777777" w:rsidR="00BE3C80" w:rsidRPr="00E97A17" w:rsidRDefault="00BE3C80" w:rsidP="00D447F9">
            <w:pPr>
              <w:jc w:val="center"/>
              <w:rPr>
                <w:rFonts w:cs="Helvetica"/>
                <w:b/>
                <w:color w:val="FFFFFF" w:themeColor="background1"/>
                <w:sz w:val="18"/>
                <w:szCs w:val="18"/>
              </w:rPr>
            </w:pPr>
            <w:r w:rsidRPr="00E97A17">
              <w:rPr>
                <w:rFonts w:cs="Helvetica"/>
                <w:b/>
                <w:color w:val="FFFFFF" w:themeColor="background1"/>
                <w:sz w:val="18"/>
                <w:szCs w:val="18"/>
              </w:rPr>
              <w:t>ATC Code</w:t>
            </w:r>
          </w:p>
        </w:tc>
      </w:tr>
      <w:tr w:rsidR="00BE3C80" w:rsidRPr="00E97A17" w14:paraId="34E7E9C3" w14:textId="77777777" w:rsidTr="00D447F9">
        <w:trPr>
          <w:trHeight w:val="273"/>
        </w:trPr>
        <w:tc>
          <w:tcPr>
            <w:tcW w:w="5000" w:type="pct"/>
            <w:gridSpan w:val="2"/>
            <w:shd w:val="clear" w:color="auto" w:fill="F2F2F2" w:themeFill="background1" w:themeFillShade="F2"/>
          </w:tcPr>
          <w:p w14:paraId="6A9017A4" w14:textId="77777777" w:rsidR="00BE3C80" w:rsidRPr="00E97A17" w:rsidRDefault="00BE3C80" w:rsidP="00D447F9">
            <w:pPr>
              <w:rPr>
                <w:rFonts w:cs="Helvetica"/>
                <w:sz w:val="18"/>
                <w:szCs w:val="18"/>
              </w:rPr>
            </w:pPr>
            <w:r w:rsidRPr="00E97A17">
              <w:rPr>
                <w:rFonts w:cs="Helvetica"/>
                <w:b/>
                <w:bCs/>
                <w:sz w:val="18"/>
                <w:szCs w:val="18"/>
              </w:rPr>
              <w:t>NSAIDs</w:t>
            </w:r>
          </w:p>
        </w:tc>
      </w:tr>
      <w:tr w:rsidR="00BE3C80" w:rsidRPr="00E97A17" w14:paraId="632027EB" w14:textId="77777777" w:rsidTr="00D447F9">
        <w:trPr>
          <w:trHeight w:val="273"/>
        </w:trPr>
        <w:tc>
          <w:tcPr>
            <w:tcW w:w="3528" w:type="pct"/>
            <w:vAlign w:val="center"/>
          </w:tcPr>
          <w:p w14:paraId="3FFFA8FE" w14:textId="77777777" w:rsidR="00BE3C80" w:rsidRPr="00E97A17" w:rsidRDefault="00BE3C80" w:rsidP="00D447F9">
            <w:pPr>
              <w:rPr>
                <w:rFonts w:cs="Helvetica"/>
                <w:sz w:val="18"/>
                <w:szCs w:val="18"/>
              </w:rPr>
            </w:pPr>
            <w:r w:rsidRPr="00E97A17">
              <w:rPr>
                <w:rFonts w:cs="Helvetica"/>
                <w:sz w:val="18"/>
                <w:szCs w:val="18"/>
              </w:rPr>
              <w:t>Naproxen sodium (250-275 mg, 500-550 mg)</w:t>
            </w:r>
          </w:p>
        </w:tc>
        <w:tc>
          <w:tcPr>
            <w:tcW w:w="1472" w:type="pct"/>
            <w:vAlign w:val="center"/>
          </w:tcPr>
          <w:p w14:paraId="4E02F93B" w14:textId="77777777" w:rsidR="00BE3C80" w:rsidRPr="00E97A17" w:rsidRDefault="00BE3C80" w:rsidP="00D447F9">
            <w:pPr>
              <w:jc w:val="center"/>
              <w:rPr>
                <w:rFonts w:cs="Helvetica"/>
                <w:sz w:val="18"/>
                <w:szCs w:val="18"/>
              </w:rPr>
            </w:pPr>
            <w:r w:rsidRPr="00E97A17">
              <w:rPr>
                <w:rFonts w:cs="Helvetica"/>
                <w:sz w:val="18"/>
                <w:szCs w:val="18"/>
              </w:rPr>
              <w:t>M01AE02</w:t>
            </w:r>
          </w:p>
        </w:tc>
      </w:tr>
      <w:tr w:rsidR="00BE3C80" w:rsidRPr="00E97A17" w14:paraId="7FF58F6D" w14:textId="77777777" w:rsidTr="00D447F9">
        <w:trPr>
          <w:trHeight w:val="273"/>
        </w:trPr>
        <w:tc>
          <w:tcPr>
            <w:tcW w:w="3528" w:type="pct"/>
            <w:vAlign w:val="center"/>
          </w:tcPr>
          <w:p w14:paraId="63A85A41" w14:textId="77777777" w:rsidR="00BE3C80" w:rsidRPr="00E97A17" w:rsidRDefault="00BE3C80" w:rsidP="00D447F9">
            <w:pPr>
              <w:rPr>
                <w:rFonts w:cs="Helvetica"/>
                <w:sz w:val="18"/>
                <w:szCs w:val="18"/>
              </w:rPr>
            </w:pPr>
            <w:r w:rsidRPr="00E97A17">
              <w:rPr>
                <w:rFonts w:cs="Helvetica"/>
                <w:sz w:val="18"/>
                <w:szCs w:val="18"/>
              </w:rPr>
              <w:t>Cambia – oral solution (50 mg diclofenac potassium solution)</w:t>
            </w:r>
          </w:p>
        </w:tc>
        <w:tc>
          <w:tcPr>
            <w:tcW w:w="1472" w:type="pct"/>
            <w:vAlign w:val="center"/>
          </w:tcPr>
          <w:p w14:paraId="4C9B616E" w14:textId="77777777" w:rsidR="00BE3C80" w:rsidRPr="00E97A17" w:rsidRDefault="00BE3C80" w:rsidP="00D447F9">
            <w:pPr>
              <w:jc w:val="center"/>
              <w:rPr>
                <w:rFonts w:cs="Helvetica"/>
                <w:sz w:val="18"/>
                <w:szCs w:val="18"/>
              </w:rPr>
            </w:pPr>
            <w:r w:rsidRPr="00E97A17">
              <w:rPr>
                <w:rFonts w:cs="Helvetica"/>
                <w:sz w:val="18"/>
                <w:szCs w:val="18"/>
              </w:rPr>
              <w:t>M01AB05</w:t>
            </w:r>
          </w:p>
        </w:tc>
      </w:tr>
      <w:tr w:rsidR="00BE3C80" w:rsidRPr="00E97A17" w14:paraId="3739085A" w14:textId="77777777" w:rsidTr="00D447F9">
        <w:trPr>
          <w:trHeight w:val="273"/>
        </w:trPr>
        <w:tc>
          <w:tcPr>
            <w:tcW w:w="3528" w:type="pct"/>
            <w:vAlign w:val="center"/>
          </w:tcPr>
          <w:p w14:paraId="0A8C39F8" w14:textId="77777777" w:rsidR="00BE3C80" w:rsidRPr="00E97A17" w:rsidRDefault="00BE3C80" w:rsidP="00D447F9">
            <w:pPr>
              <w:rPr>
                <w:rFonts w:cs="Helvetica"/>
                <w:sz w:val="18"/>
                <w:szCs w:val="18"/>
              </w:rPr>
            </w:pPr>
            <w:r w:rsidRPr="00E97A17">
              <w:rPr>
                <w:rFonts w:cs="Helvetica"/>
                <w:sz w:val="18"/>
                <w:szCs w:val="18"/>
              </w:rPr>
              <w:t>Oral diclofenac – tablets (50-100 mg)</w:t>
            </w:r>
          </w:p>
        </w:tc>
        <w:tc>
          <w:tcPr>
            <w:tcW w:w="1472" w:type="pct"/>
            <w:vAlign w:val="center"/>
          </w:tcPr>
          <w:p w14:paraId="40988BD4" w14:textId="77777777" w:rsidR="00BE3C80" w:rsidRPr="00E97A17" w:rsidRDefault="00BE3C80" w:rsidP="00D447F9">
            <w:pPr>
              <w:jc w:val="center"/>
              <w:rPr>
                <w:rFonts w:cs="Helvetica"/>
                <w:sz w:val="18"/>
                <w:szCs w:val="18"/>
              </w:rPr>
            </w:pPr>
            <w:r w:rsidRPr="00E97A17">
              <w:rPr>
                <w:rFonts w:cs="Helvetica"/>
                <w:sz w:val="18"/>
                <w:szCs w:val="18"/>
              </w:rPr>
              <w:t>M01AB05</w:t>
            </w:r>
          </w:p>
        </w:tc>
      </w:tr>
      <w:tr w:rsidR="00BE3C80" w:rsidRPr="00E97A17" w14:paraId="3690FEAF" w14:textId="77777777" w:rsidTr="00D447F9">
        <w:trPr>
          <w:trHeight w:val="273"/>
        </w:trPr>
        <w:tc>
          <w:tcPr>
            <w:tcW w:w="3528" w:type="pct"/>
            <w:vAlign w:val="center"/>
          </w:tcPr>
          <w:p w14:paraId="22023159" w14:textId="77777777" w:rsidR="00BE3C80" w:rsidRPr="00E97A17" w:rsidRDefault="00BE3C80" w:rsidP="00D447F9">
            <w:pPr>
              <w:rPr>
                <w:rFonts w:cs="Helvetica"/>
                <w:sz w:val="18"/>
                <w:szCs w:val="18"/>
              </w:rPr>
            </w:pPr>
            <w:r w:rsidRPr="00E97A17">
              <w:rPr>
                <w:rFonts w:cs="Helvetica"/>
                <w:sz w:val="18"/>
                <w:szCs w:val="18"/>
              </w:rPr>
              <w:t>Ketorolac (Toradol) (50 mg intramuscular injection)</w:t>
            </w:r>
          </w:p>
        </w:tc>
        <w:tc>
          <w:tcPr>
            <w:tcW w:w="1472" w:type="pct"/>
            <w:vAlign w:val="center"/>
          </w:tcPr>
          <w:p w14:paraId="492BF634" w14:textId="77777777" w:rsidR="00BE3C80" w:rsidRPr="00E97A17" w:rsidRDefault="00BE3C80" w:rsidP="00D447F9">
            <w:pPr>
              <w:jc w:val="center"/>
              <w:rPr>
                <w:rFonts w:cs="Helvetica"/>
                <w:sz w:val="18"/>
                <w:szCs w:val="18"/>
              </w:rPr>
            </w:pPr>
            <w:r w:rsidRPr="00E97A17">
              <w:rPr>
                <w:rFonts w:cs="Helvetica"/>
                <w:sz w:val="18"/>
                <w:szCs w:val="18"/>
              </w:rPr>
              <w:t>M01AB15</w:t>
            </w:r>
          </w:p>
        </w:tc>
      </w:tr>
      <w:tr w:rsidR="00BE3C80" w:rsidRPr="00E97A17" w14:paraId="032C7662" w14:textId="77777777" w:rsidTr="00D447F9">
        <w:trPr>
          <w:trHeight w:val="273"/>
        </w:trPr>
        <w:tc>
          <w:tcPr>
            <w:tcW w:w="3528" w:type="pct"/>
            <w:vAlign w:val="center"/>
          </w:tcPr>
          <w:p w14:paraId="73875896" w14:textId="77777777" w:rsidR="00BE3C80" w:rsidRPr="00E97A17" w:rsidRDefault="00BE3C80" w:rsidP="00D447F9">
            <w:pPr>
              <w:rPr>
                <w:rFonts w:cs="Helvetica"/>
                <w:sz w:val="18"/>
                <w:szCs w:val="18"/>
                <w:lang w:val="fr-CA"/>
              </w:rPr>
            </w:pPr>
            <w:proofErr w:type="spellStart"/>
            <w:r w:rsidRPr="00E97A17">
              <w:rPr>
                <w:rFonts w:cs="Helvetica"/>
                <w:sz w:val="18"/>
                <w:szCs w:val="18"/>
                <w:lang w:val="fr-CA"/>
              </w:rPr>
              <w:t>Dihydroergotamine</w:t>
            </w:r>
            <w:proofErr w:type="spellEnd"/>
            <w:r w:rsidRPr="00E97A17">
              <w:rPr>
                <w:rFonts w:cs="Helvetica"/>
                <w:sz w:val="18"/>
                <w:szCs w:val="18"/>
                <w:lang w:val="fr-CA"/>
              </w:rPr>
              <w:t xml:space="preserve"> (</w:t>
            </w:r>
            <w:proofErr w:type="spellStart"/>
            <w:r w:rsidRPr="00E97A17">
              <w:rPr>
                <w:rFonts w:cs="Helvetica"/>
                <w:sz w:val="18"/>
                <w:szCs w:val="18"/>
                <w:lang w:val="fr-CA"/>
              </w:rPr>
              <w:t>subcutaneous</w:t>
            </w:r>
            <w:proofErr w:type="spellEnd"/>
            <w:r w:rsidRPr="00E97A17">
              <w:rPr>
                <w:rFonts w:cs="Helvetica"/>
                <w:sz w:val="18"/>
                <w:szCs w:val="18"/>
                <w:lang w:val="fr-CA"/>
              </w:rPr>
              <w:t xml:space="preserve"> injection) (1 mg)</w:t>
            </w:r>
          </w:p>
        </w:tc>
        <w:tc>
          <w:tcPr>
            <w:tcW w:w="1472" w:type="pct"/>
            <w:vAlign w:val="center"/>
          </w:tcPr>
          <w:p w14:paraId="2A5E6A9B" w14:textId="77777777" w:rsidR="00BE3C80" w:rsidRPr="00E97A17" w:rsidRDefault="00BE3C80" w:rsidP="00D447F9">
            <w:pPr>
              <w:jc w:val="center"/>
              <w:rPr>
                <w:rFonts w:cs="Helvetica"/>
                <w:sz w:val="18"/>
                <w:szCs w:val="18"/>
              </w:rPr>
            </w:pPr>
            <w:r w:rsidRPr="00E97A17">
              <w:rPr>
                <w:rFonts w:cs="Helvetica"/>
                <w:sz w:val="18"/>
                <w:szCs w:val="18"/>
              </w:rPr>
              <w:t>N02CA01</w:t>
            </w:r>
          </w:p>
        </w:tc>
      </w:tr>
      <w:tr w:rsidR="00BE3C80" w:rsidRPr="00E97A17" w14:paraId="5E6B1D12" w14:textId="77777777" w:rsidTr="00D447F9">
        <w:trPr>
          <w:trHeight w:val="273"/>
        </w:trPr>
        <w:tc>
          <w:tcPr>
            <w:tcW w:w="5000" w:type="pct"/>
            <w:gridSpan w:val="2"/>
            <w:shd w:val="clear" w:color="auto" w:fill="F2F2F2" w:themeFill="background1" w:themeFillShade="F2"/>
            <w:vAlign w:val="center"/>
          </w:tcPr>
          <w:p w14:paraId="5BC6384F" w14:textId="77777777" w:rsidR="00BE3C80" w:rsidRPr="00E97A17" w:rsidRDefault="00BE3C80" w:rsidP="00D447F9">
            <w:pPr>
              <w:rPr>
                <w:rFonts w:cs="Helvetica"/>
                <w:sz w:val="18"/>
                <w:szCs w:val="18"/>
              </w:rPr>
            </w:pPr>
            <w:r w:rsidRPr="00E97A17">
              <w:rPr>
                <w:rFonts w:cs="Helvetica"/>
                <w:b/>
                <w:bCs/>
                <w:sz w:val="18"/>
                <w:szCs w:val="18"/>
              </w:rPr>
              <w:t>Triptans</w:t>
            </w:r>
          </w:p>
        </w:tc>
      </w:tr>
      <w:tr w:rsidR="00BE3C80" w:rsidRPr="00E97A17" w14:paraId="14CD0A4A" w14:textId="77777777" w:rsidTr="00D447F9">
        <w:trPr>
          <w:trHeight w:val="273"/>
        </w:trPr>
        <w:tc>
          <w:tcPr>
            <w:tcW w:w="3528" w:type="pct"/>
            <w:vAlign w:val="center"/>
          </w:tcPr>
          <w:p w14:paraId="4E471B5F" w14:textId="77777777" w:rsidR="00BE3C80" w:rsidRPr="00E97A17" w:rsidRDefault="00BE3C80" w:rsidP="00D447F9">
            <w:pPr>
              <w:rPr>
                <w:rFonts w:cs="Helvetica"/>
                <w:sz w:val="18"/>
                <w:szCs w:val="18"/>
              </w:rPr>
            </w:pPr>
            <w:r w:rsidRPr="00E97A17">
              <w:rPr>
                <w:rFonts w:cs="Helvetica"/>
                <w:sz w:val="18"/>
                <w:szCs w:val="18"/>
              </w:rPr>
              <w:t>Oral sumatriptan (100 mg)</w:t>
            </w:r>
          </w:p>
        </w:tc>
        <w:tc>
          <w:tcPr>
            <w:tcW w:w="1472" w:type="pct"/>
            <w:vAlign w:val="center"/>
          </w:tcPr>
          <w:p w14:paraId="18F1F191" w14:textId="77777777" w:rsidR="00BE3C80" w:rsidRPr="00E97A17" w:rsidRDefault="00BE3C80" w:rsidP="00D447F9">
            <w:pPr>
              <w:jc w:val="center"/>
              <w:rPr>
                <w:rFonts w:cs="Helvetica"/>
                <w:sz w:val="18"/>
                <w:szCs w:val="18"/>
              </w:rPr>
            </w:pPr>
            <w:r w:rsidRPr="00E97A17">
              <w:rPr>
                <w:rFonts w:cs="Helvetica"/>
                <w:sz w:val="18"/>
                <w:szCs w:val="18"/>
              </w:rPr>
              <w:t>N02CC01</w:t>
            </w:r>
          </w:p>
        </w:tc>
      </w:tr>
      <w:tr w:rsidR="00BE3C80" w:rsidRPr="00E97A17" w14:paraId="51C0E452" w14:textId="77777777" w:rsidTr="00D447F9">
        <w:trPr>
          <w:trHeight w:val="273"/>
        </w:trPr>
        <w:tc>
          <w:tcPr>
            <w:tcW w:w="3528" w:type="pct"/>
            <w:vAlign w:val="center"/>
          </w:tcPr>
          <w:p w14:paraId="19107EB8" w14:textId="77777777" w:rsidR="00BE3C80" w:rsidRPr="00E97A17" w:rsidRDefault="00BE3C80" w:rsidP="00D447F9">
            <w:pPr>
              <w:rPr>
                <w:rFonts w:cs="Helvetica"/>
                <w:sz w:val="18"/>
                <w:szCs w:val="18"/>
              </w:rPr>
            </w:pPr>
            <w:r w:rsidRPr="00E97A17">
              <w:rPr>
                <w:rFonts w:cs="Helvetica"/>
                <w:sz w:val="18"/>
                <w:szCs w:val="18"/>
              </w:rPr>
              <w:t>Sumatriptan – Nasal (5 mg or 20 mg) or Subcutaneous injection (6 mg)</w:t>
            </w:r>
          </w:p>
        </w:tc>
        <w:tc>
          <w:tcPr>
            <w:tcW w:w="1472" w:type="pct"/>
            <w:vAlign w:val="center"/>
          </w:tcPr>
          <w:p w14:paraId="28DA1769" w14:textId="77777777" w:rsidR="00BE3C80" w:rsidRPr="00E97A17" w:rsidRDefault="00BE3C80" w:rsidP="00D447F9">
            <w:pPr>
              <w:jc w:val="center"/>
              <w:rPr>
                <w:rFonts w:cs="Helvetica"/>
                <w:sz w:val="18"/>
                <w:szCs w:val="18"/>
              </w:rPr>
            </w:pPr>
            <w:r w:rsidRPr="00E97A17">
              <w:rPr>
                <w:rFonts w:cs="Helvetica"/>
                <w:sz w:val="18"/>
                <w:szCs w:val="18"/>
              </w:rPr>
              <w:t>N02CC01</w:t>
            </w:r>
          </w:p>
        </w:tc>
      </w:tr>
      <w:tr w:rsidR="00BE3C80" w:rsidRPr="00E97A17" w14:paraId="6D89DE41" w14:textId="77777777" w:rsidTr="00D447F9">
        <w:trPr>
          <w:trHeight w:val="273"/>
        </w:trPr>
        <w:tc>
          <w:tcPr>
            <w:tcW w:w="3528" w:type="pct"/>
            <w:vAlign w:val="center"/>
          </w:tcPr>
          <w:p w14:paraId="7003FB12" w14:textId="77777777" w:rsidR="00BE3C80" w:rsidRPr="00E97A17" w:rsidRDefault="00BE3C80" w:rsidP="00D447F9">
            <w:pPr>
              <w:rPr>
                <w:rFonts w:cs="Helvetica"/>
                <w:sz w:val="18"/>
                <w:szCs w:val="18"/>
              </w:rPr>
            </w:pPr>
            <w:r w:rsidRPr="00E97A17">
              <w:rPr>
                <w:rFonts w:cs="Helvetica"/>
                <w:sz w:val="18"/>
                <w:szCs w:val="18"/>
              </w:rPr>
              <w:t>Oral rizatriptan – tablets, wafers, or disintegrating tablets (5 or 10 mg)</w:t>
            </w:r>
          </w:p>
        </w:tc>
        <w:tc>
          <w:tcPr>
            <w:tcW w:w="1472" w:type="pct"/>
            <w:vAlign w:val="center"/>
          </w:tcPr>
          <w:p w14:paraId="63C3E736" w14:textId="77777777" w:rsidR="00BE3C80" w:rsidRPr="00E97A17" w:rsidRDefault="00BE3C80" w:rsidP="00D447F9">
            <w:pPr>
              <w:jc w:val="center"/>
              <w:rPr>
                <w:rFonts w:cs="Helvetica"/>
                <w:sz w:val="18"/>
                <w:szCs w:val="18"/>
              </w:rPr>
            </w:pPr>
            <w:r w:rsidRPr="00E97A17">
              <w:rPr>
                <w:rFonts w:cs="Helvetica"/>
                <w:sz w:val="18"/>
                <w:szCs w:val="18"/>
              </w:rPr>
              <w:t>N02CC04</w:t>
            </w:r>
          </w:p>
        </w:tc>
      </w:tr>
      <w:tr w:rsidR="00BE3C80" w:rsidRPr="00E97A17" w14:paraId="2DB6367F" w14:textId="77777777" w:rsidTr="00D447F9">
        <w:trPr>
          <w:trHeight w:val="273"/>
        </w:trPr>
        <w:tc>
          <w:tcPr>
            <w:tcW w:w="3528" w:type="pct"/>
            <w:vAlign w:val="center"/>
          </w:tcPr>
          <w:p w14:paraId="5D204312" w14:textId="77777777" w:rsidR="00BE3C80" w:rsidRPr="00E97A17" w:rsidRDefault="00BE3C80" w:rsidP="00D447F9">
            <w:pPr>
              <w:rPr>
                <w:rFonts w:cs="Helvetica"/>
                <w:sz w:val="18"/>
                <w:szCs w:val="18"/>
              </w:rPr>
            </w:pPr>
            <w:proofErr w:type="spellStart"/>
            <w:r w:rsidRPr="00E97A17">
              <w:rPr>
                <w:rFonts w:cs="Helvetica"/>
                <w:sz w:val="18"/>
                <w:szCs w:val="18"/>
              </w:rPr>
              <w:t>Almotriptan</w:t>
            </w:r>
            <w:proofErr w:type="spellEnd"/>
            <w:r w:rsidRPr="00E97A17">
              <w:rPr>
                <w:rFonts w:cs="Helvetica"/>
                <w:sz w:val="18"/>
                <w:szCs w:val="18"/>
              </w:rPr>
              <w:t xml:space="preserve"> (6 mg or 12.5 mg)</w:t>
            </w:r>
          </w:p>
        </w:tc>
        <w:tc>
          <w:tcPr>
            <w:tcW w:w="1472" w:type="pct"/>
            <w:vAlign w:val="center"/>
          </w:tcPr>
          <w:p w14:paraId="39B9F343" w14:textId="77777777" w:rsidR="00BE3C80" w:rsidRPr="00E97A17" w:rsidRDefault="00BE3C80" w:rsidP="00D447F9">
            <w:pPr>
              <w:jc w:val="center"/>
              <w:rPr>
                <w:rFonts w:cs="Helvetica"/>
                <w:sz w:val="18"/>
                <w:szCs w:val="18"/>
              </w:rPr>
            </w:pPr>
            <w:r w:rsidRPr="00E97A17">
              <w:rPr>
                <w:rFonts w:cs="Helvetica"/>
                <w:sz w:val="18"/>
                <w:szCs w:val="18"/>
              </w:rPr>
              <w:t>N02CC05</w:t>
            </w:r>
          </w:p>
        </w:tc>
      </w:tr>
      <w:tr w:rsidR="00BE3C80" w:rsidRPr="00E97A17" w14:paraId="3D65521E" w14:textId="77777777" w:rsidTr="00D447F9">
        <w:trPr>
          <w:trHeight w:val="273"/>
        </w:trPr>
        <w:tc>
          <w:tcPr>
            <w:tcW w:w="3528" w:type="pct"/>
            <w:vAlign w:val="center"/>
          </w:tcPr>
          <w:p w14:paraId="425561DB" w14:textId="77777777" w:rsidR="00BE3C80" w:rsidRPr="00E97A17" w:rsidRDefault="00BE3C80" w:rsidP="00D447F9">
            <w:pPr>
              <w:rPr>
                <w:rFonts w:cs="Helvetica"/>
                <w:sz w:val="18"/>
                <w:szCs w:val="18"/>
              </w:rPr>
            </w:pPr>
            <w:r w:rsidRPr="00E97A17">
              <w:rPr>
                <w:rFonts w:cs="Helvetica"/>
                <w:sz w:val="18"/>
                <w:szCs w:val="18"/>
              </w:rPr>
              <w:t>Zolmitriptan – Nasal or Oral disintegrating tablets (2.5 mg or 5 mg)</w:t>
            </w:r>
          </w:p>
        </w:tc>
        <w:tc>
          <w:tcPr>
            <w:tcW w:w="1472" w:type="pct"/>
            <w:vAlign w:val="center"/>
          </w:tcPr>
          <w:p w14:paraId="6097DF7B" w14:textId="77777777" w:rsidR="00BE3C80" w:rsidRPr="00E97A17" w:rsidRDefault="00BE3C80" w:rsidP="00D447F9">
            <w:pPr>
              <w:jc w:val="center"/>
              <w:rPr>
                <w:rFonts w:cs="Helvetica"/>
                <w:sz w:val="18"/>
                <w:szCs w:val="18"/>
              </w:rPr>
            </w:pPr>
            <w:r w:rsidRPr="00E97A17">
              <w:rPr>
                <w:rFonts w:cs="Helvetica"/>
                <w:sz w:val="18"/>
                <w:szCs w:val="18"/>
              </w:rPr>
              <w:t>N02CC03</w:t>
            </w:r>
          </w:p>
        </w:tc>
      </w:tr>
      <w:tr w:rsidR="00BE3C80" w:rsidRPr="00E97A17" w14:paraId="55D5F722" w14:textId="77777777" w:rsidTr="00D447F9">
        <w:trPr>
          <w:trHeight w:val="273"/>
        </w:trPr>
        <w:tc>
          <w:tcPr>
            <w:tcW w:w="3528" w:type="pct"/>
            <w:vAlign w:val="center"/>
          </w:tcPr>
          <w:p w14:paraId="730C19F8" w14:textId="77777777" w:rsidR="00BE3C80" w:rsidRPr="00E97A17" w:rsidRDefault="00BE3C80" w:rsidP="00D447F9">
            <w:pPr>
              <w:rPr>
                <w:rFonts w:cs="Helvetica"/>
                <w:sz w:val="18"/>
                <w:szCs w:val="18"/>
              </w:rPr>
            </w:pPr>
            <w:proofErr w:type="spellStart"/>
            <w:r w:rsidRPr="00E97A17">
              <w:rPr>
                <w:rFonts w:cs="Helvetica"/>
                <w:sz w:val="18"/>
                <w:szCs w:val="18"/>
              </w:rPr>
              <w:t>Eletriptan</w:t>
            </w:r>
            <w:proofErr w:type="spellEnd"/>
            <w:r w:rsidRPr="00E97A17">
              <w:rPr>
                <w:rFonts w:cs="Helvetica"/>
                <w:sz w:val="18"/>
                <w:szCs w:val="18"/>
              </w:rPr>
              <w:t xml:space="preserve"> (40 mg)</w:t>
            </w:r>
          </w:p>
        </w:tc>
        <w:tc>
          <w:tcPr>
            <w:tcW w:w="1472" w:type="pct"/>
            <w:vAlign w:val="center"/>
          </w:tcPr>
          <w:p w14:paraId="324D2D77" w14:textId="77777777" w:rsidR="00BE3C80" w:rsidRPr="00E97A17" w:rsidRDefault="00BE3C80" w:rsidP="00D447F9">
            <w:pPr>
              <w:jc w:val="center"/>
              <w:rPr>
                <w:rFonts w:cs="Helvetica"/>
                <w:sz w:val="18"/>
                <w:szCs w:val="18"/>
              </w:rPr>
            </w:pPr>
            <w:r w:rsidRPr="00E97A17">
              <w:rPr>
                <w:rFonts w:cs="Helvetica"/>
                <w:sz w:val="18"/>
                <w:szCs w:val="18"/>
              </w:rPr>
              <w:t>N02CC06</w:t>
            </w:r>
          </w:p>
        </w:tc>
      </w:tr>
      <w:tr w:rsidR="00BE3C80" w:rsidRPr="00E97A17" w14:paraId="4F20A620" w14:textId="77777777" w:rsidTr="00D447F9">
        <w:trPr>
          <w:trHeight w:val="273"/>
        </w:trPr>
        <w:tc>
          <w:tcPr>
            <w:tcW w:w="3528" w:type="pct"/>
            <w:vAlign w:val="center"/>
          </w:tcPr>
          <w:p w14:paraId="0C76C971" w14:textId="77777777" w:rsidR="00BE3C80" w:rsidRPr="00E97A17" w:rsidRDefault="00BE3C80" w:rsidP="00D447F9">
            <w:pPr>
              <w:rPr>
                <w:rFonts w:cs="Helvetica"/>
                <w:sz w:val="18"/>
                <w:szCs w:val="18"/>
              </w:rPr>
            </w:pPr>
            <w:proofErr w:type="spellStart"/>
            <w:r w:rsidRPr="00E97A17">
              <w:rPr>
                <w:rFonts w:cs="Helvetica"/>
                <w:sz w:val="18"/>
                <w:szCs w:val="18"/>
              </w:rPr>
              <w:t>Frovatriptan</w:t>
            </w:r>
            <w:proofErr w:type="spellEnd"/>
            <w:r w:rsidRPr="00E97A17">
              <w:rPr>
                <w:rFonts w:cs="Helvetica"/>
                <w:sz w:val="18"/>
                <w:szCs w:val="18"/>
              </w:rPr>
              <w:t xml:space="preserve"> (2.5 mg)</w:t>
            </w:r>
          </w:p>
        </w:tc>
        <w:tc>
          <w:tcPr>
            <w:tcW w:w="1472" w:type="pct"/>
            <w:vAlign w:val="center"/>
          </w:tcPr>
          <w:p w14:paraId="441AB1B8" w14:textId="77777777" w:rsidR="00BE3C80" w:rsidRPr="00E97A17" w:rsidRDefault="00BE3C80" w:rsidP="00D447F9">
            <w:pPr>
              <w:jc w:val="center"/>
              <w:rPr>
                <w:rFonts w:cs="Helvetica"/>
                <w:sz w:val="18"/>
                <w:szCs w:val="18"/>
              </w:rPr>
            </w:pPr>
            <w:r w:rsidRPr="00E97A17">
              <w:rPr>
                <w:rFonts w:cs="Helvetica"/>
                <w:sz w:val="18"/>
                <w:szCs w:val="18"/>
              </w:rPr>
              <w:t>N02CC07</w:t>
            </w:r>
          </w:p>
        </w:tc>
      </w:tr>
      <w:tr w:rsidR="00BE3C80" w:rsidRPr="00E97A17" w14:paraId="5550CF18" w14:textId="77777777" w:rsidTr="00D447F9">
        <w:trPr>
          <w:trHeight w:val="273"/>
        </w:trPr>
        <w:tc>
          <w:tcPr>
            <w:tcW w:w="3528" w:type="pct"/>
          </w:tcPr>
          <w:p w14:paraId="32920200" w14:textId="77777777" w:rsidR="00BE3C80" w:rsidRPr="00E97A17" w:rsidRDefault="00BE3C80" w:rsidP="00D447F9">
            <w:pPr>
              <w:rPr>
                <w:rFonts w:cs="Helvetica"/>
                <w:sz w:val="18"/>
                <w:szCs w:val="18"/>
              </w:rPr>
            </w:pPr>
            <w:r w:rsidRPr="00E97A17">
              <w:rPr>
                <w:rFonts w:cs="Helvetica"/>
                <w:sz w:val="18"/>
                <w:szCs w:val="18"/>
              </w:rPr>
              <w:t>Naratriptan (1 mg or 2.5 mg)</w:t>
            </w:r>
          </w:p>
        </w:tc>
        <w:tc>
          <w:tcPr>
            <w:tcW w:w="1472" w:type="pct"/>
          </w:tcPr>
          <w:p w14:paraId="266394D1" w14:textId="77777777" w:rsidR="00BE3C80" w:rsidRPr="00E97A17" w:rsidRDefault="00BE3C80" w:rsidP="00D447F9">
            <w:pPr>
              <w:jc w:val="center"/>
              <w:rPr>
                <w:rFonts w:cs="Helvetica"/>
                <w:sz w:val="18"/>
                <w:szCs w:val="18"/>
              </w:rPr>
            </w:pPr>
            <w:r w:rsidRPr="00E97A17">
              <w:rPr>
                <w:rFonts w:cs="Helvetica"/>
                <w:sz w:val="18"/>
                <w:szCs w:val="18"/>
              </w:rPr>
              <w:t>N02CC02</w:t>
            </w:r>
          </w:p>
        </w:tc>
      </w:tr>
      <w:tr w:rsidR="00BE3C80" w:rsidRPr="00E97A17" w14:paraId="7AB4296F" w14:textId="77777777" w:rsidTr="00D447F9">
        <w:trPr>
          <w:trHeight w:val="273"/>
        </w:trPr>
        <w:tc>
          <w:tcPr>
            <w:tcW w:w="5000" w:type="pct"/>
            <w:gridSpan w:val="2"/>
            <w:shd w:val="clear" w:color="auto" w:fill="F2F2F2" w:themeFill="background1" w:themeFillShade="F2"/>
          </w:tcPr>
          <w:p w14:paraId="1825BC44" w14:textId="5A9840FA" w:rsidR="00BE3C80" w:rsidRPr="00E97A17" w:rsidRDefault="00BE3C80" w:rsidP="00D447F9">
            <w:pPr>
              <w:rPr>
                <w:rFonts w:cs="Helvetica"/>
                <w:sz w:val="18"/>
                <w:szCs w:val="18"/>
              </w:rPr>
            </w:pPr>
            <w:r w:rsidRPr="00E97A17">
              <w:rPr>
                <w:rFonts w:cs="Helvetica"/>
                <w:b/>
                <w:bCs/>
                <w:sz w:val="18"/>
                <w:szCs w:val="18"/>
              </w:rPr>
              <w:t>Antiemetics</w:t>
            </w:r>
          </w:p>
        </w:tc>
      </w:tr>
      <w:tr w:rsidR="00BE3C80" w:rsidRPr="00E97A17" w14:paraId="366BEA53" w14:textId="77777777" w:rsidTr="00D447F9">
        <w:trPr>
          <w:trHeight w:val="273"/>
        </w:trPr>
        <w:tc>
          <w:tcPr>
            <w:tcW w:w="3528" w:type="pct"/>
            <w:vAlign w:val="center"/>
          </w:tcPr>
          <w:p w14:paraId="6CA67205" w14:textId="77777777" w:rsidR="00BE3C80" w:rsidRPr="00E97A17" w:rsidRDefault="00BE3C80" w:rsidP="00D447F9">
            <w:pPr>
              <w:rPr>
                <w:rFonts w:cs="Helvetica"/>
                <w:sz w:val="18"/>
                <w:szCs w:val="18"/>
              </w:rPr>
            </w:pPr>
            <w:r w:rsidRPr="00E97A17">
              <w:rPr>
                <w:rFonts w:cs="Helvetica"/>
                <w:sz w:val="18"/>
                <w:szCs w:val="18"/>
              </w:rPr>
              <w:t>Domperidone – Oral (30 mg), Parenteral (30 mg), or Rectal (120 mg)</w:t>
            </w:r>
          </w:p>
        </w:tc>
        <w:tc>
          <w:tcPr>
            <w:tcW w:w="1472" w:type="pct"/>
            <w:vAlign w:val="center"/>
          </w:tcPr>
          <w:p w14:paraId="48711CD5" w14:textId="77777777" w:rsidR="00BE3C80" w:rsidRPr="00E97A17" w:rsidRDefault="00BE3C80" w:rsidP="00D447F9">
            <w:pPr>
              <w:jc w:val="center"/>
              <w:rPr>
                <w:rFonts w:cs="Helvetica"/>
                <w:sz w:val="18"/>
                <w:szCs w:val="18"/>
              </w:rPr>
            </w:pPr>
            <w:r w:rsidRPr="00E97A17">
              <w:rPr>
                <w:rFonts w:cs="Helvetica"/>
                <w:sz w:val="18"/>
                <w:szCs w:val="18"/>
              </w:rPr>
              <w:t>A03FA03</w:t>
            </w:r>
          </w:p>
        </w:tc>
      </w:tr>
      <w:tr w:rsidR="00BE3C80" w:rsidRPr="00E97A17" w14:paraId="7C77DF09" w14:textId="77777777" w:rsidTr="00D447F9">
        <w:trPr>
          <w:trHeight w:val="273"/>
        </w:trPr>
        <w:tc>
          <w:tcPr>
            <w:tcW w:w="3528" w:type="pct"/>
            <w:vAlign w:val="center"/>
          </w:tcPr>
          <w:p w14:paraId="65094EE9" w14:textId="77777777" w:rsidR="00BE3C80" w:rsidRPr="00E97A17" w:rsidRDefault="00BE3C80" w:rsidP="00D447F9">
            <w:pPr>
              <w:rPr>
                <w:rFonts w:cs="Helvetica"/>
                <w:sz w:val="18"/>
                <w:szCs w:val="18"/>
              </w:rPr>
            </w:pPr>
            <w:r w:rsidRPr="00E97A17">
              <w:rPr>
                <w:rFonts w:cs="Helvetica"/>
                <w:sz w:val="18"/>
                <w:szCs w:val="18"/>
              </w:rPr>
              <w:t>Metoclopramide – Oral (10mg), Parenteral (10 mg), or Rectal (30 mg)</w:t>
            </w:r>
          </w:p>
        </w:tc>
        <w:tc>
          <w:tcPr>
            <w:tcW w:w="1472" w:type="pct"/>
            <w:vAlign w:val="center"/>
          </w:tcPr>
          <w:p w14:paraId="31253BE7" w14:textId="77777777" w:rsidR="00BE3C80" w:rsidRPr="00E97A17" w:rsidRDefault="00BE3C80" w:rsidP="00D447F9">
            <w:pPr>
              <w:jc w:val="center"/>
              <w:rPr>
                <w:rFonts w:cs="Helvetica"/>
                <w:sz w:val="18"/>
                <w:szCs w:val="18"/>
              </w:rPr>
            </w:pPr>
            <w:r w:rsidRPr="00E97A17">
              <w:rPr>
                <w:rFonts w:cs="Helvetica"/>
                <w:sz w:val="18"/>
                <w:szCs w:val="18"/>
              </w:rPr>
              <w:t>A03FA01</w:t>
            </w:r>
          </w:p>
        </w:tc>
      </w:tr>
      <w:tr w:rsidR="00BE3C80" w:rsidRPr="00E97A17" w14:paraId="6700E85F" w14:textId="77777777" w:rsidTr="00D447F9">
        <w:trPr>
          <w:trHeight w:val="273"/>
        </w:trPr>
        <w:tc>
          <w:tcPr>
            <w:tcW w:w="3528" w:type="pct"/>
            <w:vAlign w:val="center"/>
          </w:tcPr>
          <w:p w14:paraId="1DB45F79" w14:textId="77777777" w:rsidR="00BE3C80" w:rsidRPr="00E97A17" w:rsidRDefault="00BE3C80" w:rsidP="00D447F9">
            <w:pPr>
              <w:rPr>
                <w:rFonts w:cs="Helvetica"/>
                <w:sz w:val="18"/>
                <w:szCs w:val="18"/>
              </w:rPr>
            </w:pPr>
            <w:r w:rsidRPr="00E97A17">
              <w:rPr>
                <w:rFonts w:cs="Helvetica"/>
                <w:sz w:val="18"/>
                <w:szCs w:val="18"/>
              </w:rPr>
              <w:t>Ondansetron – Oral (4,8 or 16 mg), Parenteral (4, 8, 16 mg), or Rectal (16mg)</w:t>
            </w:r>
          </w:p>
        </w:tc>
        <w:tc>
          <w:tcPr>
            <w:tcW w:w="1472" w:type="pct"/>
            <w:vAlign w:val="center"/>
          </w:tcPr>
          <w:p w14:paraId="2BBF5A88" w14:textId="77777777" w:rsidR="00BE3C80" w:rsidRPr="00E97A17" w:rsidRDefault="00BE3C80" w:rsidP="00D447F9">
            <w:pPr>
              <w:jc w:val="center"/>
              <w:rPr>
                <w:rFonts w:cs="Helvetica"/>
                <w:sz w:val="18"/>
                <w:szCs w:val="18"/>
              </w:rPr>
            </w:pPr>
            <w:r w:rsidRPr="00E97A17">
              <w:rPr>
                <w:rFonts w:cs="Helvetica"/>
                <w:sz w:val="18"/>
                <w:szCs w:val="18"/>
              </w:rPr>
              <w:t>A04AA01</w:t>
            </w:r>
          </w:p>
        </w:tc>
      </w:tr>
      <w:tr w:rsidR="00BE3C80" w:rsidRPr="00E97A17" w14:paraId="21D67373" w14:textId="77777777" w:rsidTr="00D447F9">
        <w:trPr>
          <w:trHeight w:val="273"/>
        </w:trPr>
        <w:tc>
          <w:tcPr>
            <w:tcW w:w="5000" w:type="pct"/>
            <w:gridSpan w:val="2"/>
            <w:shd w:val="clear" w:color="auto" w:fill="F2F2F2" w:themeFill="background1" w:themeFillShade="F2"/>
          </w:tcPr>
          <w:p w14:paraId="28DF83F7" w14:textId="77777777" w:rsidR="00BE3C80" w:rsidRPr="00E97A17" w:rsidRDefault="00BE3C80" w:rsidP="00D447F9">
            <w:pPr>
              <w:rPr>
                <w:rFonts w:cs="Helvetica"/>
                <w:b/>
                <w:bCs/>
                <w:sz w:val="18"/>
                <w:szCs w:val="18"/>
              </w:rPr>
            </w:pPr>
            <w:r w:rsidRPr="00E97A17">
              <w:rPr>
                <w:rFonts w:cs="Helvetica"/>
                <w:b/>
                <w:bCs/>
                <w:sz w:val="18"/>
                <w:szCs w:val="18"/>
              </w:rPr>
              <w:t>Opioids</w:t>
            </w:r>
          </w:p>
        </w:tc>
      </w:tr>
      <w:tr w:rsidR="00BE3C80" w:rsidRPr="00E97A17" w14:paraId="454CDF69" w14:textId="77777777" w:rsidTr="00D447F9">
        <w:trPr>
          <w:trHeight w:val="273"/>
        </w:trPr>
        <w:tc>
          <w:tcPr>
            <w:tcW w:w="3528" w:type="pct"/>
            <w:vAlign w:val="center"/>
          </w:tcPr>
          <w:p w14:paraId="3B17B8A7" w14:textId="77777777" w:rsidR="00BE3C80" w:rsidRPr="00E97A17" w:rsidRDefault="00BE3C80" w:rsidP="00D447F9">
            <w:pPr>
              <w:rPr>
                <w:rFonts w:cs="Helvetica"/>
                <w:sz w:val="18"/>
                <w:szCs w:val="18"/>
              </w:rPr>
            </w:pPr>
            <w:r w:rsidRPr="00E97A17">
              <w:rPr>
                <w:rFonts w:cs="Helvetica"/>
                <w:sz w:val="18"/>
                <w:szCs w:val="18"/>
              </w:rPr>
              <w:t>Opioids</w:t>
            </w:r>
          </w:p>
        </w:tc>
        <w:tc>
          <w:tcPr>
            <w:tcW w:w="1472" w:type="pct"/>
            <w:vAlign w:val="center"/>
          </w:tcPr>
          <w:p w14:paraId="1813A926" w14:textId="77777777" w:rsidR="00BE3C80" w:rsidRPr="00E97A17" w:rsidRDefault="00BE3C80" w:rsidP="00D447F9">
            <w:pPr>
              <w:jc w:val="center"/>
              <w:rPr>
                <w:rFonts w:cs="Helvetica"/>
                <w:sz w:val="18"/>
                <w:szCs w:val="18"/>
              </w:rPr>
            </w:pPr>
            <w:r w:rsidRPr="00E97A17">
              <w:rPr>
                <w:rFonts w:cs="Helvetica"/>
                <w:sz w:val="18"/>
                <w:szCs w:val="18"/>
              </w:rPr>
              <w:t>N02A, A06AH, N01AH, N07BC</w:t>
            </w:r>
          </w:p>
        </w:tc>
      </w:tr>
    </w:tbl>
    <w:p w14:paraId="335FC282" w14:textId="695F73B4" w:rsidR="00DB1A73" w:rsidRPr="003770F7" w:rsidRDefault="00BE3C80" w:rsidP="00BE3C80">
      <w:pPr>
        <w:rPr>
          <w:sz w:val="16"/>
          <w:szCs w:val="18"/>
        </w:rPr>
      </w:pPr>
      <w:r w:rsidRPr="00EF4EA9">
        <w:rPr>
          <w:sz w:val="16"/>
          <w:szCs w:val="16"/>
        </w:rPr>
        <w:t xml:space="preserve">Abbreviations: </w:t>
      </w:r>
      <w:r w:rsidR="003770F7" w:rsidRPr="00A26989">
        <w:rPr>
          <w:rFonts w:eastAsia="Calibri" w:cs="Helvetica"/>
          <w:sz w:val="16"/>
          <w:szCs w:val="18"/>
        </w:rPr>
        <w:t>ATC: Anatomical Therapeutic Chemical code</w:t>
      </w:r>
      <w:r w:rsidR="003770F7">
        <w:rPr>
          <w:sz w:val="16"/>
          <w:szCs w:val="18"/>
        </w:rPr>
        <w:t xml:space="preserve">; </w:t>
      </w:r>
      <w:r w:rsidRPr="00EF4EA9">
        <w:rPr>
          <w:sz w:val="16"/>
          <w:szCs w:val="16"/>
        </w:rPr>
        <w:t xml:space="preserve">NSAIDS: </w:t>
      </w:r>
      <w:r w:rsidRPr="00EF4EA9">
        <w:rPr>
          <w:rFonts w:cs="Helvetica"/>
          <w:sz w:val="16"/>
          <w:szCs w:val="16"/>
          <w:lang w:eastAsia="en-CA"/>
        </w:rPr>
        <w:t>Nonsteroidal Anti-Inflammatory Drugs</w:t>
      </w:r>
      <w:r>
        <w:rPr>
          <w:rFonts w:cs="Helvetica"/>
          <w:sz w:val="16"/>
          <w:szCs w:val="16"/>
          <w:lang w:eastAsia="en-CA"/>
        </w:rPr>
        <w:t>; mg: milligram</w:t>
      </w:r>
    </w:p>
    <w:p w14:paraId="3FD714BC" w14:textId="2C06B1D5" w:rsidR="00BE3C80" w:rsidRPr="00DB1A73" w:rsidRDefault="00DB1A73" w:rsidP="00DB1A73">
      <w:pPr>
        <w:spacing w:after="160" w:line="259" w:lineRule="auto"/>
        <w:rPr>
          <w:rFonts w:cs="Helvetica"/>
          <w:sz w:val="16"/>
          <w:szCs w:val="16"/>
          <w:lang w:eastAsia="en-CA"/>
        </w:rPr>
      </w:pPr>
      <w:r>
        <w:rPr>
          <w:rFonts w:cs="Helvetica"/>
          <w:sz w:val="16"/>
          <w:szCs w:val="16"/>
          <w:lang w:eastAsia="en-CA"/>
        </w:rPr>
        <w:br w:type="page"/>
      </w:r>
    </w:p>
    <w:p w14:paraId="7BB5BE21" w14:textId="111A73FA" w:rsidR="00BE3C80" w:rsidRPr="00E30A1F" w:rsidRDefault="00BE3C80" w:rsidP="00BE3C80">
      <w:pPr>
        <w:pStyle w:val="Caption"/>
        <w:rPr>
          <w:color w:val="auto"/>
        </w:rPr>
      </w:pPr>
      <w:r w:rsidRPr="00E30A1F">
        <w:rPr>
          <w:color w:val="auto"/>
        </w:rPr>
        <w:lastRenderedPageBreak/>
        <w:t>Supplementary Material</w:t>
      </w:r>
      <w:r>
        <w:rPr>
          <w:color w:val="auto"/>
        </w:rPr>
        <w:t xml:space="preserve"> 6</w:t>
      </w:r>
      <w:r w:rsidRPr="00E30A1F">
        <w:rPr>
          <w:color w:val="auto"/>
        </w:rPr>
        <w:t xml:space="preserve">: </w:t>
      </w:r>
      <w:r w:rsidR="00C54C8A">
        <w:rPr>
          <w:color w:val="auto"/>
        </w:rPr>
        <w:t>P</w:t>
      </w:r>
      <w:r w:rsidRPr="00E30A1F">
        <w:rPr>
          <w:color w:val="auto"/>
        </w:rPr>
        <w:t>reventive medications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00" w:firstRow="0" w:lastRow="0" w:firstColumn="0" w:lastColumn="0" w:noHBand="0" w:noVBand="1"/>
      </w:tblPr>
      <w:tblGrid>
        <w:gridCol w:w="6605"/>
        <w:gridCol w:w="2745"/>
      </w:tblGrid>
      <w:tr w:rsidR="00BE3C80" w:rsidRPr="00E97A17" w14:paraId="5823C11B" w14:textId="77777777" w:rsidTr="00D447F9">
        <w:trPr>
          <w:trHeight w:val="298"/>
        </w:trPr>
        <w:tc>
          <w:tcPr>
            <w:tcW w:w="3532" w:type="pct"/>
            <w:shd w:val="clear" w:color="auto" w:fill="850C4B"/>
            <w:tcMar>
              <w:top w:w="15" w:type="dxa"/>
              <w:left w:w="96" w:type="dxa"/>
              <w:bottom w:w="0" w:type="dxa"/>
              <w:right w:w="96" w:type="dxa"/>
            </w:tcMar>
            <w:vAlign w:val="center"/>
            <w:hideMark/>
          </w:tcPr>
          <w:p w14:paraId="064BEE14" w14:textId="77777777" w:rsidR="00BE3C80" w:rsidRPr="00E97A17" w:rsidRDefault="00BE3C80" w:rsidP="00D447F9">
            <w:pPr>
              <w:rPr>
                <w:rFonts w:eastAsia="Calibri" w:cs="Helvetica"/>
                <w:color w:val="FFFFFF" w:themeColor="background1"/>
                <w:sz w:val="18"/>
                <w:szCs w:val="18"/>
              </w:rPr>
            </w:pPr>
            <w:r w:rsidRPr="00E97A17">
              <w:rPr>
                <w:rFonts w:eastAsia="Calibri" w:cs="Helvetica"/>
                <w:b/>
                <w:bCs/>
                <w:color w:val="FFFFFF" w:themeColor="background1"/>
                <w:sz w:val="18"/>
                <w:szCs w:val="18"/>
              </w:rPr>
              <w:t>Treatment classification</w:t>
            </w:r>
          </w:p>
        </w:tc>
        <w:tc>
          <w:tcPr>
            <w:tcW w:w="1468" w:type="pct"/>
            <w:shd w:val="clear" w:color="auto" w:fill="850C4B"/>
            <w:tcMar>
              <w:top w:w="15" w:type="dxa"/>
              <w:left w:w="96" w:type="dxa"/>
              <w:bottom w:w="0" w:type="dxa"/>
              <w:right w:w="96" w:type="dxa"/>
            </w:tcMar>
            <w:vAlign w:val="center"/>
            <w:hideMark/>
          </w:tcPr>
          <w:p w14:paraId="29F932EF" w14:textId="77777777" w:rsidR="00BE3C80" w:rsidRPr="00E97A17" w:rsidRDefault="00BE3C80" w:rsidP="00D447F9">
            <w:pPr>
              <w:jc w:val="center"/>
              <w:rPr>
                <w:rFonts w:eastAsia="Calibri" w:cs="Helvetica"/>
                <w:color w:val="FFFFFF" w:themeColor="background1"/>
                <w:sz w:val="18"/>
                <w:szCs w:val="18"/>
              </w:rPr>
            </w:pPr>
            <w:r w:rsidRPr="00E97A17">
              <w:rPr>
                <w:rFonts w:eastAsia="Calibri" w:cs="Helvetica"/>
                <w:b/>
                <w:bCs/>
                <w:color w:val="FFFFFF" w:themeColor="background1"/>
                <w:sz w:val="18"/>
                <w:szCs w:val="18"/>
              </w:rPr>
              <w:t>ATC Code</w:t>
            </w:r>
          </w:p>
        </w:tc>
      </w:tr>
      <w:tr w:rsidR="00BE3C80" w:rsidRPr="00E97A17" w14:paraId="0D0412E4" w14:textId="77777777" w:rsidTr="00D447F9">
        <w:trPr>
          <w:trHeight w:val="298"/>
        </w:trPr>
        <w:tc>
          <w:tcPr>
            <w:tcW w:w="5000" w:type="pct"/>
            <w:gridSpan w:val="2"/>
            <w:shd w:val="clear" w:color="auto" w:fill="F2F2F2" w:themeFill="background1" w:themeFillShade="F2"/>
            <w:tcMar>
              <w:top w:w="15" w:type="dxa"/>
              <w:left w:w="96" w:type="dxa"/>
              <w:bottom w:w="0" w:type="dxa"/>
              <w:right w:w="96" w:type="dxa"/>
            </w:tcMar>
            <w:vAlign w:val="center"/>
            <w:hideMark/>
          </w:tcPr>
          <w:p w14:paraId="6EB4112E" w14:textId="1E018BCB" w:rsidR="00BE3C80" w:rsidRPr="00E97A17" w:rsidRDefault="00BE3C80" w:rsidP="00D447F9">
            <w:pPr>
              <w:rPr>
                <w:rFonts w:eastAsia="Calibri" w:cs="Helvetica"/>
                <w:sz w:val="18"/>
                <w:szCs w:val="18"/>
              </w:rPr>
            </w:pPr>
            <w:r w:rsidRPr="00E97A17">
              <w:rPr>
                <w:rFonts w:eastAsia="Calibri" w:cs="Helvetica"/>
                <w:b/>
                <w:bCs/>
                <w:sz w:val="18"/>
                <w:szCs w:val="18"/>
              </w:rPr>
              <w:t>Antihypertensives</w:t>
            </w:r>
          </w:p>
        </w:tc>
      </w:tr>
      <w:tr w:rsidR="00BE3C80" w:rsidRPr="00E97A17" w14:paraId="2BFE77F5" w14:textId="77777777" w:rsidTr="00D447F9">
        <w:trPr>
          <w:trHeight w:val="298"/>
        </w:trPr>
        <w:tc>
          <w:tcPr>
            <w:tcW w:w="3532" w:type="pct"/>
            <w:shd w:val="clear" w:color="auto" w:fill="auto"/>
            <w:tcMar>
              <w:top w:w="15" w:type="dxa"/>
              <w:left w:w="96" w:type="dxa"/>
              <w:bottom w:w="0" w:type="dxa"/>
              <w:right w:w="96" w:type="dxa"/>
            </w:tcMar>
            <w:vAlign w:val="center"/>
            <w:hideMark/>
          </w:tcPr>
          <w:p w14:paraId="70556DFF" w14:textId="77777777" w:rsidR="00BE3C80" w:rsidRPr="00E97A17" w:rsidRDefault="00BE3C80" w:rsidP="00D447F9">
            <w:pPr>
              <w:rPr>
                <w:rFonts w:eastAsia="Calibri" w:cs="Helvetica"/>
                <w:sz w:val="18"/>
                <w:szCs w:val="18"/>
              </w:rPr>
            </w:pPr>
            <w:r w:rsidRPr="00E97A17">
              <w:rPr>
                <w:rFonts w:eastAsia="Calibri" w:cs="Helvetica"/>
                <w:sz w:val="18"/>
                <w:szCs w:val="18"/>
              </w:rPr>
              <w:t>Propranolol</w:t>
            </w:r>
          </w:p>
        </w:tc>
        <w:tc>
          <w:tcPr>
            <w:tcW w:w="1468" w:type="pct"/>
            <w:shd w:val="clear" w:color="auto" w:fill="auto"/>
            <w:tcMar>
              <w:top w:w="15" w:type="dxa"/>
              <w:left w:w="96" w:type="dxa"/>
              <w:bottom w:w="0" w:type="dxa"/>
              <w:right w:w="96" w:type="dxa"/>
            </w:tcMar>
            <w:vAlign w:val="center"/>
            <w:hideMark/>
          </w:tcPr>
          <w:p w14:paraId="1869C02F" w14:textId="77777777" w:rsidR="00BE3C80" w:rsidRPr="00E97A17" w:rsidRDefault="00BE3C80" w:rsidP="00D447F9">
            <w:pPr>
              <w:jc w:val="center"/>
              <w:rPr>
                <w:rFonts w:eastAsia="Calibri" w:cs="Helvetica"/>
                <w:sz w:val="18"/>
                <w:szCs w:val="18"/>
              </w:rPr>
            </w:pPr>
            <w:r w:rsidRPr="00E97A17">
              <w:rPr>
                <w:rFonts w:eastAsia="Calibri" w:cs="Helvetica"/>
                <w:sz w:val="18"/>
                <w:szCs w:val="18"/>
              </w:rPr>
              <w:t>C07AA05</w:t>
            </w:r>
          </w:p>
        </w:tc>
      </w:tr>
      <w:tr w:rsidR="00BE3C80" w:rsidRPr="00E97A17" w14:paraId="4CFF4A83" w14:textId="77777777" w:rsidTr="00D447F9">
        <w:trPr>
          <w:trHeight w:val="298"/>
        </w:trPr>
        <w:tc>
          <w:tcPr>
            <w:tcW w:w="3532" w:type="pct"/>
            <w:shd w:val="clear" w:color="auto" w:fill="auto"/>
            <w:tcMar>
              <w:top w:w="15" w:type="dxa"/>
              <w:left w:w="96" w:type="dxa"/>
              <w:bottom w:w="0" w:type="dxa"/>
              <w:right w:w="96" w:type="dxa"/>
            </w:tcMar>
            <w:vAlign w:val="center"/>
            <w:hideMark/>
          </w:tcPr>
          <w:p w14:paraId="5C4CC446" w14:textId="77777777" w:rsidR="00BE3C80" w:rsidRPr="00E97A17" w:rsidRDefault="00BE3C80" w:rsidP="00D447F9">
            <w:pPr>
              <w:rPr>
                <w:rFonts w:eastAsia="Calibri" w:cs="Helvetica"/>
                <w:sz w:val="18"/>
                <w:szCs w:val="18"/>
              </w:rPr>
            </w:pPr>
            <w:r w:rsidRPr="00E97A17">
              <w:rPr>
                <w:rFonts w:eastAsia="Calibri" w:cs="Helvetica"/>
                <w:sz w:val="18"/>
                <w:szCs w:val="18"/>
              </w:rPr>
              <w:t>Metoprolol</w:t>
            </w:r>
          </w:p>
        </w:tc>
        <w:tc>
          <w:tcPr>
            <w:tcW w:w="1468" w:type="pct"/>
            <w:shd w:val="clear" w:color="auto" w:fill="auto"/>
            <w:tcMar>
              <w:top w:w="15" w:type="dxa"/>
              <w:left w:w="96" w:type="dxa"/>
              <w:bottom w:w="0" w:type="dxa"/>
              <w:right w:w="96" w:type="dxa"/>
            </w:tcMar>
            <w:vAlign w:val="center"/>
            <w:hideMark/>
          </w:tcPr>
          <w:p w14:paraId="08129C35" w14:textId="77777777" w:rsidR="00BE3C80" w:rsidRPr="00E97A17" w:rsidRDefault="00BE3C80" w:rsidP="00D447F9">
            <w:pPr>
              <w:jc w:val="center"/>
              <w:rPr>
                <w:rFonts w:eastAsia="Calibri" w:cs="Helvetica"/>
                <w:sz w:val="18"/>
                <w:szCs w:val="18"/>
              </w:rPr>
            </w:pPr>
            <w:r w:rsidRPr="00E97A17">
              <w:rPr>
                <w:rFonts w:eastAsia="Calibri" w:cs="Helvetica"/>
                <w:sz w:val="18"/>
                <w:szCs w:val="18"/>
              </w:rPr>
              <w:t>C07AB02</w:t>
            </w:r>
          </w:p>
        </w:tc>
      </w:tr>
      <w:tr w:rsidR="00BE3C80" w:rsidRPr="00E97A17" w14:paraId="0A9EE694" w14:textId="77777777" w:rsidTr="00D447F9">
        <w:trPr>
          <w:trHeight w:val="298"/>
        </w:trPr>
        <w:tc>
          <w:tcPr>
            <w:tcW w:w="3532" w:type="pct"/>
            <w:shd w:val="clear" w:color="auto" w:fill="auto"/>
            <w:tcMar>
              <w:top w:w="15" w:type="dxa"/>
              <w:left w:w="96" w:type="dxa"/>
              <w:bottom w:w="0" w:type="dxa"/>
              <w:right w:w="96" w:type="dxa"/>
            </w:tcMar>
            <w:vAlign w:val="center"/>
            <w:hideMark/>
          </w:tcPr>
          <w:p w14:paraId="78DA5256" w14:textId="77777777" w:rsidR="00BE3C80" w:rsidRPr="00E97A17" w:rsidRDefault="00BE3C80" w:rsidP="00D447F9">
            <w:pPr>
              <w:rPr>
                <w:rFonts w:eastAsia="Calibri" w:cs="Helvetica"/>
                <w:sz w:val="18"/>
                <w:szCs w:val="18"/>
              </w:rPr>
            </w:pPr>
            <w:r w:rsidRPr="00E97A17">
              <w:rPr>
                <w:rFonts w:eastAsia="Calibri" w:cs="Helvetica"/>
                <w:sz w:val="18"/>
                <w:szCs w:val="18"/>
              </w:rPr>
              <w:t>Nadolol</w:t>
            </w:r>
          </w:p>
        </w:tc>
        <w:tc>
          <w:tcPr>
            <w:tcW w:w="1468" w:type="pct"/>
            <w:shd w:val="clear" w:color="auto" w:fill="auto"/>
            <w:tcMar>
              <w:top w:w="15" w:type="dxa"/>
              <w:left w:w="96" w:type="dxa"/>
              <w:bottom w:w="0" w:type="dxa"/>
              <w:right w:w="96" w:type="dxa"/>
            </w:tcMar>
            <w:vAlign w:val="center"/>
            <w:hideMark/>
          </w:tcPr>
          <w:p w14:paraId="6A95A9C5" w14:textId="77777777" w:rsidR="00BE3C80" w:rsidRPr="00E97A17" w:rsidRDefault="00BE3C80" w:rsidP="00D447F9">
            <w:pPr>
              <w:jc w:val="center"/>
              <w:rPr>
                <w:rFonts w:eastAsia="Calibri" w:cs="Helvetica"/>
                <w:sz w:val="18"/>
                <w:szCs w:val="18"/>
              </w:rPr>
            </w:pPr>
            <w:r w:rsidRPr="00E97A17">
              <w:rPr>
                <w:rFonts w:eastAsia="Calibri" w:cs="Helvetica"/>
                <w:sz w:val="18"/>
                <w:szCs w:val="18"/>
              </w:rPr>
              <w:t>C07AA12</w:t>
            </w:r>
          </w:p>
        </w:tc>
      </w:tr>
      <w:tr w:rsidR="00BE3C80" w:rsidRPr="00E97A17" w14:paraId="365F2E18" w14:textId="77777777" w:rsidTr="00D447F9">
        <w:trPr>
          <w:trHeight w:val="298"/>
        </w:trPr>
        <w:tc>
          <w:tcPr>
            <w:tcW w:w="3532" w:type="pct"/>
            <w:shd w:val="clear" w:color="auto" w:fill="auto"/>
            <w:tcMar>
              <w:top w:w="15" w:type="dxa"/>
              <w:left w:w="96" w:type="dxa"/>
              <w:bottom w:w="0" w:type="dxa"/>
              <w:right w:w="96" w:type="dxa"/>
            </w:tcMar>
            <w:vAlign w:val="center"/>
          </w:tcPr>
          <w:p w14:paraId="0D00607C" w14:textId="77777777" w:rsidR="00BE3C80" w:rsidRPr="00E97A17" w:rsidRDefault="00BE3C80" w:rsidP="00D447F9">
            <w:pPr>
              <w:rPr>
                <w:rFonts w:eastAsia="Calibri" w:cs="Helvetica"/>
                <w:sz w:val="18"/>
                <w:szCs w:val="18"/>
              </w:rPr>
            </w:pPr>
            <w:r w:rsidRPr="00E97A17">
              <w:rPr>
                <w:rFonts w:eastAsia="Calibri" w:cs="Helvetica"/>
                <w:sz w:val="18"/>
                <w:szCs w:val="18"/>
              </w:rPr>
              <w:t>Flunarizine</w:t>
            </w:r>
          </w:p>
        </w:tc>
        <w:tc>
          <w:tcPr>
            <w:tcW w:w="1468" w:type="pct"/>
            <w:shd w:val="clear" w:color="auto" w:fill="auto"/>
            <w:tcMar>
              <w:top w:w="15" w:type="dxa"/>
              <w:left w:w="96" w:type="dxa"/>
              <w:bottom w:w="0" w:type="dxa"/>
              <w:right w:w="96" w:type="dxa"/>
            </w:tcMar>
            <w:vAlign w:val="center"/>
          </w:tcPr>
          <w:p w14:paraId="628228AC"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N07CA03</w:t>
            </w:r>
          </w:p>
        </w:tc>
      </w:tr>
      <w:tr w:rsidR="00BE3C80" w:rsidRPr="00E97A17" w14:paraId="5BE6FCFC" w14:textId="77777777" w:rsidTr="00D447F9">
        <w:trPr>
          <w:trHeight w:val="298"/>
        </w:trPr>
        <w:tc>
          <w:tcPr>
            <w:tcW w:w="3532" w:type="pct"/>
            <w:shd w:val="clear" w:color="auto" w:fill="auto"/>
            <w:tcMar>
              <w:top w:w="15" w:type="dxa"/>
              <w:left w:w="96" w:type="dxa"/>
              <w:bottom w:w="0" w:type="dxa"/>
              <w:right w:w="96" w:type="dxa"/>
            </w:tcMar>
            <w:vAlign w:val="center"/>
          </w:tcPr>
          <w:p w14:paraId="7C781FDD" w14:textId="77777777" w:rsidR="00BE3C80" w:rsidRPr="00E97A17" w:rsidRDefault="00BE3C80" w:rsidP="00D447F9">
            <w:pPr>
              <w:rPr>
                <w:rFonts w:eastAsia="Calibri" w:cs="Helvetica"/>
                <w:sz w:val="18"/>
                <w:szCs w:val="18"/>
              </w:rPr>
            </w:pPr>
            <w:r w:rsidRPr="00E97A17">
              <w:rPr>
                <w:rFonts w:eastAsia="Calibri" w:cs="Helvetica"/>
                <w:sz w:val="18"/>
                <w:szCs w:val="18"/>
              </w:rPr>
              <w:t>Verapamil</w:t>
            </w:r>
          </w:p>
        </w:tc>
        <w:tc>
          <w:tcPr>
            <w:tcW w:w="1468" w:type="pct"/>
            <w:shd w:val="clear" w:color="auto" w:fill="auto"/>
            <w:tcMar>
              <w:top w:w="15" w:type="dxa"/>
              <w:left w:w="96" w:type="dxa"/>
              <w:bottom w:w="0" w:type="dxa"/>
              <w:right w:w="96" w:type="dxa"/>
            </w:tcMar>
            <w:vAlign w:val="center"/>
          </w:tcPr>
          <w:p w14:paraId="276B56A0" w14:textId="77777777" w:rsidR="00BE3C80" w:rsidRPr="00E97A17" w:rsidRDefault="00BE3C80" w:rsidP="00D447F9">
            <w:pPr>
              <w:jc w:val="center"/>
              <w:rPr>
                <w:rFonts w:eastAsia="Calibri" w:cs="Helvetica"/>
                <w:sz w:val="18"/>
                <w:szCs w:val="18"/>
              </w:rPr>
            </w:pPr>
            <w:r w:rsidRPr="00E97A17">
              <w:rPr>
                <w:rFonts w:eastAsia="Calibri" w:cs="Helvetica"/>
                <w:sz w:val="18"/>
                <w:szCs w:val="18"/>
              </w:rPr>
              <w:t>C08DA01</w:t>
            </w:r>
          </w:p>
        </w:tc>
      </w:tr>
      <w:tr w:rsidR="00BE3C80" w:rsidRPr="00E97A17" w14:paraId="6ED6D4A6" w14:textId="77777777" w:rsidTr="00D447F9">
        <w:trPr>
          <w:trHeight w:val="298"/>
        </w:trPr>
        <w:tc>
          <w:tcPr>
            <w:tcW w:w="3532" w:type="pct"/>
            <w:shd w:val="clear" w:color="auto" w:fill="auto"/>
            <w:tcMar>
              <w:top w:w="15" w:type="dxa"/>
              <w:left w:w="96" w:type="dxa"/>
              <w:bottom w:w="0" w:type="dxa"/>
              <w:right w:w="96" w:type="dxa"/>
            </w:tcMar>
            <w:vAlign w:val="center"/>
          </w:tcPr>
          <w:p w14:paraId="4784269D" w14:textId="77777777" w:rsidR="00BE3C80" w:rsidRPr="00E97A17" w:rsidRDefault="00BE3C80" w:rsidP="00D447F9">
            <w:pPr>
              <w:rPr>
                <w:rFonts w:eastAsia="Calibri" w:cs="Helvetica"/>
                <w:sz w:val="18"/>
                <w:szCs w:val="18"/>
              </w:rPr>
            </w:pPr>
            <w:r w:rsidRPr="00E97A17">
              <w:rPr>
                <w:rFonts w:eastAsia="Calibri" w:cs="Helvetica"/>
                <w:sz w:val="18"/>
                <w:szCs w:val="18"/>
              </w:rPr>
              <w:t>Candesartan</w:t>
            </w:r>
          </w:p>
        </w:tc>
        <w:tc>
          <w:tcPr>
            <w:tcW w:w="1468" w:type="pct"/>
            <w:shd w:val="clear" w:color="auto" w:fill="auto"/>
            <w:tcMar>
              <w:top w:w="15" w:type="dxa"/>
              <w:left w:w="96" w:type="dxa"/>
              <w:bottom w:w="0" w:type="dxa"/>
              <w:right w:w="96" w:type="dxa"/>
            </w:tcMar>
            <w:vAlign w:val="center"/>
          </w:tcPr>
          <w:p w14:paraId="33CA316C" w14:textId="77777777" w:rsidR="00BE3C80" w:rsidRPr="00E97A17" w:rsidRDefault="00BE3C80" w:rsidP="00D447F9">
            <w:pPr>
              <w:jc w:val="center"/>
              <w:rPr>
                <w:rFonts w:eastAsia="Calibri" w:cs="Helvetica"/>
                <w:sz w:val="18"/>
                <w:szCs w:val="18"/>
              </w:rPr>
            </w:pPr>
            <w:r w:rsidRPr="00E97A17">
              <w:rPr>
                <w:rFonts w:eastAsia="Calibri" w:cs="Helvetica"/>
                <w:sz w:val="18"/>
                <w:szCs w:val="18"/>
              </w:rPr>
              <w:t>C09CA06</w:t>
            </w:r>
          </w:p>
        </w:tc>
      </w:tr>
      <w:tr w:rsidR="00BE3C80" w:rsidRPr="00E97A17" w14:paraId="6081CCF1" w14:textId="77777777" w:rsidTr="00D447F9">
        <w:trPr>
          <w:trHeight w:val="298"/>
        </w:trPr>
        <w:tc>
          <w:tcPr>
            <w:tcW w:w="5000" w:type="pct"/>
            <w:gridSpan w:val="2"/>
            <w:shd w:val="clear" w:color="auto" w:fill="F2F2F2" w:themeFill="background1" w:themeFillShade="F2"/>
            <w:tcMar>
              <w:top w:w="15" w:type="dxa"/>
              <w:left w:w="96" w:type="dxa"/>
              <w:bottom w:w="0" w:type="dxa"/>
              <w:right w:w="96" w:type="dxa"/>
            </w:tcMar>
            <w:vAlign w:val="center"/>
            <w:hideMark/>
          </w:tcPr>
          <w:p w14:paraId="42A8CB08" w14:textId="3C5C9D79" w:rsidR="00BE3C80" w:rsidRPr="00E97A17" w:rsidRDefault="00BE3C80" w:rsidP="00D447F9">
            <w:pPr>
              <w:rPr>
                <w:rFonts w:eastAsia="Calibri" w:cs="Helvetica"/>
                <w:sz w:val="18"/>
                <w:szCs w:val="18"/>
              </w:rPr>
            </w:pPr>
            <w:r w:rsidRPr="00E97A17">
              <w:rPr>
                <w:rFonts w:eastAsia="Calibri" w:cs="Helvetica"/>
                <w:b/>
                <w:bCs/>
                <w:sz w:val="18"/>
                <w:szCs w:val="18"/>
              </w:rPr>
              <w:t>Anticonvulsant</w:t>
            </w:r>
            <w:r>
              <w:rPr>
                <w:rFonts w:eastAsia="Calibri" w:cs="Helvetica"/>
                <w:b/>
                <w:bCs/>
                <w:sz w:val="18"/>
                <w:szCs w:val="18"/>
              </w:rPr>
              <w:t>s</w:t>
            </w:r>
          </w:p>
        </w:tc>
      </w:tr>
      <w:tr w:rsidR="00BE3C80" w:rsidRPr="00E97A17" w14:paraId="371571A7" w14:textId="77777777" w:rsidTr="00D447F9">
        <w:trPr>
          <w:trHeight w:val="298"/>
        </w:trPr>
        <w:tc>
          <w:tcPr>
            <w:tcW w:w="3532" w:type="pct"/>
            <w:shd w:val="clear" w:color="auto" w:fill="auto"/>
            <w:tcMar>
              <w:top w:w="15" w:type="dxa"/>
              <w:left w:w="96" w:type="dxa"/>
              <w:bottom w:w="0" w:type="dxa"/>
              <w:right w:w="96" w:type="dxa"/>
            </w:tcMar>
            <w:vAlign w:val="center"/>
            <w:hideMark/>
          </w:tcPr>
          <w:p w14:paraId="6EA02DFD" w14:textId="77777777" w:rsidR="00BE3C80" w:rsidRPr="00E97A17" w:rsidRDefault="00BE3C80" w:rsidP="00D447F9">
            <w:pPr>
              <w:rPr>
                <w:rFonts w:eastAsia="Calibri" w:cs="Helvetica"/>
                <w:sz w:val="18"/>
                <w:szCs w:val="18"/>
              </w:rPr>
            </w:pPr>
            <w:r w:rsidRPr="00E97A17">
              <w:rPr>
                <w:rFonts w:eastAsia="Calibri" w:cs="Helvetica"/>
                <w:sz w:val="18"/>
                <w:szCs w:val="18"/>
              </w:rPr>
              <w:t>Gabapentin</w:t>
            </w:r>
          </w:p>
        </w:tc>
        <w:tc>
          <w:tcPr>
            <w:tcW w:w="1468" w:type="pct"/>
            <w:shd w:val="clear" w:color="auto" w:fill="auto"/>
            <w:tcMar>
              <w:top w:w="15" w:type="dxa"/>
              <w:left w:w="96" w:type="dxa"/>
              <w:bottom w:w="0" w:type="dxa"/>
              <w:right w:w="96" w:type="dxa"/>
            </w:tcMar>
            <w:vAlign w:val="center"/>
            <w:hideMark/>
          </w:tcPr>
          <w:p w14:paraId="12112718"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N03AX12</w:t>
            </w:r>
          </w:p>
        </w:tc>
      </w:tr>
      <w:tr w:rsidR="00BE3C80" w:rsidRPr="00E97A17" w14:paraId="50DE7092" w14:textId="77777777" w:rsidTr="00D447F9">
        <w:trPr>
          <w:trHeight w:val="298"/>
        </w:trPr>
        <w:tc>
          <w:tcPr>
            <w:tcW w:w="3532" w:type="pct"/>
            <w:shd w:val="clear" w:color="auto" w:fill="auto"/>
            <w:tcMar>
              <w:top w:w="15" w:type="dxa"/>
              <w:left w:w="96" w:type="dxa"/>
              <w:bottom w:w="0" w:type="dxa"/>
              <w:right w:w="96" w:type="dxa"/>
            </w:tcMar>
            <w:vAlign w:val="center"/>
            <w:hideMark/>
          </w:tcPr>
          <w:p w14:paraId="4CB5D468" w14:textId="77777777" w:rsidR="00BE3C80" w:rsidRPr="00E97A17" w:rsidRDefault="00BE3C80" w:rsidP="00D447F9">
            <w:pPr>
              <w:rPr>
                <w:rFonts w:eastAsia="Calibri" w:cs="Helvetica"/>
                <w:sz w:val="18"/>
                <w:szCs w:val="18"/>
              </w:rPr>
            </w:pPr>
            <w:r w:rsidRPr="00E97A17">
              <w:rPr>
                <w:rFonts w:eastAsia="Calibri" w:cs="Helvetica"/>
                <w:sz w:val="18"/>
                <w:szCs w:val="18"/>
              </w:rPr>
              <w:t>Topiramate</w:t>
            </w:r>
          </w:p>
        </w:tc>
        <w:tc>
          <w:tcPr>
            <w:tcW w:w="1468" w:type="pct"/>
            <w:shd w:val="clear" w:color="auto" w:fill="auto"/>
            <w:tcMar>
              <w:top w:w="15" w:type="dxa"/>
              <w:left w:w="96" w:type="dxa"/>
              <w:bottom w:w="0" w:type="dxa"/>
              <w:right w:w="96" w:type="dxa"/>
            </w:tcMar>
            <w:vAlign w:val="center"/>
            <w:hideMark/>
          </w:tcPr>
          <w:p w14:paraId="76A27138"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N03AX11</w:t>
            </w:r>
          </w:p>
        </w:tc>
      </w:tr>
      <w:tr w:rsidR="00BE3C80" w:rsidRPr="00E97A17" w14:paraId="0B4B947C" w14:textId="77777777" w:rsidTr="00D447F9">
        <w:trPr>
          <w:trHeight w:val="298"/>
        </w:trPr>
        <w:tc>
          <w:tcPr>
            <w:tcW w:w="3532" w:type="pct"/>
            <w:shd w:val="clear" w:color="auto" w:fill="auto"/>
            <w:tcMar>
              <w:top w:w="15" w:type="dxa"/>
              <w:left w:w="96" w:type="dxa"/>
              <w:bottom w:w="0" w:type="dxa"/>
              <w:right w:w="96" w:type="dxa"/>
            </w:tcMar>
            <w:vAlign w:val="center"/>
            <w:hideMark/>
          </w:tcPr>
          <w:p w14:paraId="00917B5E" w14:textId="77777777" w:rsidR="00BE3C80" w:rsidRPr="00E97A17" w:rsidRDefault="00BE3C80" w:rsidP="00D447F9">
            <w:pPr>
              <w:rPr>
                <w:rFonts w:eastAsia="Calibri" w:cs="Helvetica"/>
                <w:sz w:val="18"/>
                <w:szCs w:val="18"/>
              </w:rPr>
            </w:pPr>
            <w:r w:rsidRPr="00E97A17">
              <w:rPr>
                <w:rFonts w:eastAsia="Calibri" w:cs="Helvetica"/>
                <w:sz w:val="18"/>
                <w:szCs w:val="18"/>
              </w:rPr>
              <w:t>Divalproex</w:t>
            </w:r>
          </w:p>
        </w:tc>
        <w:tc>
          <w:tcPr>
            <w:tcW w:w="1468" w:type="pct"/>
            <w:shd w:val="clear" w:color="auto" w:fill="auto"/>
            <w:tcMar>
              <w:top w:w="15" w:type="dxa"/>
              <w:left w:w="96" w:type="dxa"/>
              <w:bottom w:w="0" w:type="dxa"/>
              <w:right w:w="96" w:type="dxa"/>
            </w:tcMar>
            <w:vAlign w:val="center"/>
            <w:hideMark/>
          </w:tcPr>
          <w:p w14:paraId="68366EF5"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N03AG01</w:t>
            </w:r>
          </w:p>
        </w:tc>
      </w:tr>
      <w:tr w:rsidR="00BE3C80" w:rsidRPr="00E97A17" w14:paraId="319DF8C8" w14:textId="77777777" w:rsidTr="00D447F9">
        <w:trPr>
          <w:trHeight w:val="298"/>
        </w:trPr>
        <w:tc>
          <w:tcPr>
            <w:tcW w:w="5000" w:type="pct"/>
            <w:gridSpan w:val="2"/>
            <w:shd w:val="clear" w:color="auto" w:fill="F2F2F2" w:themeFill="background1" w:themeFillShade="F2"/>
            <w:tcMar>
              <w:top w:w="15" w:type="dxa"/>
              <w:left w:w="96" w:type="dxa"/>
              <w:bottom w:w="0" w:type="dxa"/>
              <w:right w:w="96" w:type="dxa"/>
            </w:tcMar>
            <w:vAlign w:val="center"/>
            <w:hideMark/>
          </w:tcPr>
          <w:p w14:paraId="6D8C1211" w14:textId="77777777" w:rsidR="00BE3C80" w:rsidRPr="00E97A17" w:rsidRDefault="00BE3C80" w:rsidP="00D447F9">
            <w:pPr>
              <w:rPr>
                <w:rFonts w:eastAsia="Calibri" w:cs="Helvetica"/>
                <w:sz w:val="18"/>
                <w:szCs w:val="18"/>
              </w:rPr>
            </w:pPr>
            <w:r w:rsidRPr="00E97A17">
              <w:rPr>
                <w:rFonts w:eastAsia="Calibri" w:cs="Helvetica"/>
                <w:b/>
                <w:bCs/>
                <w:sz w:val="18"/>
                <w:szCs w:val="18"/>
              </w:rPr>
              <w:t>Antidepressants</w:t>
            </w:r>
          </w:p>
        </w:tc>
      </w:tr>
      <w:tr w:rsidR="00BE3C80" w:rsidRPr="00E97A17" w14:paraId="36F2B367" w14:textId="77777777" w:rsidTr="00D447F9">
        <w:trPr>
          <w:trHeight w:val="298"/>
        </w:trPr>
        <w:tc>
          <w:tcPr>
            <w:tcW w:w="3532" w:type="pct"/>
            <w:shd w:val="clear" w:color="auto" w:fill="auto"/>
            <w:tcMar>
              <w:top w:w="15" w:type="dxa"/>
              <w:left w:w="96" w:type="dxa"/>
              <w:bottom w:w="0" w:type="dxa"/>
              <w:right w:w="96" w:type="dxa"/>
            </w:tcMar>
            <w:vAlign w:val="center"/>
            <w:hideMark/>
          </w:tcPr>
          <w:p w14:paraId="145DEBFF" w14:textId="77777777" w:rsidR="00BE3C80" w:rsidRPr="00E97A17" w:rsidRDefault="00BE3C80" w:rsidP="00D447F9">
            <w:pPr>
              <w:rPr>
                <w:rFonts w:eastAsia="Calibri" w:cs="Helvetica"/>
                <w:sz w:val="18"/>
                <w:szCs w:val="18"/>
              </w:rPr>
            </w:pPr>
            <w:r w:rsidRPr="00E97A17">
              <w:rPr>
                <w:rFonts w:eastAsia="Calibri" w:cs="Helvetica"/>
                <w:sz w:val="18"/>
                <w:szCs w:val="18"/>
              </w:rPr>
              <w:t>Amitriptyline</w:t>
            </w:r>
          </w:p>
        </w:tc>
        <w:tc>
          <w:tcPr>
            <w:tcW w:w="1468" w:type="pct"/>
            <w:shd w:val="clear" w:color="auto" w:fill="auto"/>
            <w:tcMar>
              <w:top w:w="15" w:type="dxa"/>
              <w:left w:w="96" w:type="dxa"/>
              <w:bottom w:w="0" w:type="dxa"/>
              <w:right w:w="96" w:type="dxa"/>
            </w:tcMar>
            <w:vAlign w:val="center"/>
            <w:hideMark/>
          </w:tcPr>
          <w:p w14:paraId="72335938"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N06AA09</w:t>
            </w:r>
          </w:p>
        </w:tc>
      </w:tr>
      <w:tr w:rsidR="00BE3C80" w:rsidRPr="00E97A17" w14:paraId="6818F499" w14:textId="77777777" w:rsidTr="00D447F9">
        <w:trPr>
          <w:trHeight w:val="298"/>
        </w:trPr>
        <w:tc>
          <w:tcPr>
            <w:tcW w:w="3532" w:type="pct"/>
            <w:shd w:val="clear" w:color="auto" w:fill="auto"/>
            <w:tcMar>
              <w:top w:w="15" w:type="dxa"/>
              <w:left w:w="96" w:type="dxa"/>
              <w:bottom w:w="0" w:type="dxa"/>
              <w:right w:w="96" w:type="dxa"/>
            </w:tcMar>
            <w:vAlign w:val="center"/>
            <w:hideMark/>
          </w:tcPr>
          <w:p w14:paraId="17D94C37" w14:textId="77777777" w:rsidR="00BE3C80" w:rsidRPr="00E97A17" w:rsidRDefault="00BE3C80" w:rsidP="00D447F9">
            <w:pPr>
              <w:rPr>
                <w:rFonts w:eastAsia="Calibri" w:cs="Helvetica"/>
                <w:sz w:val="18"/>
                <w:szCs w:val="18"/>
              </w:rPr>
            </w:pPr>
            <w:r w:rsidRPr="00E97A17">
              <w:rPr>
                <w:rFonts w:eastAsia="Calibri" w:cs="Helvetica"/>
                <w:sz w:val="18"/>
                <w:szCs w:val="18"/>
              </w:rPr>
              <w:t>Nortriptyline</w:t>
            </w:r>
          </w:p>
        </w:tc>
        <w:tc>
          <w:tcPr>
            <w:tcW w:w="1468" w:type="pct"/>
            <w:shd w:val="clear" w:color="auto" w:fill="auto"/>
            <w:tcMar>
              <w:top w:w="15" w:type="dxa"/>
              <w:left w:w="96" w:type="dxa"/>
              <w:bottom w:w="0" w:type="dxa"/>
              <w:right w:w="96" w:type="dxa"/>
            </w:tcMar>
            <w:vAlign w:val="center"/>
            <w:hideMark/>
          </w:tcPr>
          <w:p w14:paraId="064D8CA3"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N06AA10</w:t>
            </w:r>
          </w:p>
        </w:tc>
      </w:tr>
      <w:tr w:rsidR="00BE3C80" w:rsidRPr="00E97A17" w14:paraId="11C59D29" w14:textId="77777777" w:rsidTr="00D447F9">
        <w:trPr>
          <w:trHeight w:val="298"/>
        </w:trPr>
        <w:tc>
          <w:tcPr>
            <w:tcW w:w="3532" w:type="pct"/>
            <w:shd w:val="clear" w:color="auto" w:fill="auto"/>
            <w:tcMar>
              <w:top w:w="15" w:type="dxa"/>
              <w:left w:w="96" w:type="dxa"/>
              <w:bottom w:w="0" w:type="dxa"/>
              <w:right w:w="96" w:type="dxa"/>
            </w:tcMar>
            <w:vAlign w:val="center"/>
            <w:hideMark/>
          </w:tcPr>
          <w:p w14:paraId="206C71F1" w14:textId="77777777" w:rsidR="00BE3C80" w:rsidRPr="00E97A17" w:rsidRDefault="00BE3C80" w:rsidP="00D447F9">
            <w:pPr>
              <w:rPr>
                <w:rFonts w:eastAsia="Calibri" w:cs="Helvetica"/>
                <w:sz w:val="18"/>
                <w:szCs w:val="18"/>
              </w:rPr>
            </w:pPr>
            <w:r w:rsidRPr="00E97A17">
              <w:rPr>
                <w:rFonts w:eastAsia="Calibri" w:cs="Helvetica"/>
                <w:sz w:val="18"/>
                <w:szCs w:val="18"/>
              </w:rPr>
              <w:t>Venlafaxine</w:t>
            </w:r>
          </w:p>
        </w:tc>
        <w:tc>
          <w:tcPr>
            <w:tcW w:w="1468" w:type="pct"/>
            <w:shd w:val="clear" w:color="auto" w:fill="auto"/>
            <w:tcMar>
              <w:top w:w="15" w:type="dxa"/>
              <w:left w:w="96" w:type="dxa"/>
              <w:bottom w:w="0" w:type="dxa"/>
              <w:right w:w="96" w:type="dxa"/>
            </w:tcMar>
            <w:vAlign w:val="center"/>
            <w:hideMark/>
          </w:tcPr>
          <w:p w14:paraId="7B5BF4A7"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N06AX16</w:t>
            </w:r>
          </w:p>
        </w:tc>
      </w:tr>
      <w:tr w:rsidR="00BE3C80" w:rsidRPr="00E97A17" w14:paraId="3C39A6F9" w14:textId="77777777" w:rsidTr="00D447F9">
        <w:trPr>
          <w:trHeight w:val="298"/>
        </w:trPr>
        <w:tc>
          <w:tcPr>
            <w:tcW w:w="5000" w:type="pct"/>
            <w:gridSpan w:val="2"/>
            <w:shd w:val="clear" w:color="auto" w:fill="F2F2F2" w:themeFill="background1" w:themeFillShade="F2"/>
            <w:tcMar>
              <w:top w:w="15" w:type="dxa"/>
              <w:left w:w="96" w:type="dxa"/>
              <w:bottom w:w="0" w:type="dxa"/>
              <w:right w:w="96" w:type="dxa"/>
            </w:tcMar>
            <w:vAlign w:val="center"/>
            <w:hideMark/>
          </w:tcPr>
          <w:p w14:paraId="652AF659" w14:textId="77777777" w:rsidR="00BE3C80" w:rsidRPr="00E97A17" w:rsidRDefault="00BE3C80" w:rsidP="00D447F9">
            <w:pPr>
              <w:rPr>
                <w:rFonts w:eastAsia="Calibri" w:cs="Helvetica"/>
                <w:sz w:val="18"/>
                <w:szCs w:val="18"/>
              </w:rPr>
            </w:pPr>
            <w:r w:rsidRPr="00E97A17">
              <w:rPr>
                <w:rFonts w:eastAsia="Calibri" w:cs="Helvetica"/>
                <w:b/>
                <w:bCs/>
                <w:sz w:val="18"/>
                <w:szCs w:val="18"/>
              </w:rPr>
              <w:t>Neurotoxin</w:t>
            </w:r>
          </w:p>
        </w:tc>
      </w:tr>
      <w:tr w:rsidR="00BE3C80" w:rsidRPr="00E97A17" w14:paraId="7C4F1592" w14:textId="77777777" w:rsidTr="00D447F9">
        <w:trPr>
          <w:trHeight w:val="298"/>
        </w:trPr>
        <w:tc>
          <w:tcPr>
            <w:tcW w:w="3532" w:type="pct"/>
            <w:shd w:val="clear" w:color="auto" w:fill="auto"/>
            <w:tcMar>
              <w:top w:w="15" w:type="dxa"/>
              <w:left w:w="96" w:type="dxa"/>
              <w:bottom w:w="0" w:type="dxa"/>
              <w:right w:w="96" w:type="dxa"/>
            </w:tcMar>
            <w:vAlign w:val="center"/>
            <w:hideMark/>
          </w:tcPr>
          <w:p w14:paraId="0AC774DA" w14:textId="77777777" w:rsidR="00BE3C80" w:rsidRPr="00E97A17" w:rsidRDefault="00BE3C80" w:rsidP="00D447F9">
            <w:pPr>
              <w:rPr>
                <w:rFonts w:eastAsia="Calibri" w:cs="Helvetica"/>
                <w:sz w:val="18"/>
                <w:szCs w:val="18"/>
              </w:rPr>
            </w:pPr>
            <w:proofErr w:type="spellStart"/>
            <w:r w:rsidRPr="00E97A17">
              <w:rPr>
                <w:rFonts w:eastAsia="Calibri" w:cs="Helvetica"/>
                <w:sz w:val="18"/>
                <w:szCs w:val="18"/>
              </w:rPr>
              <w:t>OnabotulinumtoxinA</w:t>
            </w:r>
            <w:proofErr w:type="spellEnd"/>
            <w:r w:rsidRPr="00E97A17">
              <w:rPr>
                <w:rFonts w:eastAsia="Calibri" w:cs="Helvetica"/>
                <w:sz w:val="18"/>
                <w:szCs w:val="18"/>
              </w:rPr>
              <w:t xml:space="preserve"> (Botox)</w:t>
            </w:r>
          </w:p>
        </w:tc>
        <w:tc>
          <w:tcPr>
            <w:tcW w:w="1468" w:type="pct"/>
            <w:shd w:val="clear" w:color="auto" w:fill="auto"/>
            <w:tcMar>
              <w:top w:w="15" w:type="dxa"/>
              <w:left w:w="96" w:type="dxa"/>
              <w:bottom w:w="0" w:type="dxa"/>
              <w:right w:w="96" w:type="dxa"/>
            </w:tcMar>
            <w:vAlign w:val="center"/>
            <w:hideMark/>
          </w:tcPr>
          <w:p w14:paraId="20DA933C" w14:textId="77777777" w:rsidR="00BE3C80" w:rsidRPr="00E97A17" w:rsidRDefault="00BE3C80" w:rsidP="00D447F9">
            <w:pPr>
              <w:jc w:val="center"/>
              <w:rPr>
                <w:rFonts w:eastAsia="Calibri" w:cs="Helvetica"/>
                <w:sz w:val="18"/>
                <w:szCs w:val="18"/>
              </w:rPr>
            </w:pPr>
            <w:r w:rsidRPr="00E97A17">
              <w:rPr>
                <w:rFonts w:eastAsia="Calibri" w:cs="Helvetica"/>
                <w:sz w:val="18"/>
                <w:szCs w:val="18"/>
              </w:rPr>
              <w:t>M03AX01</w:t>
            </w:r>
          </w:p>
        </w:tc>
      </w:tr>
      <w:tr w:rsidR="00BE3C80" w:rsidRPr="00E97A17" w14:paraId="4D2D65EC" w14:textId="77777777" w:rsidTr="00D447F9">
        <w:trPr>
          <w:trHeight w:val="298"/>
        </w:trPr>
        <w:tc>
          <w:tcPr>
            <w:tcW w:w="5000" w:type="pct"/>
            <w:gridSpan w:val="2"/>
            <w:shd w:val="clear" w:color="auto" w:fill="F2F2F2" w:themeFill="background1" w:themeFillShade="F2"/>
            <w:tcMar>
              <w:top w:w="15" w:type="dxa"/>
              <w:left w:w="96" w:type="dxa"/>
              <w:bottom w:w="0" w:type="dxa"/>
              <w:right w:w="96" w:type="dxa"/>
            </w:tcMar>
            <w:vAlign w:val="center"/>
            <w:hideMark/>
          </w:tcPr>
          <w:p w14:paraId="00FB8BC3" w14:textId="77777777" w:rsidR="00BE3C80" w:rsidRPr="00E97A17" w:rsidRDefault="00BE3C80" w:rsidP="00D447F9">
            <w:pPr>
              <w:rPr>
                <w:rFonts w:eastAsia="Calibri" w:cs="Helvetica"/>
                <w:sz w:val="18"/>
                <w:szCs w:val="18"/>
              </w:rPr>
            </w:pPr>
            <w:r w:rsidRPr="00E97A17">
              <w:rPr>
                <w:rFonts w:eastAsia="Calibri" w:cs="Helvetica"/>
                <w:b/>
                <w:bCs/>
                <w:sz w:val="18"/>
                <w:szCs w:val="18"/>
              </w:rPr>
              <w:t>Monoclonal antibodies</w:t>
            </w:r>
          </w:p>
        </w:tc>
      </w:tr>
      <w:tr w:rsidR="00BE3C80" w:rsidRPr="00E97A17" w14:paraId="27EBD9CC" w14:textId="77777777" w:rsidTr="00D447F9">
        <w:trPr>
          <w:trHeight w:val="298"/>
        </w:trPr>
        <w:tc>
          <w:tcPr>
            <w:tcW w:w="3532" w:type="pct"/>
            <w:shd w:val="clear" w:color="auto" w:fill="auto"/>
            <w:tcMar>
              <w:top w:w="15" w:type="dxa"/>
              <w:left w:w="96" w:type="dxa"/>
              <w:bottom w:w="0" w:type="dxa"/>
              <w:right w:w="96" w:type="dxa"/>
            </w:tcMar>
            <w:vAlign w:val="center"/>
            <w:hideMark/>
          </w:tcPr>
          <w:p w14:paraId="61ABDD69" w14:textId="77777777" w:rsidR="00BE3C80" w:rsidRPr="00E97A17" w:rsidRDefault="00BE3C80" w:rsidP="00D447F9">
            <w:pPr>
              <w:rPr>
                <w:rFonts w:eastAsia="Calibri" w:cs="Helvetica"/>
                <w:sz w:val="18"/>
                <w:szCs w:val="18"/>
              </w:rPr>
            </w:pPr>
            <w:r w:rsidRPr="00E97A17">
              <w:rPr>
                <w:rFonts w:eastAsia="Calibri" w:cs="Helvetica"/>
                <w:sz w:val="18"/>
                <w:szCs w:val="18"/>
              </w:rPr>
              <w:t>Aimovig (</w:t>
            </w:r>
            <w:proofErr w:type="spellStart"/>
            <w:r w:rsidRPr="00E97A17">
              <w:rPr>
                <w:rFonts w:eastAsia="Calibri" w:cs="Helvetica"/>
                <w:sz w:val="18"/>
                <w:szCs w:val="18"/>
              </w:rPr>
              <w:t>erenumab</w:t>
            </w:r>
            <w:proofErr w:type="spellEnd"/>
            <w:r w:rsidRPr="00E97A17">
              <w:rPr>
                <w:rFonts w:eastAsia="Calibri" w:cs="Helvetica"/>
                <w:sz w:val="18"/>
                <w:szCs w:val="18"/>
              </w:rPr>
              <w:t>)</w:t>
            </w:r>
          </w:p>
        </w:tc>
        <w:tc>
          <w:tcPr>
            <w:tcW w:w="1468" w:type="pct"/>
            <w:shd w:val="clear" w:color="auto" w:fill="auto"/>
            <w:tcMar>
              <w:top w:w="15" w:type="dxa"/>
              <w:left w:w="96" w:type="dxa"/>
              <w:bottom w:w="0" w:type="dxa"/>
              <w:right w:w="96" w:type="dxa"/>
            </w:tcMar>
            <w:vAlign w:val="center"/>
            <w:hideMark/>
          </w:tcPr>
          <w:p w14:paraId="1959DFCF"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N02CD01</w:t>
            </w:r>
          </w:p>
        </w:tc>
      </w:tr>
      <w:tr w:rsidR="00BE3C80" w:rsidRPr="00E97A17" w14:paraId="41D3FF7E" w14:textId="77777777" w:rsidTr="00D447F9">
        <w:trPr>
          <w:trHeight w:val="298"/>
        </w:trPr>
        <w:tc>
          <w:tcPr>
            <w:tcW w:w="3532" w:type="pct"/>
            <w:shd w:val="clear" w:color="auto" w:fill="auto"/>
            <w:tcMar>
              <w:top w:w="15" w:type="dxa"/>
              <w:left w:w="96" w:type="dxa"/>
              <w:bottom w:w="0" w:type="dxa"/>
              <w:right w:w="96" w:type="dxa"/>
            </w:tcMar>
            <w:vAlign w:val="center"/>
            <w:hideMark/>
          </w:tcPr>
          <w:p w14:paraId="1E0F3988" w14:textId="77777777" w:rsidR="00BE3C80" w:rsidRPr="00E97A17" w:rsidRDefault="00BE3C80" w:rsidP="00D447F9">
            <w:pPr>
              <w:rPr>
                <w:rFonts w:eastAsia="Calibri" w:cs="Helvetica"/>
                <w:sz w:val="18"/>
                <w:szCs w:val="18"/>
              </w:rPr>
            </w:pPr>
            <w:proofErr w:type="spellStart"/>
            <w:r w:rsidRPr="00E97A17">
              <w:rPr>
                <w:rFonts w:eastAsia="Calibri" w:cs="Helvetica"/>
                <w:sz w:val="18"/>
                <w:szCs w:val="18"/>
              </w:rPr>
              <w:t>Emgality</w:t>
            </w:r>
            <w:proofErr w:type="spellEnd"/>
            <w:r w:rsidRPr="00E97A17">
              <w:rPr>
                <w:rFonts w:eastAsia="Calibri" w:cs="Helvetica"/>
                <w:sz w:val="18"/>
                <w:szCs w:val="18"/>
              </w:rPr>
              <w:t xml:space="preserve"> (</w:t>
            </w:r>
            <w:proofErr w:type="spellStart"/>
            <w:r w:rsidRPr="00E97A17">
              <w:rPr>
                <w:rFonts w:eastAsia="Calibri" w:cs="Helvetica"/>
                <w:sz w:val="18"/>
                <w:szCs w:val="18"/>
              </w:rPr>
              <w:t>galcanezumab</w:t>
            </w:r>
            <w:proofErr w:type="spellEnd"/>
            <w:r w:rsidRPr="00E97A17">
              <w:rPr>
                <w:rFonts w:eastAsia="Calibri" w:cs="Helvetica"/>
                <w:sz w:val="18"/>
                <w:szCs w:val="18"/>
              </w:rPr>
              <w:t>)</w:t>
            </w:r>
          </w:p>
        </w:tc>
        <w:tc>
          <w:tcPr>
            <w:tcW w:w="1468" w:type="pct"/>
            <w:shd w:val="clear" w:color="auto" w:fill="auto"/>
            <w:tcMar>
              <w:top w:w="15" w:type="dxa"/>
              <w:left w:w="96" w:type="dxa"/>
              <w:bottom w:w="0" w:type="dxa"/>
              <w:right w:w="96" w:type="dxa"/>
            </w:tcMar>
            <w:vAlign w:val="center"/>
            <w:hideMark/>
          </w:tcPr>
          <w:p w14:paraId="491EE8C1"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N02CD02</w:t>
            </w:r>
          </w:p>
        </w:tc>
      </w:tr>
      <w:tr w:rsidR="00BE3C80" w:rsidRPr="00E97A17" w14:paraId="1D96D08E" w14:textId="77777777" w:rsidTr="00D447F9">
        <w:trPr>
          <w:trHeight w:val="298"/>
        </w:trPr>
        <w:tc>
          <w:tcPr>
            <w:tcW w:w="5000" w:type="pct"/>
            <w:gridSpan w:val="2"/>
            <w:shd w:val="clear" w:color="auto" w:fill="F2F2F2" w:themeFill="background1" w:themeFillShade="F2"/>
            <w:tcMar>
              <w:top w:w="15" w:type="dxa"/>
              <w:left w:w="96" w:type="dxa"/>
              <w:bottom w:w="0" w:type="dxa"/>
              <w:right w:w="96" w:type="dxa"/>
            </w:tcMar>
            <w:vAlign w:val="center"/>
            <w:hideMark/>
          </w:tcPr>
          <w:p w14:paraId="7CFD5445" w14:textId="77777777" w:rsidR="00BE3C80" w:rsidRPr="00E97A17" w:rsidRDefault="00BE3C80" w:rsidP="00D447F9">
            <w:pPr>
              <w:rPr>
                <w:rFonts w:eastAsia="Calibri" w:cs="Helvetica"/>
                <w:sz w:val="18"/>
                <w:szCs w:val="18"/>
              </w:rPr>
            </w:pPr>
            <w:proofErr w:type="spellStart"/>
            <w:r>
              <w:rPr>
                <w:rFonts w:eastAsia="Calibri" w:cs="Helvetica"/>
                <w:b/>
                <w:bCs/>
                <w:sz w:val="18"/>
                <w:szCs w:val="18"/>
              </w:rPr>
              <w:t>Antamines</w:t>
            </w:r>
            <w:proofErr w:type="spellEnd"/>
          </w:p>
        </w:tc>
      </w:tr>
      <w:tr w:rsidR="00BE3C80" w:rsidRPr="00E97A17" w14:paraId="63AB9EF3" w14:textId="77777777" w:rsidTr="00D447F9">
        <w:trPr>
          <w:trHeight w:val="298"/>
        </w:trPr>
        <w:tc>
          <w:tcPr>
            <w:tcW w:w="3532" w:type="pct"/>
            <w:shd w:val="clear" w:color="auto" w:fill="auto"/>
            <w:tcMar>
              <w:top w:w="15" w:type="dxa"/>
              <w:left w:w="96" w:type="dxa"/>
              <w:bottom w:w="0" w:type="dxa"/>
              <w:right w:w="96" w:type="dxa"/>
            </w:tcMar>
            <w:vAlign w:val="center"/>
            <w:hideMark/>
          </w:tcPr>
          <w:p w14:paraId="3DCBAA3B" w14:textId="77777777" w:rsidR="00BE3C80" w:rsidRPr="00E97A17" w:rsidRDefault="00BE3C80" w:rsidP="00D447F9">
            <w:pPr>
              <w:rPr>
                <w:rFonts w:eastAsia="Calibri" w:cs="Helvetica"/>
                <w:sz w:val="18"/>
                <w:szCs w:val="18"/>
              </w:rPr>
            </w:pPr>
            <w:r w:rsidRPr="00E97A17">
              <w:rPr>
                <w:rFonts w:eastAsia="Calibri" w:cs="Helvetica"/>
                <w:sz w:val="18"/>
                <w:szCs w:val="18"/>
              </w:rPr>
              <w:t>Pizotifen (malate)</w:t>
            </w:r>
          </w:p>
        </w:tc>
        <w:tc>
          <w:tcPr>
            <w:tcW w:w="1468" w:type="pct"/>
            <w:shd w:val="clear" w:color="auto" w:fill="auto"/>
            <w:tcMar>
              <w:top w:w="15" w:type="dxa"/>
              <w:left w:w="96" w:type="dxa"/>
              <w:bottom w:w="0" w:type="dxa"/>
              <w:right w:w="96" w:type="dxa"/>
            </w:tcMar>
            <w:vAlign w:val="center"/>
            <w:hideMark/>
          </w:tcPr>
          <w:p w14:paraId="494E80AF" w14:textId="77777777" w:rsidR="00BE3C80" w:rsidRPr="00E97A17" w:rsidRDefault="00BE3C80" w:rsidP="00D447F9">
            <w:pPr>
              <w:jc w:val="center"/>
              <w:rPr>
                <w:rFonts w:eastAsia="Calibri" w:cs="Helvetica"/>
                <w:sz w:val="18"/>
                <w:szCs w:val="18"/>
              </w:rPr>
            </w:pPr>
            <w:r w:rsidRPr="00E97A17">
              <w:rPr>
                <w:rFonts w:eastAsia="Calibri" w:cs="Helvetica"/>
                <w:sz w:val="18"/>
                <w:szCs w:val="18"/>
              </w:rPr>
              <w:t>N02CX01</w:t>
            </w:r>
          </w:p>
        </w:tc>
      </w:tr>
    </w:tbl>
    <w:p w14:paraId="49FDC743" w14:textId="77777777" w:rsidR="00BE3C80" w:rsidRPr="00A26989" w:rsidRDefault="00BE3C80" w:rsidP="00BE3C80">
      <w:pPr>
        <w:rPr>
          <w:sz w:val="16"/>
          <w:szCs w:val="18"/>
        </w:rPr>
      </w:pPr>
      <w:r w:rsidRPr="00A26989">
        <w:rPr>
          <w:rFonts w:eastAsia="Calibri" w:cs="Helvetica"/>
          <w:sz w:val="16"/>
          <w:szCs w:val="18"/>
        </w:rPr>
        <w:t>Abbreviations: ATC: Anatomical Therapeutic Chemical code</w:t>
      </w:r>
    </w:p>
    <w:p w14:paraId="57F1298E" w14:textId="77777777" w:rsidR="00CD7286" w:rsidRDefault="00CD7286"/>
    <w:sectPr w:rsidR="00CD72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8C5"/>
    <w:multiLevelType w:val="hybridMultilevel"/>
    <w:tmpl w:val="7D627702"/>
    <w:lvl w:ilvl="0" w:tplc="F5045086">
      <w:numFmt w:val="bullet"/>
      <w:lvlText w:val="-"/>
      <w:lvlJc w:val="left"/>
      <w:pPr>
        <w:ind w:left="1635" w:hanging="360"/>
      </w:pPr>
      <w:rPr>
        <w:rFonts w:ascii="Times New Roman" w:eastAsiaTheme="minorHAnsi" w:hAnsi="Times New Roman" w:cs="Times New Roman" w:hint="default"/>
      </w:rPr>
    </w:lvl>
    <w:lvl w:ilvl="1" w:tplc="10090003" w:tentative="1">
      <w:start w:val="1"/>
      <w:numFmt w:val="bullet"/>
      <w:lvlText w:val="o"/>
      <w:lvlJc w:val="left"/>
      <w:pPr>
        <w:ind w:left="2355" w:hanging="360"/>
      </w:pPr>
      <w:rPr>
        <w:rFonts w:ascii="Courier New" w:hAnsi="Courier New" w:cs="Courier New" w:hint="default"/>
      </w:rPr>
    </w:lvl>
    <w:lvl w:ilvl="2" w:tplc="10090005" w:tentative="1">
      <w:start w:val="1"/>
      <w:numFmt w:val="bullet"/>
      <w:lvlText w:val=""/>
      <w:lvlJc w:val="left"/>
      <w:pPr>
        <w:ind w:left="3075" w:hanging="360"/>
      </w:pPr>
      <w:rPr>
        <w:rFonts w:ascii="Wingdings" w:hAnsi="Wingdings" w:hint="default"/>
      </w:rPr>
    </w:lvl>
    <w:lvl w:ilvl="3" w:tplc="10090001" w:tentative="1">
      <w:start w:val="1"/>
      <w:numFmt w:val="bullet"/>
      <w:lvlText w:val=""/>
      <w:lvlJc w:val="left"/>
      <w:pPr>
        <w:ind w:left="3795" w:hanging="360"/>
      </w:pPr>
      <w:rPr>
        <w:rFonts w:ascii="Symbol" w:hAnsi="Symbol" w:hint="default"/>
      </w:rPr>
    </w:lvl>
    <w:lvl w:ilvl="4" w:tplc="10090003" w:tentative="1">
      <w:start w:val="1"/>
      <w:numFmt w:val="bullet"/>
      <w:lvlText w:val="o"/>
      <w:lvlJc w:val="left"/>
      <w:pPr>
        <w:ind w:left="4515" w:hanging="360"/>
      </w:pPr>
      <w:rPr>
        <w:rFonts w:ascii="Courier New" w:hAnsi="Courier New" w:cs="Courier New" w:hint="default"/>
      </w:rPr>
    </w:lvl>
    <w:lvl w:ilvl="5" w:tplc="10090005" w:tentative="1">
      <w:start w:val="1"/>
      <w:numFmt w:val="bullet"/>
      <w:lvlText w:val=""/>
      <w:lvlJc w:val="left"/>
      <w:pPr>
        <w:ind w:left="5235" w:hanging="360"/>
      </w:pPr>
      <w:rPr>
        <w:rFonts w:ascii="Wingdings" w:hAnsi="Wingdings" w:hint="default"/>
      </w:rPr>
    </w:lvl>
    <w:lvl w:ilvl="6" w:tplc="10090001" w:tentative="1">
      <w:start w:val="1"/>
      <w:numFmt w:val="bullet"/>
      <w:lvlText w:val=""/>
      <w:lvlJc w:val="left"/>
      <w:pPr>
        <w:ind w:left="5955" w:hanging="360"/>
      </w:pPr>
      <w:rPr>
        <w:rFonts w:ascii="Symbol" w:hAnsi="Symbol" w:hint="default"/>
      </w:rPr>
    </w:lvl>
    <w:lvl w:ilvl="7" w:tplc="10090003" w:tentative="1">
      <w:start w:val="1"/>
      <w:numFmt w:val="bullet"/>
      <w:lvlText w:val="o"/>
      <w:lvlJc w:val="left"/>
      <w:pPr>
        <w:ind w:left="6675" w:hanging="360"/>
      </w:pPr>
      <w:rPr>
        <w:rFonts w:ascii="Courier New" w:hAnsi="Courier New" w:cs="Courier New" w:hint="default"/>
      </w:rPr>
    </w:lvl>
    <w:lvl w:ilvl="8" w:tplc="10090005" w:tentative="1">
      <w:start w:val="1"/>
      <w:numFmt w:val="bullet"/>
      <w:lvlText w:val=""/>
      <w:lvlJc w:val="left"/>
      <w:pPr>
        <w:ind w:left="7395" w:hanging="360"/>
      </w:pPr>
      <w:rPr>
        <w:rFonts w:ascii="Wingdings" w:hAnsi="Wingdings" w:hint="default"/>
      </w:rPr>
    </w:lvl>
  </w:abstractNum>
  <w:abstractNum w:abstractNumId="1" w15:restartNumberingAfterBreak="0">
    <w:nsid w:val="450E5F46"/>
    <w:multiLevelType w:val="multilevel"/>
    <w:tmpl w:val="D8888F2E"/>
    <w:lvl w:ilvl="0">
      <w:start w:val="1"/>
      <w:numFmt w:val="upperLetter"/>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47D3370F"/>
    <w:multiLevelType w:val="multilevel"/>
    <w:tmpl w:val="91B69520"/>
    <w:lvl w:ilvl="0">
      <w:start w:val="1"/>
      <w:numFmt w:val="decimal"/>
      <w:lvlText w:val="%1"/>
      <w:lvlJc w:val="left"/>
      <w:pPr>
        <w:ind w:left="213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6B64FE"/>
    <w:multiLevelType w:val="multilevel"/>
    <w:tmpl w:val="797E5D6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3F4F"/>
    <w:multiLevelType w:val="multilevel"/>
    <w:tmpl w:val="20FCEDF0"/>
    <w:lvl w:ilvl="0">
      <w:start w:val="1"/>
      <w:numFmt w:val="decimal"/>
      <w:lvlText w:val="%1"/>
      <w:lvlJc w:val="left"/>
      <w:pPr>
        <w:ind w:left="1092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sz w:val="20"/>
        <w:szCs w:val="24"/>
      </w:r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313BF8"/>
    <w:multiLevelType w:val="hybridMultilevel"/>
    <w:tmpl w:val="9098B5E2"/>
    <w:lvl w:ilvl="0" w:tplc="F5045086">
      <w:numFmt w:val="bullet"/>
      <w:lvlText w:val="-"/>
      <w:lvlJc w:val="left"/>
      <w:pPr>
        <w:ind w:left="360" w:hanging="360"/>
      </w:pPr>
      <w:rPr>
        <w:rFonts w:ascii="Times New Roman" w:eastAsiaTheme="minorHAnsi"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5DB00C8"/>
    <w:multiLevelType w:val="multilevel"/>
    <w:tmpl w:val="DE9ED0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94227427">
    <w:abstractNumId w:val="1"/>
  </w:num>
  <w:num w:numId="2" w16cid:durableId="1981880054">
    <w:abstractNumId w:val="6"/>
  </w:num>
  <w:num w:numId="3" w16cid:durableId="892548245">
    <w:abstractNumId w:val="1"/>
  </w:num>
  <w:num w:numId="4" w16cid:durableId="1017778193">
    <w:abstractNumId w:val="1"/>
  </w:num>
  <w:num w:numId="5" w16cid:durableId="1724863958">
    <w:abstractNumId w:val="1"/>
  </w:num>
  <w:num w:numId="6" w16cid:durableId="1342901233">
    <w:abstractNumId w:val="4"/>
  </w:num>
  <w:num w:numId="7" w16cid:durableId="67922204">
    <w:abstractNumId w:val="4"/>
  </w:num>
  <w:num w:numId="8" w16cid:durableId="373389156">
    <w:abstractNumId w:val="4"/>
  </w:num>
  <w:num w:numId="9" w16cid:durableId="192964066">
    <w:abstractNumId w:val="4"/>
  </w:num>
  <w:num w:numId="10" w16cid:durableId="1136795108">
    <w:abstractNumId w:val="4"/>
  </w:num>
  <w:num w:numId="11" w16cid:durableId="2092387270">
    <w:abstractNumId w:val="4"/>
  </w:num>
  <w:num w:numId="12" w16cid:durableId="2110999495">
    <w:abstractNumId w:val="4"/>
  </w:num>
  <w:num w:numId="13" w16cid:durableId="847259774">
    <w:abstractNumId w:val="3"/>
  </w:num>
  <w:num w:numId="14" w16cid:durableId="721321599">
    <w:abstractNumId w:val="2"/>
  </w:num>
  <w:num w:numId="15" w16cid:durableId="267467445">
    <w:abstractNumId w:val="5"/>
  </w:num>
  <w:num w:numId="16" w16cid:durableId="190586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80"/>
    <w:rsid w:val="003770F7"/>
    <w:rsid w:val="00790245"/>
    <w:rsid w:val="007C00A6"/>
    <w:rsid w:val="008D23D1"/>
    <w:rsid w:val="0090364A"/>
    <w:rsid w:val="009311C6"/>
    <w:rsid w:val="00BE3C80"/>
    <w:rsid w:val="00C36F7D"/>
    <w:rsid w:val="00C54C8A"/>
    <w:rsid w:val="00CD7286"/>
    <w:rsid w:val="00DB1A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7048"/>
  <w15:chartTrackingRefBased/>
  <w15:docId w15:val="{B5C76F34-CFFC-4AEE-A89C-764095D6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80"/>
    <w:pPr>
      <w:spacing w:after="0" w:line="276" w:lineRule="auto"/>
    </w:pPr>
    <w:rPr>
      <w:rFonts w:ascii="Helvetica" w:eastAsia="Times New Roman" w:hAnsi="Helvetica" w:cs="Arial"/>
      <w:color w:val="000000"/>
      <w:sz w:val="20"/>
      <w:lang w:val="en-US"/>
    </w:rPr>
  </w:style>
  <w:style w:type="paragraph" w:styleId="Heading1">
    <w:name w:val="heading 1"/>
    <w:basedOn w:val="Normal"/>
    <w:next w:val="Normal"/>
    <w:link w:val="Heading1Char"/>
    <w:autoRedefine/>
    <w:uiPriority w:val="9"/>
    <w:qFormat/>
    <w:rsid w:val="0090364A"/>
    <w:pPr>
      <w:keepNext/>
      <w:keepLines/>
      <w:numPr>
        <w:numId w:val="13"/>
      </w:numPr>
      <w:spacing w:before="240" w:after="240" w:line="240" w:lineRule="auto"/>
      <w:ind w:left="432" w:hanging="432"/>
      <w:jc w:val="both"/>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90364A"/>
    <w:pPr>
      <w:keepNext/>
      <w:keepLines/>
      <w:numPr>
        <w:ilvl w:val="1"/>
        <w:numId w:val="12"/>
      </w:numPr>
      <w:spacing w:before="120" w:after="240" w:line="240" w:lineRule="auto"/>
      <w:jc w:val="both"/>
      <w:outlineLvl w:val="1"/>
    </w:pPr>
    <w:rPr>
      <w:rFonts w:eastAsiaTheme="majorEastAsia" w:cstheme="majorBidi"/>
      <w:b/>
      <w:color w:val="767171" w:themeColor="background2" w:themeShade="80"/>
      <w:sz w:val="24"/>
      <w:szCs w:val="26"/>
    </w:rPr>
  </w:style>
  <w:style w:type="paragraph" w:styleId="Heading3">
    <w:name w:val="heading 3"/>
    <w:basedOn w:val="Normal"/>
    <w:next w:val="Normal"/>
    <w:link w:val="Heading3Char"/>
    <w:uiPriority w:val="9"/>
    <w:unhideWhenUsed/>
    <w:qFormat/>
    <w:rsid w:val="0090364A"/>
    <w:pPr>
      <w:keepNext/>
      <w:keepLines/>
      <w:numPr>
        <w:ilvl w:val="2"/>
        <w:numId w:val="12"/>
      </w:numPr>
      <w:spacing w:before="40" w:after="120"/>
      <w:jc w:val="both"/>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90364A"/>
    <w:pPr>
      <w:keepNext/>
      <w:keepLines/>
      <w:numPr>
        <w:ilvl w:val="3"/>
        <w:numId w:val="12"/>
      </w:numPr>
      <w:spacing w:after="120" w:line="240" w:lineRule="auto"/>
      <w:jc w:val="both"/>
      <w:outlineLvl w:val="3"/>
    </w:pPr>
    <w:rPr>
      <w:rFonts w:cs="Times New Roman"/>
      <w:b/>
      <w:color w:val="850C4B"/>
      <w:lang w:eastAsia="en-CA"/>
    </w:rPr>
  </w:style>
  <w:style w:type="paragraph" w:styleId="Heading5">
    <w:name w:val="heading 5"/>
    <w:basedOn w:val="Normal"/>
    <w:next w:val="Normal"/>
    <w:link w:val="Heading5Char"/>
    <w:uiPriority w:val="9"/>
    <w:unhideWhenUsed/>
    <w:qFormat/>
    <w:rsid w:val="0090364A"/>
    <w:pPr>
      <w:keepNext/>
      <w:keepLines/>
      <w:numPr>
        <w:ilvl w:val="4"/>
        <w:numId w:val="12"/>
      </w:numPr>
      <w:spacing w:before="200" w:line="360" w:lineRule="auto"/>
      <w:jc w:val="both"/>
      <w:outlineLvl w:val="4"/>
    </w:pPr>
    <w:rPr>
      <w:rFonts w:eastAsia="Century Gothic" w:cs="Century Gothic"/>
      <w:b/>
      <w:color w:val="590832"/>
      <w:lang w:eastAsia="en-CA"/>
    </w:rPr>
  </w:style>
  <w:style w:type="paragraph" w:styleId="Heading6">
    <w:name w:val="heading 6"/>
    <w:basedOn w:val="Normal"/>
    <w:next w:val="Normal"/>
    <w:link w:val="Heading6Char"/>
    <w:uiPriority w:val="9"/>
    <w:semiHidden/>
    <w:unhideWhenUsed/>
    <w:qFormat/>
    <w:rsid w:val="00BE3C80"/>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3C80"/>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3C80"/>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3C8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64A"/>
    <w:rPr>
      <w:rFonts w:ascii="Helvetica" w:eastAsiaTheme="majorEastAsia" w:hAnsi="Helvetica" w:cstheme="majorBidi"/>
      <w:b/>
      <w:color w:val="2F5496" w:themeColor="accent1" w:themeShade="BF"/>
      <w:sz w:val="28"/>
      <w:szCs w:val="32"/>
      <w:lang w:val="en-US"/>
    </w:rPr>
  </w:style>
  <w:style w:type="character" w:customStyle="1" w:styleId="Heading2Char">
    <w:name w:val="Heading 2 Char"/>
    <w:basedOn w:val="DefaultParagraphFont"/>
    <w:link w:val="Heading2"/>
    <w:uiPriority w:val="9"/>
    <w:rsid w:val="00C36F7D"/>
    <w:rPr>
      <w:rFonts w:ascii="Helvetica" w:eastAsiaTheme="majorEastAsia" w:hAnsi="Helvetica" w:cstheme="majorBidi"/>
      <w:b/>
      <w:color w:val="767171" w:themeColor="background2" w:themeShade="80"/>
      <w:sz w:val="24"/>
      <w:szCs w:val="26"/>
    </w:rPr>
  </w:style>
  <w:style w:type="character" w:customStyle="1" w:styleId="Heading3Char">
    <w:name w:val="Heading 3 Char"/>
    <w:basedOn w:val="DefaultParagraphFont"/>
    <w:link w:val="Heading3"/>
    <w:uiPriority w:val="9"/>
    <w:rsid w:val="00C36F7D"/>
    <w:rPr>
      <w:rFonts w:ascii="Helvetica" w:eastAsiaTheme="majorEastAsia" w:hAnsi="Helvetica" w:cstheme="majorBidi"/>
      <w:b/>
      <w:color w:val="1F3763" w:themeColor="accent1" w:themeShade="7F"/>
      <w:sz w:val="24"/>
      <w:szCs w:val="24"/>
    </w:rPr>
  </w:style>
  <w:style w:type="character" w:customStyle="1" w:styleId="Heading4Char">
    <w:name w:val="Heading 4 Char"/>
    <w:basedOn w:val="DefaultParagraphFont"/>
    <w:link w:val="Heading4"/>
    <w:uiPriority w:val="9"/>
    <w:rsid w:val="00C36F7D"/>
    <w:rPr>
      <w:rFonts w:ascii="Helvetica" w:eastAsia="Times New Roman" w:hAnsi="Helvetica" w:cs="Times New Roman"/>
      <w:b/>
      <w:color w:val="850C4B"/>
      <w:sz w:val="20"/>
      <w:lang w:eastAsia="en-CA"/>
    </w:rPr>
  </w:style>
  <w:style w:type="character" w:customStyle="1" w:styleId="Heading5Char">
    <w:name w:val="Heading 5 Char"/>
    <w:basedOn w:val="DefaultParagraphFont"/>
    <w:link w:val="Heading5"/>
    <w:uiPriority w:val="9"/>
    <w:rsid w:val="00C36F7D"/>
    <w:rPr>
      <w:rFonts w:ascii="Helvetica" w:eastAsia="Century Gothic" w:hAnsi="Helvetica" w:cs="Century Gothic"/>
      <w:b/>
      <w:color w:val="590832"/>
      <w:sz w:val="20"/>
      <w:lang w:eastAsia="en-CA"/>
    </w:rPr>
  </w:style>
  <w:style w:type="character" w:customStyle="1" w:styleId="Heading6Char">
    <w:name w:val="Heading 6 Char"/>
    <w:basedOn w:val="DefaultParagraphFont"/>
    <w:link w:val="Heading6"/>
    <w:uiPriority w:val="9"/>
    <w:semiHidden/>
    <w:rsid w:val="00BE3C80"/>
    <w:rPr>
      <w:rFonts w:asciiTheme="majorHAnsi" w:eastAsiaTheme="majorEastAsia" w:hAnsiTheme="majorHAnsi" w:cstheme="majorBidi"/>
      <w:color w:val="1F3763" w:themeColor="accent1" w:themeShade="7F"/>
      <w:sz w:val="20"/>
      <w:lang w:val="en-US"/>
    </w:rPr>
  </w:style>
  <w:style w:type="character" w:customStyle="1" w:styleId="Heading7Char">
    <w:name w:val="Heading 7 Char"/>
    <w:basedOn w:val="DefaultParagraphFont"/>
    <w:link w:val="Heading7"/>
    <w:uiPriority w:val="9"/>
    <w:semiHidden/>
    <w:rsid w:val="00BE3C80"/>
    <w:rPr>
      <w:rFonts w:asciiTheme="majorHAnsi" w:eastAsiaTheme="majorEastAsia" w:hAnsiTheme="majorHAnsi" w:cstheme="majorBidi"/>
      <w:i/>
      <w:iCs/>
      <w:color w:val="1F3763" w:themeColor="accent1" w:themeShade="7F"/>
      <w:sz w:val="20"/>
      <w:lang w:val="en-US"/>
    </w:rPr>
  </w:style>
  <w:style w:type="character" w:customStyle="1" w:styleId="Heading8Char">
    <w:name w:val="Heading 8 Char"/>
    <w:basedOn w:val="DefaultParagraphFont"/>
    <w:link w:val="Heading8"/>
    <w:uiPriority w:val="9"/>
    <w:semiHidden/>
    <w:rsid w:val="00BE3C8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E3C80"/>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BE3C80"/>
    <w:pPr>
      <w:ind w:left="720"/>
      <w:contextualSpacing/>
    </w:pPr>
  </w:style>
  <w:style w:type="character" w:customStyle="1" w:styleId="ListParagraphChar">
    <w:name w:val="List Paragraph Char"/>
    <w:link w:val="ListParagraph"/>
    <w:uiPriority w:val="34"/>
    <w:locked/>
    <w:rsid w:val="00BE3C80"/>
    <w:rPr>
      <w:rFonts w:ascii="Helvetica" w:eastAsia="Times New Roman" w:hAnsi="Helvetica" w:cs="Arial"/>
      <w:color w:val="000000"/>
      <w:sz w:val="20"/>
      <w:lang w:val="en-US"/>
    </w:rPr>
  </w:style>
  <w:style w:type="paragraph" w:styleId="Caption">
    <w:name w:val="caption"/>
    <w:aliases w:val="PHE Caption,Bayer Caption,IB Caption,Medical Caption,- H17,Source Caption,Table Caption 1,Figure caption,Figure caption1 Char Char,Figure Source,Caption Char1 Char,Caption Char Char Char,Caption Char1,Caption Table...,Caption Char1 + 8 pt,...,12"/>
    <w:basedOn w:val="Normal"/>
    <w:next w:val="Normal"/>
    <w:link w:val="CaptionChar"/>
    <w:uiPriority w:val="35"/>
    <w:unhideWhenUsed/>
    <w:qFormat/>
    <w:rsid w:val="00BE3C80"/>
    <w:pPr>
      <w:keepNext/>
      <w:spacing w:line="240" w:lineRule="auto"/>
    </w:pPr>
    <w:rPr>
      <w:b/>
      <w:iCs/>
      <w:color w:val="ED7D31" w:themeColor="accent2"/>
      <w:szCs w:val="18"/>
    </w:rPr>
  </w:style>
  <w:style w:type="character" w:customStyle="1" w:styleId="CaptionChar">
    <w:name w:val="Caption Char"/>
    <w:aliases w:val="PHE Caption Char,Bayer Caption Char,IB Caption Char,Medical Caption Char,- H17 Char,Source Caption Char,Table Caption 1 Char,Figure caption Char,Figure caption1 Char Char Char,Figure Source Char,Caption Char1 Char Char,Caption Char1 Char1"/>
    <w:basedOn w:val="DefaultParagraphFont"/>
    <w:link w:val="Caption"/>
    <w:uiPriority w:val="35"/>
    <w:rsid w:val="00BE3C80"/>
    <w:rPr>
      <w:rFonts w:ascii="Helvetica" w:eastAsia="Times New Roman" w:hAnsi="Helvetica" w:cs="Arial"/>
      <w:b/>
      <w:iCs/>
      <w:color w:val="ED7D31" w:themeColor="accent2"/>
      <w:sz w:val="20"/>
      <w:szCs w:val="18"/>
      <w:lang w:val="en-US"/>
    </w:rPr>
  </w:style>
  <w:style w:type="table" w:customStyle="1" w:styleId="Table11">
    <w:name w:val="Table11"/>
    <w:basedOn w:val="TableNormal"/>
    <w:rsid w:val="00BE3C80"/>
    <w:pPr>
      <w:spacing w:after="0" w:line="240" w:lineRule="auto"/>
      <w:jc w:val="both"/>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Table13">
    <w:name w:val="Table13"/>
    <w:basedOn w:val="TableNormal"/>
    <w:rsid w:val="00BE3C80"/>
    <w:pPr>
      <w:spacing w:after="0" w:line="240" w:lineRule="auto"/>
      <w:jc w:val="both"/>
    </w:pPr>
    <w:rPr>
      <w:rFonts w:ascii="Times New Roman" w:eastAsia="Times New Roman" w:hAnsi="Times New Roman" w:cs="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Gelfand</dc:creator>
  <cp:keywords/>
  <dc:description/>
  <cp:lastModifiedBy>Tram Pham</cp:lastModifiedBy>
  <cp:revision>5</cp:revision>
  <dcterms:created xsi:type="dcterms:W3CDTF">2023-03-29T22:34:00Z</dcterms:created>
  <dcterms:modified xsi:type="dcterms:W3CDTF">2023-04-10T21:31:00Z</dcterms:modified>
</cp:coreProperties>
</file>