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3D3" w:rsidRPr="00515D76" w:rsidRDefault="004513D3" w:rsidP="00CF339F">
      <w:pPr>
        <w:spacing w:line="360" w:lineRule="auto"/>
        <w:ind w:left="720"/>
        <w:jc w:val="center"/>
        <w:rPr>
          <w:rFonts w:ascii="Times New Roman" w:hAnsi="Times New Roman" w:cs="Times New Roman"/>
          <w:b/>
          <w:color w:val="000000"/>
          <w:sz w:val="24"/>
          <w:szCs w:val="24"/>
          <w:lang w:val="en-GB"/>
        </w:rPr>
      </w:pPr>
      <w:r w:rsidRPr="00515D76">
        <w:rPr>
          <w:rFonts w:ascii="Times New Roman" w:hAnsi="Times New Roman" w:cs="Times New Roman"/>
          <w:b/>
          <w:color w:val="000000"/>
          <w:sz w:val="24"/>
          <w:szCs w:val="24"/>
          <w:lang w:val="en-GB"/>
        </w:rPr>
        <w:t>A tale of two villages: assessing the dynamics of fuelwood supply in communal landscapes in South Africa</w:t>
      </w:r>
    </w:p>
    <w:p w:rsidR="004513D3" w:rsidRPr="00515D76" w:rsidRDefault="004513D3" w:rsidP="00CF339F">
      <w:pPr>
        <w:spacing w:line="360" w:lineRule="auto"/>
        <w:ind w:left="720"/>
        <w:jc w:val="center"/>
        <w:rPr>
          <w:rFonts w:ascii="Times New Roman" w:hAnsi="Times New Roman" w:cs="Times New Roman"/>
          <w:color w:val="000000"/>
          <w:vertAlign w:val="superscript"/>
          <w:lang w:val="en-GB"/>
        </w:rPr>
      </w:pPr>
      <w:r w:rsidRPr="00515D76">
        <w:rPr>
          <w:rFonts w:ascii="Times New Roman" w:hAnsi="Times New Roman" w:cs="Times New Roman"/>
          <w:color w:val="000000"/>
          <w:lang w:val="en-GB"/>
        </w:rPr>
        <w:t>RUWADZANO MATSIKA, BAREND F.N. ERASMUS AND WAYNE C. TWINE</w:t>
      </w:r>
    </w:p>
    <w:p w:rsidR="004513D3" w:rsidRPr="00515D76" w:rsidRDefault="004513D3" w:rsidP="00CF339F">
      <w:pPr>
        <w:pStyle w:val="Caption"/>
        <w:jc w:val="center"/>
        <w:rPr>
          <w:rFonts w:ascii="Times New Roman" w:hAnsi="Times New Roman" w:cs="Times New Roman"/>
          <w:i w:val="0"/>
          <w:sz w:val="22"/>
          <w:szCs w:val="22"/>
          <w:lang w:val="en-GB"/>
        </w:rPr>
      </w:pPr>
    </w:p>
    <w:p w:rsidR="004513D3" w:rsidRPr="006E4D3E" w:rsidRDefault="004513D3" w:rsidP="00B07FAD">
      <w:pPr>
        <w:pStyle w:val="Caption"/>
        <w:rPr>
          <w:rFonts w:ascii="Times New Roman" w:hAnsi="Times New Roman" w:cs="Times New Roman"/>
          <w:b/>
          <w:bCs/>
          <w:i w:val="0"/>
          <w:sz w:val="22"/>
          <w:szCs w:val="22"/>
          <w:lang w:val="en-GB"/>
        </w:rPr>
      </w:pPr>
      <w:r w:rsidRPr="006E4D3E">
        <w:rPr>
          <w:rFonts w:ascii="Times New Roman" w:hAnsi="Times New Roman" w:cs="Times New Roman"/>
          <w:b/>
          <w:bCs/>
          <w:i w:val="0"/>
          <w:sz w:val="22"/>
          <w:szCs w:val="22"/>
          <w:lang w:val="en-GB"/>
        </w:rPr>
        <w:t>APPENDIX 1</w:t>
      </w:r>
    </w:p>
    <w:p w:rsidR="004513D3" w:rsidRPr="006E4D3E" w:rsidRDefault="004513D3" w:rsidP="00B07FAD">
      <w:pPr>
        <w:pStyle w:val="Caption"/>
        <w:rPr>
          <w:rFonts w:ascii="Times New Roman" w:hAnsi="Times New Roman" w:cs="Times New Roman"/>
          <w:b/>
          <w:bCs/>
          <w:i w:val="0"/>
          <w:sz w:val="22"/>
          <w:szCs w:val="22"/>
          <w:lang w:val="en-GB"/>
        </w:rPr>
      </w:pPr>
    </w:p>
    <w:p w:rsidR="004513D3" w:rsidRPr="00515D76" w:rsidRDefault="004513D3" w:rsidP="006E4D3E">
      <w:pPr>
        <w:pStyle w:val="Caption"/>
        <w:rPr>
          <w:rFonts w:ascii="Times New Roman" w:hAnsi="Times New Roman" w:cs="Times New Roman"/>
          <w:i w:val="0"/>
          <w:sz w:val="22"/>
          <w:szCs w:val="22"/>
          <w:lang w:val="en-GB"/>
        </w:rPr>
      </w:pPr>
      <w:r w:rsidRPr="006E4D3E">
        <w:rPr>
          <w:rFonts w:ascii="Times New Roman" w:hAnsi="Times New Roman" w:cs="Times New Roman"/>
          <w:b/>
          <w:bCs/>
          <w:i w:val="0"/>
          <w:sz w:val="22"/>
          <w:szCs w:val="22"/>
          <w:lang w:val="en-GB"/>
        </w:rPr>
        <w:t>Table S1</w:t>
      </w:r>
      <w:r w:rsidRPr="00515D76">
        <w:rPr>
          <w:rFonts w:ascii="Times New Roman" w:hAnsi="Times New Roman" w:cs="Times New Roman"/>
          <w:i w:val="0"/>
          <w:sz w:val="22"/>
          <w:szCs w:val="22"/>
          <w:lang w:val="en-GB"/>
        </w:rPr>
        <w:t xml:space="preserve"> Stem size class frequency distribution and size class distribution slope comparisons for Welverdiend woodlands in 1992 and 2009. Regressions were compared for significance using ANCOVA.</w:t>
      </w:r>
    </w:p>
    <w:p w:rsidR="004513D3" w:rsidRPr="00545357" w:rsidRDefault="004513D3" w:rsidP="00B07FAD">
      <w:pPr>
        <w:pStyle w:val="Caption"/>
        <w:rPr>
          <w:lang w:val="en-GB"/>
        </w:rPr>
      </w:pPr>
    </w:p>
    <w:tbl>
      <w:tblPr>
        <w:tblW w:w="0" w:type="auto"/>
        <w:tblInd w:w="93" w:type="dxa"/>
        <w:tblLook w:val="00A0"/>
      </w:tblPr>
      <w:tblGrid>
        <w:gridCol w:w="1982"/>
        <w:gridCol w:w="1451"/>
        <w:gridCol w:w="621"/>
        <w:gridCol w:w="1005"/>
        <w:gridCol w:w="566"/>
        <w:gridCol w:w="236"/>
        <w:gridCol w:w="621"/>
        <w:gridCol w:w="866"/>
        <w:gridCol w:w="531"/>
        <w:gridCol w:w="236"/>
        <w:gridCol w:w="771"/>
        <w:gridCol w:w="740"/>
        <w:gridCol w:w="236"/>
        <w:gridCol w:w="826"/>
        <w:gridCol w:w="935"/>
        <w:gridCol w:w="1176"/>
      </w:tblGrid>
      <w:tr w:rsidR="004513D3" w:rsidRPr="00515D76" w:rsidTr="00CF339F">
        <w:trPr>
          <w:trHeight w:val="331"/>
        </w:trPr>
        <w:tc>
          <w:tcPr>
            <w:tcW w:w="0" w:type="auto"/>
            <w:vMerge w:val="restart"/>
            <w:tcBorders>
              <w:top w:val="double" w:sz="6" w:space="0" w:color="auto"/>
              <w:left w:val="nil"/>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S</w:t>
            </w:r>
            <w:r>
              <w:rPr>
                <w:rFonts w:ascii="Times New Roman" w:hAnsi="Times New Roman" w:cs="Times New Roman"/>
                <w:i/>
                <w:iCs/>
                <w:color w:val="000000"/>
                <w:sz w:val="18"/>
                <w:szCs w:val="18"/>
                <w:lang w:val="en-GB" w:eastAsia="en-ZA"/>
              </w:rPr>
              <w:t>pecies</w:t>
            </w:r>
          </w:p>
          <w:p w:rsidR="004513D3" w:rsidRPr="00CF339F" w:rsidRDefault="004513D3" w:rsidP="00CF339F">
            <w:pPr>
              <w:spacing w:after="0" w:line="240" w:lineRule="auto"/>
              <w:jc w:val="center"/>
              <w:rPr>
                <w:rFonts w:ascii="Times New Roman" w:hAnsi="Times New Roman" w:cs="Times New Roman"/>
                <w:i/>
                <w:iCs/>
                <w:color w:val="000000"/>
                <w:sz w:val="18"/>
                <w:szCs w:val="18"/>
                <w:lang w:val="en-GB" w:eastAsia="en-ZA"/>
              </w:rPr>
            </w:pPr>
          </w:p>
        </w:tc>
        <w:tc>
          <w:tcPr>
            <w:tcW w:w="0" w:type="auto"/>
            <w:vMerge w:val="restart"/>
            <w:tcBorders>
              <w:top w:val="double" w:sz="6" w:space="0" w:color="auto"/>
              <w:left w:val="nil"/>
              <w:right w:val="nil"/>
            </w:tcBorders>
            <w:noWrap/>
          </w:tcPr>
          <w:p w:rsidR="004513D3" w:rsidRPr="00CF339F" w:rsidRDefault="004513D3" w:rsidP="00CF339F">
            <w:pPr>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Harvest duration</w:t>
            </w:r>
          </w:p>
        </w:tc>
        <w:tc>
          <w:tcPr>
            <w:tcW w:w="0" w:type="auto"/>
            <w:gridSpan w:val="14"/>
            <w:tcBorders>
              <w:top w:val="double" w:sz="6" w:space="0" w:color="auto"/>
              <w:left w:val="nil"/>
              <w:bottom w:val="single" w:sz="4" w:space="0" w:color="auto"/>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SCD regression analyses</w:t>
            </w:r>
          </w:p>
        </w:tc>
      </w:tr>
      <w:tr w:rsidR="004513D3" w:rsidRPr="00515D76" w:rsidTr="00CF339F">
        <w:trPr>
          <w:trHeight w:val="693"/>
        </w:trPr>
        <w:tc>
          <w:tcPr>
            <w:tcW w:w="0" w:type="auto"/>
            <w:vMerge/>
            <w:tcBorders>
              <w:left w:val="nil"/>
              <w:right w:val="nil"/>
            </w:tcBorders>
            <w:noWrap/>
          </w:tcPr>
          <w:p w:rsidR="004513D3" w:rsidRPr="00CF339F" w:rsidRDefault="004513D3" w:rsidP="00CF339F">
            <w:pPr>
              <w:spacing w:after="0" w:line="240" w:lineRule="auto"/>
              <w:jc w:val="center"/>
              <w:rPr>
                <w:rFonts w:ascii="Times New Roman" w:hAnsi="Times New Roman" w:cs="Times New Roman"/>
                <w:i/>
                <w:iCs/>
                <w:color w:val="000000"/>
                <w:sz w:val="18"/>
                <w:szCs w:val="18"/>
                <w:lang w:val="en-GB" w:eastAsia="en-ZA"/>
              </w:rPr>
            </w:pPr>
          </w:p>
        </w:tc>
        <w:tc>
          <w:tcPr>
            <w:tcW w:w="0" w:type="auto"/>
            <w:vMerge/>
            <w:tcBorders>
              <w:left w:val="nil"/>
              <w:right w:val="nil"/>
            </w:tcBorders>
            <w:noWrap/>
          </w:tcPr>
          <w:p w:rsidR="004513D3" w:rsidRPr="00CF339F" w:rsidRDefault="004513D3" w:rsidP="00CF339F">
            <w:pPr>
              <w:spacing w:after="0" w:line="240" w:lineRule="auto"/>
              <w:jc w:val="center"/>
              <w:rPr>
                <w:rFonts w:ascii="Times New Roman" w:hAnsi="Times New Roman" w:cs="Times New Roman"/>
                <w:i/>
                <w:iCs/>
                <w:color w:val="000000"/>
                <w:sz w:val="18"/>
                <w:szCs w:val="18"/>
                <w:lang w:val="en-GB" w:eastAsia="en-ZA"/>
              </w:rPr>
            </w:pPr>
          </w:p>
        </w:tc>
        <w:tc>
          <w:tcPr>
            <w:tcW w:w="0" w:type="auto"/>
            <w:gridSpan w:val="3"/>
            <w:tcBorders>
              <w:top w:val="single" w:sz="4" w:space="0" w:color="auto"/>
              <w:left w:val="nil"/>
              <w:bottom w:val="single" w:sz="4"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1992</w:t>
            </w:r>
          </w:p>
        </w:tc>
        <w:tc>
          <w:tcPr>
            <w:tcW w:w="0" w:type="auto"/>
            <w:tcBorders>
              <w:top w:val="single" w:sz="4" w:space="0" w:color="auto"/>
              <w:left w:val="nil"/>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tc>
        <w:tc>
          <w:tcPr>
            <w:tcW w:w="0" w:type="auto"/>
            <w:gridSpan w:val="3"/>
            <w:tcBorders>
              <w:top w:val="single" w:sz="4" w:space="0" w:color="auto"/>
              <w:left w:val="nil"/>
              <w:bottom w:val="single" w:sz="4"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2009</w:t>
            </w:r>
          </w:p>
        </w:tc>
        <w:tc>
          <w:tcPr>
            <w:tcW w:w="0" w:type="auto"/>
            <w:tcBorders>
              <w:top w:val="single" w:sz="4" w:space="0" w:color="auto"/>
              <w:left w:val="nil"/>
              <w:bottom w:val="nil"/>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tc>
        <w:tc>
          <w:tcPr>
            <w:tcW w:w="0" w:type="auto"/>
            <w:gridSpan w:val="2"/>
            <w:tcBorders>
              <w:top w:val="single" w:sz="4" w:space="0" w:color="auto"/>
              <w:left w:val="nil"/>
              <w:bottom w:val="single" w:sz="4" w:space="0" w:color="auto"/>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Slope comparison</w:t>
            </w:r>
          </w:p>
        </w:tc>
        <w:tc>
          <w:tcPr>
            <w:tcW w:w="0" w:type="auto"/>
            <w:tcBorders>
              <w:top w:val="single" w:sz="4" w:space="0" w:color="auto"/>
              <w:left w:val="nil"/>
              <w:bottom w:val="nil"/>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tc>
        <w:tc>
          <w:tcPr>
            <w:tcW w:w="0" w:type="auto"/>
            <w:gridSpan w:val="2"/>
            <w:tcBorders>
              <w:top w:val="single" w:sz="4" w:space="0" w:color="auto"/>
              <w:left w:val="nil"/>
              <w:bottom w:val="single" w:sz="4" w:space="0" w:color="auto"/>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Intercept comparison</w:t>
            </w:r>
          </w:p>
        </w:tc>
        <w:tc>
          <w:tcPr>
            <w:tcW w:w="0" w:type="auto"/>
            <w:tcBorders>
              <w:top w:val="single" w:sz="4" w:space="0" w:color="auto"/>
              <w:left w:val="nil"/>
              <w:bottom w:val="nil"/>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Slope</w:t>
            </w:r>
          </w:p>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Pr>
                <w:rFonts w:ascii="Times New Roman" w:hAnsi="Times New Roman" w:cs="Times New Roman"/>
                <w:i/>
                <w:iCs/>
                <w:color w:val="000000"/>
                <w:sz w:val="18"/>
                <w:szCs w:val="18"/>
                <w:lang w:val="en-GB" w:eastAsia="en-ZA"/>
              </w:rPr>
              <w:t>c</w:t>
            </w:r>
            <w:r w:rsidRPr="00CF339F">
              <w:rPr>
                <w:rFonts w:ascii="Times New Roman" w:hAnsi="Times New Roman" w:cs="Times New Roman"/>
                <w:i/>
                <w:iCs/>
                <w:color w:val="000000"/>
                <w:sz w:val="18"/>
                <w:szCs w:val="18"/>
                <w:lang w:val="en-GB" w:eastAsia="en-ZA"/>
              </w:rPr>
              <w:t>lassification</w:t>
            </w:r>
          </w:p>
        </w:tc>
      </w:tr>
      <w:tr w:rsidR="004513D3" w:rsidRPr="00515D76" w:rsidTr="00CF339F">
        <w:trPr>
          <w:trHeight w:val="331"/>
        </w:trPr>
        <w:tc>
          <w:tcPr>
            <w:tcW w:w="0" w:type="auto"/>
            <w:vMerge/>
            <w:tcBorders>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tc>
        <w:tc>
          <w:tcPr>
            <w:tcW w:w="0" w:type="auto"/>
            <w:vMerge/>
            <w:tcBorders>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tc>
        <w:tc>
          <w:tcPr>
            <w:tcW w:w="0" w:type="auto"/>
            <w:tcBorders>
              <w:top w:val="single" w:sz="4" w:space="0" w:color="auto"/>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Slope</w:t>
            </w:r>
          </w:p>
        </w:tc>
        <w:tc>
          <w:tcPr>
            <w:tcW w:w="1005" w:type="dxa"/>
            <w:tcBorders>
              <w:top w:val="single" w:sz="4" w:space="0" w:color="auto"/>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Intercept</w:t>
            </w:r>
          </w:p>
        </w:tc>
        <w:tc>
          <w:tcPr>
            <w:tcW w:w="566" w:type="dxa"/>
            <w:tcBorders>
              <w:top w:val="single" w:sz="4" w:space="0" w:color="auto"/>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r</w:t>
            </w:r>
            <w:r w:rsidRPr="00CF339F">
              <w:rPr>
                <w:rFonts w:ascii="Times New Roman" w:hAnsi="Times New Roman" w:cs="Times New Roman"/>
                <w:i/>
                <w:iCs/>
                <w:color w:val="000000"/>
                <w:sz w:val="18"/>
                <w:szCs w:val="18"/>
                <w:vertAlign w:val="superscript"/>
                <w:lang w:val="en-GB" w:eastAsia="en-ZA"/>
              </w:rPr>
              <w:t>2</w:t>
            </w:r>
          </w:p>
        </w:tc>
        <w:tc>
          <w:tcPr>
            <w:tcW w:w="0" w:type="auto"/>
            <w:tcBorders>
              <w:left w:val="nil"/>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tc>
        <w:tc>
          <w:tcPr>
            <w:tcW w:w="0" w:type="auto"/>
            <w:tcBorders>
              <w:top w:val="single" w:sz="4" w:space="0" w:color="auto"/>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Slope</w:t>
            </w:r>
          </w:p>
        </w:tc>
        <w:tc>
          <w:tcPr>
            <w:tcW w:w="0" w:type="auto"/>
            <w:tcBorders>
              <w:top w:val="single" w:sz="4" w:space="0" w:color="auto"/>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Intercept</w:t>
            </w:r>
          </w:p>
        </w:tc>
        <w:tc>
          <w:tcPr>
            <w:tcW w:w="0" w:type="auto"/>
            <w:tcBorders>
              <w:top w:val="single" w:sz="4" w:space="0" w:color="auto"/>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r</w:t>
            </w:r>
            <w:r w:rsidRPr="00CF339F">
              <w:rPr>
                <w:rFonts w:ascii="Times New Roman" w:hAnsi="Times New Roman" w:cs="Times New Roman"/>
                <w:i/>
                <w:iCs/>
                <w:color w:val="000000"/>
                <w:sz w:val="18"/>
                <w:szCs w:val="18"/>
                <w:vertAlign w:val="superscript"/>
                <w:lang w:val="en-GB" w:eastAsia="en-ZA"/>
              </w:rPr>
              <w:t>2</w:t>
            </w:r>
          </w:p>
        </w:tc>
        <w:tc>
          <w:tcPr>
            <w:tcW w:w="0" w:type="auto"/>
            <w:tcBorders>
              <w:top w:val="nil"/>
              <w:left w:val="nil"/>
              <w:bottom w:val="double" w:sz="6" w:space="0" w:color="auto"/>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tc>
        <w:tc>
          <w:tcPr>
            <w:tcW w:w="0" w:type="auto"/>
            <w:tcBorders>
              <w:top w:val="single" w:sz="4" w:space="0" w:color="auto"/>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p-value</w:t>
            </w:r>
          </w:p>
        </w:tc>
        <w:tc>
          <w:tcPr>
            <w:tcW w:w="0" w:type="auto"/>
            <w:tcBorders>
              <w:top w:val="single" w:sz="4" w:space="0" w:color="auto"/>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Pooled</w:t>
            </w:r>
          </w:p>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slope</w:t>
            </w:r>
          </w:p>
        </w:tc>
        <w:tc>
          <w:tcPr>
            <w:tcW w:w="0" w:type="auto"/>
            <w:tcBorders>
              <w:top w:val="nil"/>
              <w:left w:val="nil"/>
              <w:bottom w:val="double" w:sz="6" w:space="0" w:color="auto"/>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tc>
        <w:tc>
          <w:tcPr>
            <w:tcW w:w="0" w:type="auto"/>
            <w:tcBorders>
              <w:top w:val="single" w:sz="4" w:space="0" w:color="auto"/>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p-value</w:t>
            </w:r>
          </w:p>
        </w:tc>
        <w:tc>
          <w:tcPr>
            <w:tcW w:w="0" w:type="auto"/>
            <w:tcBorders>
              <w:top w:val="single" w:sz="4" w:space="0" w:color="auto"/>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Pooled</w:t>
            </w:r>
          </w:p>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intercept</w:t>
            </w:r>
          </w:p>
        </w:tc>
        <w:tc>
          <w:tcPr>
            <w:tcW w:w="0" w:type="auto"/>
            <w:tcBorders>
              <w:top w:val="nil"/>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Group</w:t>
            </w:r>
          </w:p>
        </w:tc>
      </w:tr>
      <w:tr w:rsidR="004513D3" w:rsidRPr="00515D76" w:rsidTr="008C1941">
        <w:trPr>
          <w:trHeight w:val="331"/>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Albizia harveyi</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1992/2009</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0.11</w:t>
            </w:r>
          </w:p>
        </w:tc>
        <w:tc>
          <w:tcPr>
            <w:tcW w:w="0" w:type="auto"/>
            <w:tcBorders>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4.92</w:t>
            </w:r>
          </w:p>
        </w:tc>
        <w:tc>
          <w:tcPr>
            <w:tcW w:w="0" w:type="auto"/>
            <w:tcBorders>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0.79</w:t>
            </w:r>
          </w:p>
        </w:tc>
        <w:tc>
          <w:tcPr>
            <w:tcW w:w="0" w:type="auto"/>
            <w:tcBorders>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0.10</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4.32</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0.56</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0.96</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0.11</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0.61</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4.62</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3</w:t>
            </w:r>
          </w:p>
        </w:tc>
      </w:tr>
      <w:tr w:rsidR="004513D3" w:rsidRPr="00515D76" w:rsidTr="008C1941">
        <w:trPr>
          <w:trHeight w:val="316"/>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Dichrostachys cinerea</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1992/2009</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0.10</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4.30</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0.61</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0.11</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4.51</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0.61</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0.94</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0.10</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0.91</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4.41</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3</w:t>
            </w:r>
          </w:p>
        </w:tc>
      </w:tr>
      <w:tr w:rsidR="004513D3" w:rsidRPr="00515D76" w:rsidTr="008C1941">
        <w:trPr>
          <w:trHeight w:val="316"/>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Combretum collinum</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1992/2009</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0.07</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3.31</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0.82</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0.04</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2.03</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0.21</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0.67</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0.06</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0.33</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2.67</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w:t>
            </w:r>
          </w:p>
        </w:tc>
      </w:tr>
      <w:tr w:rsidR="004513D3" w:rsidRPr="00515D76" w:rsidTr="008C1941">
        <w:trPr>
          <w:trHeight w:val="316"/>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Acacia exuvialis</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1992/2009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0.08</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3.14</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0.56</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3.69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0.52</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0.82</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0.08</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0.76</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3.41</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w:t>
            </w:r>
          </w:p>
        </w:tc>
      </w:tr>
      <w:tr w:rsidR="004513D3" w:rsidRPr="00515D76" w:rsidTr="008C1941">
        <w:trPr>
          <w:trHeight w:val="316"/>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Acacia gerrardii</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1992/2009</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0.07</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3.06</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0.60</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0.02</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1.03</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0.17</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0.32</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0.05</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0.17</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2.05</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w:t>
            </w:r>
          </w:p>
        </w:tc>
      </w:tr>
      <w:tr w:rsidR="004513D3" w:rsidRPr="00515D76" w:rsidTr="008C1941">
        <w:trPr>
          <w:trHeight w:val="316"/>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Combretum apiculatum</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1992/2009</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0.05</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2.45</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0.88</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0.03</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1.29</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0.17</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0.63</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0.04</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0.26</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1.87</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w:t>
            </w:r>
          </w:p>
        </w:tc>
      </w:tr>
      <w:tr w:rsidR="004513D3" w:rsidRPr="00515D76" w:rsidTr="008C1941">
        <w:trPr>
          <w:trHeight w:val="316"/>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Combretum hereroense</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1992/2009</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0.03</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1.30</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0.21</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0.05</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2.04</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0.36</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0.69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0.04</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0.60</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1.67</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w:t>
            </w:r>
          </w:p>
        </w:tc>
      </w:tr>
      <w:tr w:rsidR="004513D3" w:rsidRPr="00515D76" w:rsidTr="008C1941">
        <w:trPr>
          <w:trHeight w:val="316"/>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Terminalia sericea</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1992/2009</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0.04</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2.05</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0.84</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0.08</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3.66</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0.60</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0.37</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0.06</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0.21</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2.85</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w:t>
            </w:r>
          </w:p>
        </w:tc>
      </w:tr>
      <w:tr w:rsidR="004513D3" w:rsidRPr="00515D76" w:rsidTr="008C1941">
        <w:trPr>
          <w:trHeight w:val="316"/>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Philenoptra violacea</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1992</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0.04</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1.72</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0.61</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0.01</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0.72</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0.14</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0.40</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0.03</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0.26</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1.22</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w:t>
            </w:r>
          </w:p>
        </w:tc>
      </w:tr>
      <w:tr w:rsidR="004513D3" w:rsidRPr="00515D76" w:rsidTr="008C1941">
        <w:trPr>
          <w:trHeight w:val="316"/>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Sclerocarya birrea</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2009</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0.05</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2.26</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0.47</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0.05</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2.04</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0.50</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0.86</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0.06</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0.89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2.15</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w:t>
            </w:r>
          </w:p>
        </w:tc>
      </w:tr>
      <w:tr w:rsidR="004513D3" w:rsidRPr="00515D76" w:rsidTr="008C1941">
        <w:trPr>
          <w:trHeight w:val="316"/>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Acacia nilotica</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Not harvested</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0.02</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0.90</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0.33</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0.06</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2.63</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0.56</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0.34</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0.04</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0.13</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1.76</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w:t>
            </w:r>
          </w:p>
        </w:tc>
      </w:tr>
      <w:tr w:rsidR="004513D3" w:rsidRPr="00515D76" w:rsidTr="008C1941">
        <w:trPr>
          <w:trHeight w:val="316"/>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Dalbergia melanoxylon</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Not harvested</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0.05</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2.21</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0.35</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0.07</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2.82</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0.57</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0.84</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0.06</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0.59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2.47</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w:t>
            </w:r>
          </w:p>
        </w:tc>
      </w:tr>
      <w:tr w:rsidR="004513D3" w:rsidRPr="00515D76" w:rsidTr="008C1941">
        <w:trPr>
          <w:trHeight w:val="316"/>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Diospyros mespiliformis</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Not harvested</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0.05</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1.99</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0.87</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0.02</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0.85</w:t>
            </w:r>
          </w:p>
        </w:tc>
        <w:tc>
          <w:tcPr>
            <w:tcW w:w="0" w:type="auto"/>
            <w:tcBorders>
              <w:top w:val="nil"/>
              <w:left w:val="nil"/>
              <w:bottom w:val="nil"/>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0.67</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0.39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0.03</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0.17</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1.42</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w:t>
            </w:r>
          </w:p>
        </w:tc>
      </w:tr>
      <w:tr w:rsidR="004513D3" w:rsidRPr="00515D76" w:rsidTr="008C1941">
        <w:trPr>
          <w:trHeight w:val="331"/>
        </w:trPr>
        <w:tc>
          <w:tcPr>
            <w:tcW w:w="0" w:type="auto"/>
            <w:tcBorders>
              <w:top w:val="nil"/>
              <w:left w:val="nil"/>
              <w:bottom w:val="double" w:sz="6" w:space="0" w:color="auto"/>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Zizyphus mucronata</w:t>
            </w:r>
          </w:p>
        </w:tc>
        <w:tc>
          <w:tcPr>
            <w:tcW w:w="0" w:type="auto"/>
            <w:tcBorders>
              <w:top w:val="nil"/>
              <w:left w:val="nil"/>
              <w:bottom w:val="double" w:sz="6" w:space="0" w:color="auto"/>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Not harvested</w:t>
            </w:r>
          </w:p>
        </w:tc>
        <w:tc>
          <w:tcPr>
            <w:tcW w:w="0" w:type="auto"/>
            <w:tcBorders>
              <w:top w:val="nil"/>
              <w:left w:val="nil"/>
              <w:bottom w:val="double" w:sz="6" w:space="0" w:color="auto"/>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0.03</w:t>
            </w:r>
          </w:p>
        </w:tc>
        <w:tc>
          <w:tcPr>
            <w:tcW w:w="0" w:type="auto"/>
            <w:tcBorders>
              <w:top w:val="nil"/>
              <w:left w:val="nil"/>
              <w:bottom w:val="double" w:sz="6" w:space="0" w:color="auto"/>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1.35</w:t>
            </w:r>
          </w:p>
        </w:tc>
        <w:tc>
          <w:tcPr>
            <w:tcW w:w="0" w:type="auto"/>
            <w:tcBorders>
              <w:top w:val="nil"/>
              <w:left w:val="nil"/>
              <w:bottom w:val="double" w:sz="6" w:space="0" w:color="auto"/>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0.36</w:t>
            </w:r>
          </w:p>
        </w:tc>
        <w:tc>
          <w:tcPr>
            <w:tcW w:w="0" w:type="auto"/>
            <w:tcBorders>
              <w:top w:val="nil"/>
              <w:left w:val="nil"/>
              <w:bottom w:val="double" w:sz="6" w:space="0" w:color="auto"/>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double" w:sz="6" w:space="0" w:color="auto"/>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0.02</w:t>
            </w:r>
          </w:p>
        </w:tc>
        <w:tc>
          <w:tcPr>
            <w:tcW w:w="0" w:type="auto"/>
            <w:tcBorders>
              <w:top w:val="nil"/>
              <w:left w:val="nil"/>
              <w:bottom w:val="double" w:sz="6" w:space="0" w:color="auto"/>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0.73</w:t>
            </w:r>
          </w:p>
        </w:tc>
        <w:tc>
          <w:tcPr>
            <w:tcW w:w="0" w:type="auto"/>
            <w:tcBorders>
              <w:top w:val="nil"/>
              <w:left w:val="nil"/>
              <w:bottom w:val="double" w:sz="6" w:space="0" w:color="auto"/>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0.20</w:t>
            </w:r>
          </w:p>
        </w:tc>
        <w:tc>
          <w:tcPr>
            <w:tcW w:w="0" w:type="auto"/>
            <w:tcBorders>
              <w:top w:val="nil"/>
              <w:left w:val="nil"/>
              <w:bottom w:val="double" w:sz="6" w:space="0" w:color="auto"/>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double" w:sz="6" w:space="0" w:color="auto"/>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0.57</w:t>
            </w:r>
          </w:p>
        </w:tc>
        <w:tc>
          <w:tcPr>
            <w:tcW w:w="0" w:type="auto"/>
            <w:tcBorders>
              <w:top w:val="nil"/>
              <w:left w:val="nil"/>
              <w:bottom w:val="double" w:sz="6" w:space="0" w:color="auto"/>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0.03</w:t>
            </w:r>
          </w:p>
        </w:tc>
        <w:tc>
          <w:tcPr>
            <w:tcW w:w="0" w:type="auto"/>
            <w:tcBorders>
              <w:top w:val="nil"/>
              <w:left w:val="nil"/>
              <w:bottom w:val="double" w:sz="6" w:space="0" w:color="auto"/>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double" w:sz="6" w:space="0" w:color="auto"/>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0.56</w:t>
            </w:r>
          </w:p>
        </w:tc>
        <w:tc>
          <w:tcPr>
            <w:tcW w:w="0" w:type="auto"/>
            <w:tcBorders>
              <w:top w:val="nil"/>
              <w:left w:val="nil"/>
              <w:bottom w:val="double" w:sz="6" w:space="0" w:color="auto"/>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1.04</w:t>
            </w:r>
          </w:p>
        </w:tc>
        <w:tc>
          <w:tcPr>
            <w:tcW w:w="0" w:type="auto"/>
            <w:tcBorders>
              <w:top w:val="nil"/>
              <w:left w:val="nil"/>
              <w:bottom w:val="double" w:sz="6" w:space="0" w:color="auto"/>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w:t>
            </w:r>
          </w:p>
        </w:tc>
      </w:tr>
    </w:tbl>
    <w:p w:rsidR="004513D3" w:rsidRPr="00515D76" w:rsidRDefault="004513D3" w:rsidP="006E4D3E">
      <w:pPr>
        <w:pStyle w:val="Caption"/>
        <w:rPr>
          <w:rFonts w:ascii="Times New Roman" w:hAnsi="Times New Roman" w:cs="Times New Roman"/>
          <w:i w:val="0"/>
          <w:sz w:val="22"/>
          <w:szCs w:val="22"/>
          <w:lang w:val="en-GB"/>
        </w:rPr>
      </w:pPr>
      <w:r w:rsidRPr="006E4D3E">
        <w:rPr>
          <w:rFonts w:ascii="Times New Roman" w:hAnsi="Times New Roman" w:cs="Times New Roman"/>
          <w:b/>
          <w:bCs/>
          <w:i w:val="0"/>
          <w:sz w:val="22"/>
          <w:szCs w:val="22"/>
          <w:lang w:val="en-GB"/>
        </w:rPr>
        <w:t>Table S2</w:t>
      </w:r>
      <w:r w:rsidRPr="00515D76">
        <w:rPr>
          <w:rFonts w:ascii="Times New Roman" w:hAnsi="Times New Roman" w:cs="Times New Roman"/>
          <w:i w:val="0"/>
          <w:sz w:val="22"/>
          <w:szCs w:val="22"/>
          <w:lang w:val="en-GB"/>
        </w:rPr>
        <w:t xml:space="preserve"> Stem size class frequency distribution and size class distribution slope comparisons for Athol woodlands in 1992 and 2009. Regressions were compared for significance using ANCOVA.</w:t>
      </w:r>
    </w:p>
    <w:p w:rsidR="004513D3" w:rsidRPr="00545357" w:rsidRDefault="004513D3" w:rsidP="00B07FAD">
      <w:pPr>
        <w:spacing w:line="240" w:lineRule="auto"/>
        <w:rPr>
          <w:lang w:val="en-GB"/>
        </w:rPr>
      </w:pPr>
    </w:p>
    <w:tbl>
      <w:tblPr>
        <w:tblW w:w="0" w:type="auto"/>
        <w:tblInd w:w="93" w:type="dxa"/>
        <w:tblLook w:val="00A0"/>
      </w:tblPr>
      <w:tblGrid>
        <w:gridCol w:w="1982"/>
        <w:gridCol w:w="1451"/>
        <w:gridCol w:w="621"/>
        <w:gridCol w:w="866"/>
        <w:gridCol w:w="621"/>
        <w:gridCol w:w="236"/>
        <w:gridCol w:w="621"/>
        <w:gridCol w:w="866"/>
        <w:gridCol w:w="531"/>
        <w:gridCol w:w="236"/>
        <w:gridCol w:w="786"/>
        <w:gridCol w:w="726"/>
        <w:gridCol w:w="236"/>
        <w:gridCol w:w="843"/>
        <w:gridCol w:w="918"/>
        <w:gridCol w:w="236"/>
        <w:gridCol w:w="1176"/>
      </w:tblGrid>
      <w:tr w:rsidR="004513D3" w:rsidRPr="00515D76" w:rsidTr="00CF339F">
        <w:trPr>
          <w:trHeight w:val="330"/>
        </w:trPr>
        <w:tc>
          <w:tcPr>
            <w:tcW w:w="0" w:type="auto"/>
            <w:vMerge w:val="restart"/>
            <w:tcBorders>
              <w:top w:val="double" w:sz="6" w:space="0" w:color="auto"/>
              <w:left w:val="nil"/>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SPECIES</w:t>
            </w:r>
          </w:p>
          <w:p w:rsidR="004513D3" w:rsidRPr="00CF339F" w:rsidRDefault="004513D3" w:rsidP="00CF339F">
            <w:pPr>
              <w:spacing w:after="0" w:line="240" w:lineRule="auto"/>
              <w:jc w:val="center"/>
              <w:rPr>
                <w:rFonts w:ascii="Times New Roman" w:hAnsi="Times New Roman" w:cs="Times New Roman"/>
                <w:i/>
                <w:iCs/>
                <w:color w:val="000000"/>
                <w:sz w:val="18"/>
                <w:szCs w:val="18"/>
                <w:lang w:val="en-GB" w:eastAsia="en-ZA"/>
              </w:rPr>
            </w:pPr>
          </w:p>
        </w:tc>
        <w:tc>
          <w:tcPr>
            <w:tcW w:w="0" w:type="auto"/>
            <w:vMerge w:val="restart"/>
            <w:tcBorders>
              <w:top w:val="double" w:sz="6" w:space="0" w:color="auto"/>
              <w:left w:val="nil"/>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p w:rsidR="004513D3" w:rsidRPr="00CF339F" w:rsidRDefault="004513D3" w:rsidP="00CF339F">
            <w:pPr>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Harvest duration</w:t>
            </w:r>
          </w:p>
        </w:tc>
        <w:tc>
          <w:tcPr>
            <w:tcW w:w="0" w:type="auto"/>
            <w:tcBorders>
              <w:top w:val="double" w:sz="6" w:space="0" w:color="auto"/>
              <w:left w:val="nil"/>
              <w:bottom w:val="single" w:sz="4" w:space="0" w:color="auto"/>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tc>
        <w:tc>
          <w:tcPr>
            <w:tcW w:w="0" w:type="auto"/>
            <w:tcBorders>
              <w:top w:val="double" w:sz="6" w:space="0" w:color="auto"/>
              <w:left w:val="nil"/>
              <w:bottom w:val="single" w:sz="4" w:space="0" w:color="auto"/>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tc>
        <w:tc>
          <w:tcPr>
            <w:tcW w:w="0" w:type="auto"/>
            <w:gridSpan w:val="2"/>
            <w:tcBorders>
              <w:top w:val="double" w:sz="6" w:space="0" w:color="auto"/>
              <w:left w:val="nil"/>
              <w:bottom w:val="single" w:sz="4" w:space="0" w:color="auto"/>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tc>
        <w:tc>
          <w:tcPr>
            <w:tcW w:w="0" w:type="auto"/>
            <w:gridSpan w:val="2"/>
            <w:tcBorders>
              <w:top w:val="double" w:sz="6" w:space="0" w:color="auto"/>
              <w:left w:val="nil"/>
              <w:bottom w:val="single" w:sz="4" w:space="0" w:color="auto"/>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tc>
        <w:tc>
          <w:tcPr>
            <w:tcW w:w="0" w:type="auto"/>
            <w:gridSpan w:val="9"/>
            <w:tcBorders>
              <w:top w:val="double" w:sz="6" w:space="0" w:color="auto"/>
              <w:left w:val="nil"/>
              <w:bottom w:val="single" w:sz="4"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SCD regression analyses</w:t>
            </w:r>
          </w:p>
        </w:tc>
      </w:tr>
      <w:tr w:rsidR="004513D3" w:rsidRPr="00515D76" w:rsidTr="00CF339F">
        <w:trPr>
          <w:trHeight w:val="630"/>
        </w:trPr>
        <w:tc>
          <w:tcPr>
            <w:tcW w:w="0" w:type="auto"/>
            <w:vMerge/>
            <w:tcBorders>
              <w:left w:val="nil"/>
              <w:right w:val="nil"/>
            </w:tcBorders>
            <w:noWrap/>
          </w:tcPr>
          <w:p w:rsidR="004513D3" w:rsidRPr="00CF339F" w:rsidRDefault="004513D3" w:rsidP="00CF339F">
            <w:pPr>
              <w:spacing w:after="0" w:line="240" w:lineRule="auto"/>
              <w:jc w:val="center"/>
              <w:rPr>
                <w:rFonts w:ascii="Times New Roman" w:hAnsi="Times New Roman" w:cs="Times New Roman"/>
                <w:i/>
                <w:iCs/>
                <w:color w:val="000000"/>
                <w:sz w:val="18"/>
                <w:szCs w:val="18"/>
                <w:lang w:val="en-GB" w:eastAsia="en-ZA"/>
              </w:rPr>
            </w:pPr>
          </w:p>
        </w:tc>
        <w:tc>
          <w:tcPr>
            <w:tcW w:w="0" w:type="auto"/>
            <w:vMerge/>
            <w:tcBorders>
              <w:left w:val="nil"/>
              <w:right w:val="nil"/>
            </w:tcBorders>
            <w:noWrap/>
          </w:tcPr>
          <w:p w:rsidR="004513D3" w:rsidRPr="00CF339F" w:rsidRDefault="004513D3" w:rsidP="00CF339F">
            <w:pPr>
              <w:spacing w:after="0" w:line="240" w:lineRule="auto"/>
              <w:jc w:val="center"/>
              <w:rPr>
                <w:rFonts w:ascii="Times New Roman" w:hAnsi="Times New Roman" w:cs="Times New Roman"/>
                <w:i/>
                <w:iCs/>
                <w:color w:val="000000"/>
                <w:sz w:val="18"/>
                <w:szCs w:val="18"/>
                <w:lang w:val="en-GB" w:eastAsia="en-ZA"/>
              </w:rPr>
            </w:pPr>
          </w:p>
        </w:tc>
        <w:tc>
          <w:tcPr>
            <w:tcW w:w="0" w:type="auto"/>
            <w:gridSpan w:val="3"/>
            <w:tcBorders>
              <w:top w:val="nil"/>
              <w:left w:val="nil"/>
              <w:bottom w:val="single" w:sz="4"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1992</w:t>
            </w:r>
          </w:p>
        </w:tc>
        <w:tc>
          <w:tcPr>
            <w:tcW w:w="0" w:type="auto"/>
            <w:tcBorders>
              <w:top w:val="nil"/>
              <w:left w:val="nil"/>
              <w:bottom w:val="nil"/>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tc>
        <w:tc>
          <w:tcPr>
            <w:tcW w:w="0" w:type="auto"/>
            <w:gridSpan w:val="3"/>
            <w:tcBorders>
              <w:top w:val="nil"/>
              <w:left w:val="nil"/>
              <w:bottom w:val="single" w:sz="4"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2009</w:t>
            </w:r>
          </w:p>
        </w:tc>
        <w:tc>
          <w:tcPr>
            <w:tcW w:w="0" w:type="auto"/>
            <w:tcBorders>
              <w:top w:val="nil"/>
              <w:left w:val="nil"/>
              <w:bottom w:val="nil"/>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tc>
        <w:tc>
          <w:tcPr>
            <w:tcW w:w="0" w:type="auto"/>
            <w:gridSpan w:val="2"/>
            <w:tcBorders>
              <w:top w:val="nil"/>
              <w:left w:val="nil"/>
              <w:bottom w:val="single" w:sz="4"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Slope comparison</w:t>
            </w:r>
          </w:p>
        </w:tc>
        <w:tc>
          <w:tcPr>
            <w:tcW w:w="0" w:type="auto"/>
            <w:tcBorders>
              <w:top w:val="nil"/>
              <w:left w:val="nil"/>
              <w:bottom w:val="nil"/>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tc>
        <w:tc>
          <w:tcPr>
            <w:tcW w:w="0" w:type="auto"/>
            <w:gridSpan w:val="2"/>
            <w:tcBorders>
              <w:top w:val="nil"/>
              <w:left w:val="nil"/>
              <w:bottom w:val="single" w:sz="4"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Intercept comparison</w:t>
            </w:r>
          </w:p>
        </w:tc>
        <w:tc>
          <w:tcPr>
            <w:tcW w:w="0" w:type="auto"/>
            <w:tcBorders>
              <w:top w:val="nil"/>
              <w:left w:val="nil"/>
              <w:bottom w:val="nil"/>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tc>
        <w:tc>
          <w:tcPr>
            <w:tcW w:w="0" w:type="auto"/>
            <w:tcBorders>
              <w:top w:val="nil"/>
              <w:left w:val="nil"/>
              <w:bottom w:val="nil"/>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Slope</w:t>
            </w:r>
          </w:p>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classification</w:t>
            </w:r>
          </w:p>
        </w:tc>
      </w:tr>
      <w:tr w:rsidR="004513D3" w:rsidRPr="00515D76" w:rsidTr="00CF339F">
        <w:trPr>
          <w:trHeight w:val="645"/>
        </w:trPr>
        <w:tc>
          <w:tcPr>
            <w:tcW w:w="0" w:type="auto"/>
            <w:vMerge/>
            <w:tcBorders>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tc>
        <w:tc>
          <w:tcPr>
            <w:tcW w:w="0" w:type="auto"/>
            <w:vMerge/>
            <w:tcBorders>
              <w:left w:val="nil"/>
              <w:bottom w:val="double" w:sz="6" w:space="0" w:color="auto"/>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tc>
        <w:tc>
          <w:tcPr>
            <w:tcW w:w="0" w:type="auto"/>
            <w:tcBorders>
              <w:top w:val="single" w:sz="4" w:space="0" w:color="auto"/>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Slope</w:t>
            </w:r>
          </w:p>
        </w:tc>
        <w:tc>
          <w:tcPr>
            <w:tcW w:w="0" w:type="auto"/>
            <w:tcBorders>
              <w:top w:val="single" w:sz="4" w:space="0" w:color="auto"/>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Intercept</w:t>
            </w:r>
          </w:p>
        </w:tc>
        <w:tc>
          <w:tcPr>
            <w:tcW w:w="0" w:type="auto"/>
            <w:tcBorders>
              <w:top w:val="single" w:sz="4" w:space="0" w:color="auto"/>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r</w:t>
            </w:r>
            <w:r w:rsidRPr="00CF339F">
              <w:rPr>
                <w:rFonts w:ascii="Times New Roman" w:hAnsi="Times New Roman" w:cs="Times New Roman"/>
                <w:i/>
                <w:iCs/>
                <w:color w:val="000000"/>
                <w:sz w:val="18"/>
                <w:szCs w:val="18"/>
                <w:vertAlign w:val="superscript"/>
                <w:lang w:val="en-GB" w:eastAsia="en-ZA"/>
              </w:rPr>
              <w:t>2</w:t>
            </w:r>
          </w:p>
        </w:tc>
        <w:tc>
          <w:tcPr>
            <w:tcW w:w="0" w:type="auto"/>
            <w:tcBorders>
              <w:top w:val="nil"/>
              <w:left w:val="nil"/>
              <w:bottom w:val="double" w:sz="6" w:space="0" w:color="auto"/>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tc>
        <w:tc>
          <w:tcPr>
            <w:tcW w:w="0" w:type="auto"/>
            <w:tcBorders>
              <w:top w:val="single" w:sz="4" w:space="0" w:color="auto"/>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Slope</w:t>
            </w:r>
          </w:p>
        </w:tc>
        <w:tc>
          <w:tcPr>
            <w:tcW w:w="0" w:type="auto"/>
            <w:tcBorders>
              <w:top w:val="single" w:sz="4" w:space="0" w:color="auto"/>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Intercept</w:t>
            </w:r>
          </w:p>
        </w:tc>
        <w:tc>
          <w:tcPr>
            <w:tcW w:w="0" w:type="auto"/>
            <w:tcBorders>
              <w:top w:val="single" w:sz="4" w:space="0" w:color="auto"/>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r</w:t>
            </w:r>
            <w:r w:rsidRPr="00CF339F">
              <w:rPr>
                <w:rFonts w:ascii="Times New Roman" w:hAnsi="Times New Roman" w:cs="Times New Roman"/>
                <w:i/>
                <w:iCs/>
                <w:color w:val="000000"/>
                <w:sz w:val="18"/>
                <w:szCs w:val="18"/>
                <w:vertAlign w:val="superscript"/>
                <w:lang w:val="en-GB" w:eastAsia="en-ZA"/>
              </w:rPr>
              <w:t>2</w:t>
            </w:r>
          </w:p>
        </w:tc>
        <w:tc>
          <w:tcPr>
            <w:tcW w:w="0" w:type="auto"/>
            <w:tcBorders>
              <w:top w:val="nil"/>
              <w:left w:val="nil"/>
              <w:bottom w:val="double" w:sz="6" w:space="0" w:color="auto"/>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tc>
        <w:tc>
          <w:tcPr>
            <w:tcW w:w="0" w:type="auto"/>
            <w:tcBorders>
              <w:top w:val="single" w:sz="4" w:space="0" w:color="auto"/>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p</w:t>
            </w:r>
            <w:r>
              <w:rPr>
                <w:rFonts w:ascii="Times New Roman" w:hAnsi="Times New Roman" w:cs="Times New Roman"/>
                <w:i/>
                <w:iCs/>
                <w:color w:val="000000"/>
                <w:sz w:val="18"/>
                <w:szCs w:val="18"/>
                <w:lang w:val="en-GB" w:eastAsia="en-ZA"/>
              </w:rPr>
              <w:t>–</w:t>
            </w:r>
            <w:r w:rsidRPr="00CF339F">
              <w:rPr>
                <w:rFonts w:ascii="Times New Roman" w:hAnsi="Times New Roman" w:cs="Times New Roman"/>
                <w:i/>
                <w:iCs/>
                <w:color w:val="000000"/>
                <w:sz w:val="18"/>
                <w:szCs w:val="18"/>
                <w:lang w:val="en-GB" w:eastAsia="en-ZA"/>
              </w:rPr>
              <w:t>value</w:t>
            </w:r>
          </w:p>
        </w:tc>
        <w:tc>
          <w:tcPr>
            <w:tcW w:w="0" w:type="auto"/>
            <w:tcBorders>
              <w:top w:val="single" w:sz="4" w:space="0" w:color="auto"/>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Pooled</w:t>
            </w:r>
          </w:p>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slope</w:t>
            </w:r>
          </w:p>
        </w:tc>
        <w:tc>
          <w:tcPr>
            <w:tcW w:w="0" w:type="auto"/>
            <w:tcBorders>
              <w:top w:val="nil"/>
              <w:left w:val="nil"/>
              <w:bottom w:val="double" w:sz="6" w:space="0" w:color="auto"/>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tc>
        <w:tc>
          <w:tcPr>
            <w:tcW w:w="0" w:type="auto"/>
            <w:tcBorders>
              <w:top w:val="single" w:sz="4" w:space="0" w:color="auto"/>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p</w:t>
            </w:r>
            <w:r>
              <w:rPr>
                <w:rFonts w:ascii="Times New Roman" w:hAnsi="Times New Roman" w:cs="Times New Roman"/>
                <w:i/>
                <w:iCs/>
                <w:color w:val="000000"/>
                <w:sz w:val="18"/>
                <w:szCs w:val="18"/>
                <w:lang w:val="en-GB" w:eastAsia="en-ZA"/>
              </w:rPr>
              <w:t>–</w:t>
            </w:r>
            <w:r w:rsidRPr="00CF339F">
              <w:rPr>
                <w:rFonts w:ascii="Times New Roman" w:hAnsi="Times New Roman" w:cs="Times New Roman"/>
                <w:i/>
                <w:iCs/>
                <w:color w:val="000000"/>
                <w:sz w:val="18"/>
                <w:szCs w:val="18"/>
                <w:lang w:val="en-GB" w:eastAsia="en-ZA"/>
              </w:rPr>
              <w:t>value</w:t>
            </w:r>
          </w:p>
        </w:tc>
        <w:tc>
          <w:tcPr>
            <w:tcW w:w="0" w:type="auto"/>
            <w:tcBorders>
              <w:top w:val="single" w:sz="4" w:space="0" w:color="auto"/>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Pooled</w:t>
            </w:r>
          </w:p>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intercept</w:t>
            </w:r>
          </w:p>
        </w:tc>
        <w:tc>
          <w:tcPr>
            <w:tcW w:w="0" w:type="auto"/>
            <w:tcBorders>
              <w:top w:val="nil"/>
              <w:left w:val="nil"/>
              <w:bottom w:val="double" w:sz="6" w:space="0" w:color="auto"/>
              <w:right w:val="nil"/>
            </w:tcBorders>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p>
        </w:tc>
        <w:tc>
          <w:tcPr>
            <w:tcW w:w="0" w:type="auto"/>
            <w:tcBorders>
              <w:top w:val="nil"/>
              <w:left w:val="nil"/>
              <w:bottom w:val="double" w:sz="6" w:space="0" w:color="auto"/>
              <w:right w:val="nil"/>
            </w:tcBorders>
            <w:noWrap/>
          </w:tcPr>
          <w:p w:rsidR="004513D3" w:rsidRPr="00CF339F" w:rsidRDefault="004513D3" w:rsidP="00CF339F">
            <w:pPr>
              <w:suppressAutoHyphens w:val="0"/>
              <w:spacing w:after="0" w:line="240" w:lineRule="auto"/>
              <w:jc w:val="center"/>
              <w:rPr>
                <w:rFonts w:ascii="Times New Roman" w:hAnsi="Times New Roman" w:cs="Times New Roman"/>
                <w:i/>
                <w:iCs/>
                <w:color w:val="000000"/>
                <w:sz w:val="18"/>
                <w:szCs w:val="18"/>
                <w:lang w:val="en-GB" w:eastAsia="en-ZA"/>
              </w:rPr>
            </w:pPr>
            <w:r w:rsidRPr="00CF339F">
              <w:rPr>
                <w:rFonts w:ascii="Times New Roman" w:hAnsi="Times New Roman" w:cs="Times New Roman"/>
                <w:i/>
                <w:iCs/>
                <w:color w:val="000000"/>
                <w:sz w:val="18"/>
                <w:szCs w:val="18"/>
                <w:lang w:val="en-GB" w:eastAsia="en-ZA"/>
              </w:rPr>
              <w:t>Group</w:t>
            </w:r>
          </w:p>
        </w:tc>
      </w:tr>
      <w:tr w:rsidR="004513D3" w:rsidRPr="00515D76" w:rsidTr="008C1941">
        <w:trPr>
          <w:trHeight w:val="330"/>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Terminalia sericea</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1992/2009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1.19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6.67</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0.76</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1.20</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6.76</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0.70</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0.99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1.20</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0.92</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6.72</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w:t>
            </w:r>
          </w:p>
        </w:tc>
      </w:tr>
      <w:tr w:rsidR="004513D3" w:rsidRPr="00515D76" w:rsidTr="008C1941">
        <w:trPr>
          <w:trHeight w:val="315"/>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Acacia exuvialis</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1992/2009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1.26</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5.65</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0.91</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0.24</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1.29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0.13</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0.05</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0.75</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0.14</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3.47</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w:t>
            </w:r>
          </w:p>
        </w:tc>
      </w:tr>
      <w:tr w:rsidR="004513D3" w:rsidRPr="00515D76" w:rsidTr="008C1941">
        <w:trPr>
          <w:trHeight w:val="315"/>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Combretum collinum</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1992/2009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0.27</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1.96</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0.08</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0.90</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4.14</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0.75</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0.35</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0.58</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0.74</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3.05</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w:t>
            </w:r>
          </w:p>
        </w:tc>
      </w:tr>
      <w:tr w:rsidR="004513D3" w:rsidRPr="00515D76" w:rsidTr="008C1941">
        <w:trPr>
          <w:trHeight w:val="315"/>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Combretum apiculatum</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1992/2009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0.83</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4.26</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0.68</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1.14</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6.13</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0.62</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0.63</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0.98</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0.28</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1.38</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w:t>
            </w:r>
          </w:p>
        </w:tc>
      </w:tr>
      <w:tr w:rsidR="004513D3" w:rsidRPr="00515D76" w:rsidTr="008C1941">
        <w:trPr>
          <w:trHeight w:val="315"/>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Dichrostachys cinerea</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1992/2009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1.41</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6.64</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0.88</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1.17</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6.45</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0.71</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0.66</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1.29</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0.47</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6.54</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w:t>
            </w:r>
          </w:p>
        </w:tc>
      </w:tr>
      <w:tr w:rsidR="004513D3" w:rsidRPr="00515D76" w:rsidTr="008C1941">
        <w:trPr>
          <w:trHeight w:val="315"/>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Dalbergia melanoxylon</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1992/2009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1.35</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6.46</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0.90</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1.15</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5.81</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0.87</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0.60</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1.25</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0.92</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6.14</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w:t>
            </w:r>
          </w:p>
        </w:tc>
      </w:tr>
      <w:tr w:rsidR="004513D3" w:rsidRPr="00515D76" w:rsidTr="008C1941">
        <w:trPr>
          <w:trHeight w:val="315"/>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Combretum hereroense</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1992/2009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0.18</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1.27</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0.08</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0.28</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1.49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0.13</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0.86</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0.22</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0.91</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1.38</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w:t>
            </w:r>
          </w:p>
        </w:tc>
      </w:tr>
      <w:tr w:rsidR="004513D3" w:rsidRPr="00515D76" w:rsidTr="008C1941">
        <w:trPr>
          <w:trHeight w:val="315"/>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Acacia gerrardii</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1992/2009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0.83</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3.49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0.79</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1.34</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6.14</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0.89</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0.21</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1.08</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0.08</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4.82</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w:t>
            </w:r>
          </w:p>
        </w:tc>
      </w:tr>
      <w:tr w:rsidR="004513D3" w:rsidRPr="00515D76" w:rsidTr="008C1941">
        <w:trPr>
          <w:trHeight w:val="315"/>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Sclerocarya birrea</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1992/2009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0.78</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3.72</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0.91</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0.23</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1.69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0.07</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0.32</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0.50</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0.62</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2.70</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w:t>
            </w:r>
          </w:p>
        </w:tc>
      </w:tr>
      <w:tr w:rsidR="004513D3" w:rsidRPr="00515D76" w:rsidTr="008C1941">
        <w:trPr>
          <w:trHeight w:val="315"/>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Diospyros mespiliformis</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1992</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0.14</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1.04</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0.08</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0.05</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0.43</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0.05</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0.76</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0.09</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0.41</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0.74</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w:t>
            </w:r>
          </w:p>
        </w:tc>
      </w:tr>
      <w:tr w:rsidR="004513D3" w:rsidRPr="00515D76" w:rsidTr="008C1941">
        <w:trPr>
          <w:trHeight w:val="315"/>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Gymnosporia buxifolia</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2009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0.75</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3.72</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0.30</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1.27</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6.01</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0.74</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0.09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1.01</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0.14</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4.87</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w:t>
            </w:r>
          </w:p>
        </w:tc>
      </w:tr>
      <w:tr w:rsidR="004513D3" w:rsidRPr="00515D76" w:rsidTr="008C1941">
        <w:trPr>
          <w:trHeight w:val="315"/>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Vanguerai infausta</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Not harvested</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0.73</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3.37</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0.88</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0.19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1.28</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0.10</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0.20</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0.46</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0.44</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2.33</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w:t>
            </w:r>
          </w:p>
        </w:tc>
      </w:tr>
      <w:tr w:rsidR="004513D3" w:rsidRPr="00515D76" w:rsidTr="008C1941">
        <w:trPr>
          <w:trHeight w:val="315"/>
        </w:trPr>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Acacia nigrescens</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2009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0.53</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2.50</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0.80</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0.59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3.29</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0.44</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0.88</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0.56</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0.31</w:t>
            </w: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2.89</w:t>
            </w:r>
          </w:p>
        </w:tc>
        <w:tc>
          <w:tcPr>
            <w:tcW w:w="0" w:type="auto"/>
            <w:tcBorders>
              <w:top w:val="nil"/>
              <w:left w:val="nil"/>
              <w:bottom w:val="nil"/>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nil"/>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w:t>
            </w:r>
          </w:p>
        </w:tc>
      </w:tr>
      <w:tr w:rsidR="004513D3" w:rsidRPr="00515D76" w:rsidTr="008C1941">
        <w:trPr>
          <w:trHeight w:val="330"/>
        </w:trPr>
        <w:tc>
          <w:tcPr>
            <w:tcW w:w="0" w:type="auto"/>
            <w:tcBorders>
              <w:top w:val="nil"/>
              <w:left w:val="nil"/>
              <w:bottom w:val="double" w:sz="6" w:space="0" w:color="auto"/>
              <w:right w:val="nil"/>
            </w:tcBorders>
            <w:noWrap/>
          </w:tcPr>
          <w:p w:rsidR="004513D3" w:rsidRPr="00515D76" w:rsidRDefault="004513D3" w:rsidP="008C1941">
            <w:pPr>
              <w:suppressAutoHyphens w:val="0"/>
              <w:spacing w:after="0" w:line="240" w:lineRule="auto"/>
              <w:rPr>
                <w:rFonts w:ascii="Times New Roman" w:hAnsi="Times New Roman" w:cs="Times New Roman"/>
                <w:i/>
                <w:iCs/>
                <w:color w:val="000000"/>
                <w:sz w:val="18"/>
                <w:szCs w:val="18"/>
                <w:lang w:val="en-GB" w:eastAsia="en-ZA"/>
              </w:rPr>
            </w:pPr>
            <w:r w:rsidRPr="00515D76">
              <w:rPr>
                <w:rFonts w:ascii="Times New Roman" w:hAnsi="Times New Roman" w:cs="Times New Roman"/>
                <w:i/>
                <w:iCs/>
                <w:color w:val="000000"/>
                <w:sz w:val="18"/>
                <w:szCs w:val="18"/>
                <w:lang w:val="en-GB" w:eastAsia="en-ZA"/>
              </w:rPr>
              <w:t>Philenoptra violaceae</w:t>
            </w:r>
          </w:p>
        </w:tc>
        <w:tc>
          <w:tcPr>
            <w:tcW w:w="0" w:type="auto"/>
            <w:tcBorders>
              <w:top w:val="nil"/>
              <w:left w:val="nil"/>
              <w:bottom w:val="double" w:sz="6" w:space="0" w:color="auto"/>
              <w:right w:val="nil"/>
            </w:tcBorders>
            <w:noWrap/>
            <w:vAlign w:val="bottom"/>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1992</w:t>
            </w:r>
          </w:p>
        </w:tc>
        <w:tc>
          <w:tcPr>
            <w:tcW w:w="0" w:type="auto"/>
            <w:tcBorders>
              <w:top w:val="nil"/>
              <w:left w:val="nil"/>
              <w:bottom w:val="double" w:sz="6" w:space="0" w:color="auto"/>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0.45</w:t>
            </w:r>
          </w:p>
        </w:tc>
        <w:tc>
          <w:tcPr>
            <w:tcW w:w="0" w:type="auto"/>
            <w:tcBorders>
              <w:top w:val="nil"/>
              <w:left w:val="nil"/>
              <w:bottom w:val="double" w:sz="6" w:space="0" w:color="auto"/>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1.91</w:t>
            </w:r>
          </w:p>
        </w:tc>
        <w:tc>
          <w:tcPr>
            <w:tcW w:w="0" w:type="auto"/>
            <w:tcBorders>
              <w:top w:val="nil"/>
              <w:left w:val="nil"/>
              <w:bottom w:val="double" w:sz="6" w:space="0" w:color="auto"/>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0.79</w:t>
            </w:r>
          </w:p>
        </w:tc>
        <w:tc>
          <w:tcPr>
            <w:tcW w:w="0" w:type="auto"/>
            <w:tcBorders>
              <w:top w:val="nil"/>
              <w:left w:val="nil"/>
              <w:bottom w:val="double" w:sz="6" w:space="0" w:color="auto"/>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double" w:sz="6" w:space="0" w:color="auto"/>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1.06</w:t>
            </w:r>
          </w:p>
        </w:tc>
        <w:tc>
          <w:tcPr>
            <w:tcW w:w="0" w:type="auto"/>
            <w:tcBorders>
              <w:top w:val="nil"/>
              <w:left w:val="nil"/>
              <w:bottom w:val="double" w:sz="6" w:space="0" w:color="auto"/>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4.72</w:t>
            </w:r>
          </w:p>
        </w:tc>
        <w:tc>
          <w:tcPr>
            <w:tcW w:w="0" w:type="auto"/>
            <w:tcBorders>
              <w:top w:val="nil"/>
              <w:left w:val="nil"/>
              <w:bottom w:val="double" w:sz="6" w:space="0" w:color="auto"/>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0.86</w:t>
            </w:r>
          </w:p>
        </w:tc>
        <w:tc>
          <w:tcPr>
            <w:tcW w:w="0" w:type="auto"/>
            <w:tcBorders>
              <w:top w:val="nil"/>
              <w:left w:val="nil"/>
              <w:bottom w:val="double" w:sz="6" w:space="0" w:color="auto"/>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double" w:sz="6" w:space="0" w:color="auto"/>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0.07</w:t>
            </w:r>
          </w:p>
        </w:tc>
        <w:tc>
          <w:tcPr>
            <w:tcW w:w="0" w:type="auto"/>
            <w:tcBorders>
              <w:top w:val="nil"/>
              <w:left w:val="nil"/>
              <w:bottom w:val="double" w:sz="6" w:space="0" w:color="auto"/>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Pr>
                <w:rFonts w:ascii="Times New Roman" w:hAnsi="Times New Roman" w:cs="Times New Roman"/>
                <w:color w:val="000000"/>
                <w:sz w:val="18"/>
                <w:szCs w:val="18"/>
                <w:lang w:val="en-GB" w:eastAsia="en-ZA"/>
              </w:rPr>
              <w:t>–</w:t>
            </w:r>
            <w:r w:rsidRPr="00515D76">
              <w:rPr>
                <w:rFonts w:ascii="Times New Roman" w:hAnsi="Times New Roman" w:cs="Times New Roman"/>
                <w:color w:val="000000"/>
                <w:sz w:val="18"/>
                <w:szCs w:val="18"/>
                <w:lang w:val="en-GB" w:eastAsia="en-ZA"/>
              </w:rPr>
              <w:t>0.76</w:t>
            </w:r>
          </w:p>
        </w:tc>
        <w:tc>
          <w:tcPr>
            <w:tcW w:w="0" w:type="auto"/>
            <w:tcBorders>
              <w:top w:val="nil"/>
              <w:left w:val="nil"/>
              <w:bottom w:val="double" w:sz="6" w:space="0" w:color="auto"/>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double" w:sz="6" w:space="0" w:color="auto"/>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0.09</w:t>
            </w:r>
          </w:p>
        </w:tc>
        <w:tc>
          <w:tcPr>
            <w:tcW w:w="0" w:type="auto"/>
            <w:tcBorders>
              <w:top w:val="nil"/>
              <w:left w:val="nil"/>
              <w:bottom w:val="double" w:sz="6" w:space="0" w:color="auto"/>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3.32</w:t>
            </w:r>
          </w:p>
        </w:tc>
        <w:tc>
          <w:tcPr>
            <w:tcW w:w="0" w:type="auto"/>
            <w:tcBorders>
              <w:top w:val="nil"/>
              <w:left w:val="nil"/>
              <w:bottom w:val="double" w:sz="6" w:space="0" w:color="auto"/>
              <w:right w:val="nil"/>
            </w:tcBorders>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p>
        </w:tc>
        <w:tc>
          <w:tcPr>
            <w:tcW w:w="0" w:type="auto"/>
            <w:tcBorders>
              <w:top w:val="nil"/>
              <w:left w:val="nil"/>
              <w:bottom w:val="double" w:sz="6" w:space="0" w:color="auto"/>
              <w:right w:val="nil"/>
            </w:tcBorders>
            <w:noWrap/>
          </w:tcPr>
          <w:p w:rsidR="004513D3" w:rsidRPr="00515D76" w:rsidRDefault="004513D3" w:rsidP="008C1941">
            <w:pPr>
              <w:suppressAutoHyphens w:val="0"/>
              <w:spacing w:after="0" w:line="240" w:lineRule="auto"/>
              <w:rPr>
                <w:rFonts w:ascii="Times New Roman" w:hAnsi="Times New Roman" w:cs="Times New Roman"/>
                <w:color w:val="000000"/>
                <w:sz w:val="18"/>
                <w:szCs w:val="18"/>
                <w:lang w:val="en-GB" w:eastAsia="en-ZA"/>
              </w:rPr>
            </w:pPr>
            <w:r w:rsidRPr="00515D76">
              <w:rPr>
                <w:rFonts w:ascii="Times New Roman" w:hAnsi="Times New Roman" w:cs="Times New Roman"/>
                <w:color w:val="000000"/>
                <w:sz w:val="18"/>
                <w:szCs w:val="18"/>
                <w:lang w:val="en-GB" w:eastAsia="en-ZA"/>
              </w:rPr>
              <w:t>4</w:t>
            </w:r>
          </w:p>
        </w:tc>
      </w:tr>
    </w:tbl>
    <w:p w:rsidR="004513D3" w:rsidRPr="00545357" w:rsidRDefault="004513D3" w:rsidP="00B07FAD">
      <w:pPr>
        <w:rPr>
          <w:lang w:val="en-GB"/>
        </w:rPr>
      </w:pPr>
    </w:p>
    <w:p w:rsidR="004513D3" w:rsidRPr="00B6620E" w:rsidRDefault="004513D3">
      <w:pPr>
        <w:suppressAutoHyphens w:val="0"/>
        <w:rPr>
          <w:rFonts w:ascii="Times New Roman" w:hAnsi="Times New Roman" w:cs="Times New Roman"/>
          <w:lang w:val="en-GB"/>
        </w:rPr>
      </w:pPr>
      <w:r>
        <w:rPr>
          <w:lang w:val="en-GB"/>
        </w:rPr>
        <w:br w:type="page"/>
      </w:r>
    </w:p>
    <w:p w:rsidR="004513D3" w:rsidRDefault="004513D3">
      <w:pPr>
        <w:rPr>
          <w:rFonts w:ascii="Times New Roman" w:hAnsi="Times New Roman" w:cs="Times New Roman"/>
          <w:lang w:val="en-GB"/>
        </w:rPr>
        <w:sectPr w:rsidR="004513D3" w:rsidSect="00EF4DFD">
          <w:type w:val="continuous"/>
          <w:pgSz w:w="16838" w:h="11906" w:orient="landscape"/>
          <w:pgMar w:top="1077" w:right="1440" w:bottom="1077" w:left="1440" w:header="709" w:footer="709" w:gutter="0"/>
          <w:cols w:space="708"/>
          <w:titlePg/>
          <w:docGrid w:linePitch="13958" w:charSpace="1952154"/>
        </w:sectPr>
      </w:pPr>
    </w:p>
    <w:p w:rsidR="004513D3" w:rsidRPr="00B6620E" w:rsidRDefault="004513D3">
      <w:pPr>
        <w:rPr>
          <w:rFonts w:ascii="Times New Roman" w:hAnsi="Times New Roman" w:cs="Times New Roman"/>
          <w:lang w:val="en-GB"/>
        </w:rPr>
      </w:pPr>
      <w:r w:rsidRPr="003B1A04">
        <w:rPr>
          <w:rFonts w:ascii="Times New Roman" w:hAnsi="Times New Roman" w:cs="Times New Roman"/>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EC1110217MatsikaFig_S1.tif" style="width:330.75pt;height:480.75pt;visibility:visible">
            <v:imagedata r:id="rId6" o:title=""/>
          </v:shape>
        </w:pict>
      </w:r>
    </w:p>
    <w:p w:rsidR="004513D3" w:rsidRPr="00B6620E" w:rsidRDefault="004513D3" w:rsidP="00B6620E">
      <w:pPr>
        <w:rPr>
          <w:rFonts w:ascii="Times New Roman" w:hAnsi="Times New Roman" w:cs="Times New Roman"/>
          <w:lang w:val="en-GB"/>
        </w:rPr>
      </w:pPr>
      <w:r w:rsidRPr="00B6620E">
        <w:rPr>
          <w:rFonts w:ascii="Times New Roman" w:hAnsi="Times New Roman" w:cs="Times New Roman"/>
          <w:b/>
          <w:bCs/>
          <w:lang w:val="en-GB"/>
        </w:rPr>
        <w:t>Figure S1</w:t>
      </w:r>
      <w:r w:rsidRPr="00B6620E">
        <w:rPr>
          <w:rFonts w:ascii="Times New Roman" w:hAnsi="Times New Roman" w:cs="Times New Roman"/>
          <w:lang w:val="en-GB"/>
        </w:rPr>
        <w:t xml:space="preserve"> </w:t>
      </w:r>
      <w:r w:rsidRPr="00B6620E">
        <w:rPr>
          <w:rFonts w:ascii="Times New Roman" w:hAnsi="Times New Roman" w:cs="Times New Roman"/>
          <w:color w:val="000000"/>
        </w:rPr>
        <w:t>The locations of Welverdiend and Athol villages relative to the Kruger to Canyons Biosphere Reserve and the Kruger National Park in South Africa. Clear polygons show the extent of the original farm boundaries of each settlement.</w:t>
      </w:r>
    </w:p>
    <w:p w:rsidR="004513D3" w:rsidRPr="00B6620E" w:rsidRDefault="004513D3">
      <w:pPr>
        <w:suppressAutoHyphens w:val="0"/>
        <w:rPr>
          <w:rFonts w:ascii="Times New Roman" w:hAnsi="Times New Roman" w:cs="Times New Roman"/>
          <w:lang w:val="en-GB"/>
        </w:rPr>
      </w:pPr>
      <w:r w:rsidRPr="00B6620E">
        <w:rPr>
          <w:rFonts w:ascii="Times New Roman" w:hAnsi="Times New Roman" w:cs="Times New Roman"/>
          <w:lang w:val="en-GB"/>
        </w:rPr>
        <w:br w:type="page"/>
      </w:r>
    </w:p>
    <w:p w:rsidR="004513D3" w:rsidRPr="00B6620E" w:rsidRDefault="004513D3">
      <w:pPr>
        <w:rPr>
          <w:rFonts w:ascii="Times New Roman" w:hAnsi="Times New Roman" w:cs="Times New Roman"/>
          <w:lang w:val="en-GB"/>
        </w:rPr>
      </w:pPr>
      <w:r w:rsidRPr="003B1A04">
        <w:rPr>
          <w:rFonts w:ascii="Times New Roman" w:hAnsi="Times New Roman" w:cs="Times New Roman"/>
          <w:noProof/>
          <w:lang w:val="en-GB" w:eastAsia="en-GB"/>
        </w:rPr>
        <w:pict>
          <v:shape id="Picture 4" o:spid="_x0000_i1026" type="#_x0000_t75" alt="EC1110217MatsikaFig_S2.tif" style="width:425.25pt;height:372pt;visibility:visible">
            <v:imagedata r:id="rId7" o:title=""/>
          </v:shape>
        </w:pict>
      </w:r>
    </w:p>
    <w:p w:rsidR="004513D3" w:rsidRPr="00B6620E" w:rsidRDefault="004513D3">
      <w:pPr>
        <w:rPr>
          <w:rFonts w:ascii="Times New Roman" w:hAnsi="Times New Roman" w:cs="Times New Roman"/>
          <w:lang w:val="en-GB"/>
        </w:rPr>
      </w:pPr>
    </w:p>
    <w:p w:rsidR="004513D3" w:rsidRPr="00B6620E" w:rsidRDefault="004513D3" w:rsidP="00B6620E">
      <w:pPr>
        <w:rPr>
          <w:rFonts w:ascii="Times New Roman" w:hAnsi="Times New Roman" w:cs="Times New Roman"/>
          <w:lang w:val="en-GB"/>
        </w:rPr>
      </w:pPr>
      <w:r w:rsidRPr="00B6620E">
        <w:rPr>
          <w:rFonts w:ascii="Times New Roman" w:hAnsi="Times New Roman" w:cs="Times New Roman"/>
          <w:b/>
          <w:bCs/>
          <w:lang w:val="en-GB"/>
        </w:rPr>
        <w:t xml:space="preserve">Figure S2 </w:t>
      </w:r>
      <w:r w:rsidRPr="00B6620E">
        <w:rPr>
          <w:rFonts w:ascii="Times New Roman" w:hAnsi="Times New Roman" w:cs="Times New Roman"/>
          <w:color w:val="000000"/>
        </w:rPr>
        <w:t xml:space="preserve">The location of the woodland sampling plots and the woodland </w:t>
      </w:r>
      <w:r>
        <w:rPr>
          <w:rFonts w:ascii="Times New Roman" w:hAnsi="Times New Roman" w:cs="Times New Roman"/>
          <w:color w:val="000000"/>
        </w:rPr>
        <w:t>’</w:t>
      </w:r>
      <w:r w:rsidRPr="00B6620E">
        <w:rPr>
          <w:rFonts w:ascii="Times New Roman" w:hAnsi="Times New Roman" w:cs="Times New Roman"/>
          <w:color w:val="000000"/>
        </w:rPr>
        <w:t>zones</w:t>
      </w:r>
      <w:r>
        <w:rPr>
          <w:rFonts w:ascii="Times New Roman" w:hAnsi="Times New Roman" w:cs="Times New Roman"/>
          <w:color w:val="000000"/>
        </w:rPr>
        <w:t>‘</w:t>
      </w:r>
      <w:r w:rsidRPr="00B6620E">
        <w:rPr>
          <w:rFonts w:ascii="Times New Roman" w:hAnsi="Times New Roman" w:cs="Times New Roman"/>
          <w:color w:val="000000"/>
        </w:rPr>
        <w:t xml:space="preserve"> used to divide the communal woodlands into rings of average biomass density; shown here around Athol village. </w:t>
      </w:r>
    </w:p>
    <w:p w:rsidR="004513D3" w:rsidRPr="00B6620E" w:rsidRDefault="004513D3" w:rsidP="006E4D3E">
      <w:pPr>
        <w:rPr>
          <w:rFonts w:ascii="Times New Roman" w:hAnsi="Times New Roman" w:cs="Times New Roman"/>
          <w:lang w:val="en-GB"/>
        </w:rPr>
      </w:pPr>
    </w:p>
    <w:p w:rsidR="004513D3" w:rsidRPr="00B6620E" w:rsidRDefault="004513D3" w:rsidP="006E4D3E">
      <w:pPr>
        <w:rPr>
          <w:rFonts w:ascii="Times New Roman" w:hAnsi="Times New Roman" w:cs="Times New Roman"/>
          <w:lang w:val="en-GB"/>
        </w:rPr>
      </w:pPr>
      <w:r w:rsidRPr="003B1A04">
        <w:rPr>
          <w:rFonts w:ascii="Times New Roman" w:hAnsi="Times New Roman" w:cs="Times New Roman"/>
          <w:noProof/>
          <w:lang w:val="en-GB" w:eastAsia="en-GB"/>
        </w:rPr>
        <w:pict>
          <v:shape id="Picture 5" o:spid="_x0000_i1027" type="#_x0000_t75" alt="EC1110217MatsikaFig_S3.tif" style="width:422.25pt;height:414pt;visibility:visible">
            <v:imagedata r:id="rId8" o:title="" cropbottom="20751f"/>
          </v:shape>
        </w:pict>
      </w:r>
    </w:p>
    <w:p w:rsidR="004513D3" w:rsidRPr="00B6620E" w:rsidRDefault="004513D3" w:rsidP="00B6620E">
      <w:pPr>
        <w:rPr>
          <w:rFonts w:ascii="Times New Roman" w:hAnsi="Times New Roman" w:cs="Times New Roman"/>
          <w:lang w:val="en-GB"/>
        </w:rPr>
      </w:pPr>
      <w:r w:rsidRPr="00B6620E">
        <w:rPr>
          <w:rFonts w:ascii="Times New Roman" w:hAnsi="Times New Roman" w:cs="Times New Roman"/>
          <w:b/>
          <w:bCs/>
          <w:lang w:val="en-GB"/>
        </w:rPr>
        <w:t xml:space="preserve">Figure S3 </w:t>
      </w:r>
      <w:r w:rsidRPr="00B6620E">
        <w:rPr>
          <w:rFonts w:ascii="Times New Roman" w:hAnsi="Times New Roman" w:cs="Times New Roman"/>
          <w:bCs/>
          <w:lang w:val="en-GB"/>
        </w:rPr>
        <w:t>The top two habitat photographs show the structural heterogeneity observed in communal woodlands within the study area. The bottom left photograph shows a freshly cut stem in Welverdiend. The photograph in the bottom right shows a freshly cut fuelwood pile in Welverdiend; live wood is often cut and left to dry in the woodlands, then collected at a later date to avoid penal</w:t>
      </w:r>
      <w:r>
        <w:rPr>
          <w:rFonts w:ascii="Times New Roman" w:hAnsi="Times New Roman" w:cs="Times New Roman"/>
          <w:bCs/>
          <w:lang w:val="en-GB"/>
        </w:rPr>
        <w:t>ties</w:t>
      </w:r>
      <w:r w:rsidRPr="00B6620E">
        <w:rPr>
          <w:rFonts w:ascii="Times New Roman" w:hAnsi="Times New Roman" w:cs="Times New Roman"/>
          <w:bCs/>
          <w:lang w:val="en-GB"/>
        </w:rPr>
        <w:t xml:space="preserve"> for harvesting live stems. </w:t>
      </w:r>
    </w:p>
    <w:sectPr w:rsidR="004513D3" w:rsidRPr="00B6620E" w:rsidSect="00B6620E">
      <w:type w:val="continuous"/>
      <w:pgSz w:w="11906" w:h="16838"/>
      <w:pgMar w:top="1440" w:right="1077" w:bottom="1440" w:left="1077" w:header="709" w:footer="709" w:gutter="0"/>
      <w:cols w:space="708"/>
      <w:titlePg/>
      <w:docGrid w:linePitch="13958" w:charSpace="19521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3D3" w:rsidRDefault="004513D3" w:rsidP="006E4D3E">
      <w:pPr>
        <w:spacing w:after="0" w:line="240" w:lineRule="auto"/>
      </w:pPr>
      <w:r>
        <w:separator/>
      </w:r>
    </w:p>
  </w:endnote>
  <w:endnote w:type="continuationSeparator" w:id="0">
    <w:p w:rsidR="004513D3" w:rsidRDefault="004513D3" w:rsidP="006E4D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PMingLiU">
    <w:altName w:val="¡Ps2OcuAe"/>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3D3" w:rsidRDefault="004513D3" w:rsidP="006E4D3E">
      <w:pPr>
        <w:spacing w:after="0" w:line="240" w:lineRule="auto"/>
      </w:pPr>
      <w:r>
        <w:separator/>
      </w:r>
    </w:p>
  </w:footnote>
  <w:footnote w:type="continuationSeparator" w:id="0">
    <w:p w:rsidR="004513D3" w:rsidRDefault="004513D3" w:rsidP="006E4D3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trackRevisions/>
  <w:defaultTabStop w:val="720"/>
  <w:drawingGridHorizontalSpacing w:val="4876"/>
  <w:drawingGridVerticalSpacing w:val="6979"/>
  <w:displayHorizontalDrawingGridEvery w:val="2"/>
  <w:displayVerticalDrawingGridEvery w:val="2"/>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07FAD"/>
    <w:rsid w:val="000455AF"/>
    <w:rsid w:val="000641BA"/>
    <w:rsid w:val="000B30B8"/>
    <w:rsid w:val="000B6CF3"/>
    <w:rsid w:val="002706D8"/>
    <w:rsid w:val="003014E2"/>
    <w:rsid w:val="003868A0"/>
    <w:rsid w:val="00394B64"/>
    <w:rsid w:val="003B070D"/>
    <w:rsid w:val="003B1A04"/>
    <w:rsid w:val="00445F7C"/>
    <w:rsid w:val="004513D3"/>
    <w:rsid w:val="00481F87"/>
    <w:rsid w:val="00515D76"/>
    <w:rsid w:val="00545357"/>
    <w:rsid w:val="005B14DC"/>
    <w:rsid w:val="005B66C3"/>
    <w:rsid w:val="006502B7"/>
    <w:rsid w:val="00653FFE"/>
    <w:rsid w:val="006E4D3E"/>
    <w:rsid w:val="00716A29"/>
    <w:rsid w:val="007E4408"/>
    <w:rsid w:val="00814DE3"/>
    <w:rsid w:val="008C1941"/>
    <w:rsid w:val="00954D77"/>
    <w:rsid w:val="009A6C0D"/>
    <w:rsid w:val="009B12EB"/>
    <w:rsid w:val="00A42FB7"/>
    <w:rsid w:val="00AA3786"/>
    <w:rsid w:val="00B05FB1"/>
    <w:rsid w:val="00B07FAD"/>
    <w:rsid w:val="00B14FD9"/>
    <w:rsid w:val="00B6620E"/>
    <w:rsid w:val="00BE4EB8"/>
    <w:rsid w:val="00CF339F"/>
    <w:rsid w:val="00D1190A"/>
    <w:rsid w:val="00D12F76"/>
    <w:rsid w:val="00D15926"/>
    <w:rsid w:val="00D91E30"/>
    <w:rsid w:val="00DB751A"/>
    <w:rsid w:val="00EC6E06"/>
    <w:rsid w:val="00EF4DFD"/>
    <w:rsid w:val="00F32D49"/>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Arial"/>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FAD"/>
    <w:pPr>
      <w:suppressAutoHyphens/>
      <w:spacing w:after="200" w:line="276" w:lineRule="auto"/>
    </w:pPr>
    <w:rPr>
      <w:rFonts w:cs="Calibri"/>
      <w:lang w:val="en-ZA"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uiPriority w:val="99"/>
    <w:qFormat/>
    <w:rsid w:val="00B07FAD"/>
    <w:pPr>
      <w:suppressLineNumbers/>
      <w:spacing w:before="120" w:after="120"/>
    </w:pPr>
    <w:rPr>
      <w:rFonts w:ascii="Arial" w:hAnsi="Arial"/>
      <w:i/>
      <w:iCs/>
      <w:sz w:val="24"/>
      <w:szCs w:val="24"/>
    </w:rPr>
  </w:style>
  <w:style w:type="character" w:styleId="LineNumber">
    <w:name w:val="line number"/>
    <w:basedOn w:val="DefaultParagraphFont"/>
    <w:uiPriority w:val="99"/>
    <w:semiHidden/>
    <w:rsid w:val="00545357"/>
    <w:rPr>
      <w:rFonts w:cs="Times New Roman"/>
    </w:rPr>
  </w:style>
  <w:style w:type="paragraph" w:styleId="Header">
    <w:name w:val="header"/>
    <w:basedOn w:val="Normal"/>
    <w:link w:val="HeaderChar"/>
    <w:uiPriority w:val="99"/>
    <w:semiHidden/>
    <w:rsid w:val="006E4D3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6E4D3E"/>
    <w:rPr>
      <w:rFonts w:ascii="Calibri" w:hAnsi="Calibri" w:cs="Calibri"/>
      <w:lang w:val="en-ZA" w:eastAsia="en-US"/>
    </w:rPr>
  </w:style>
  <w:style w:type="paragraph" w:styleId="Footer">
    <w:name w:val="footer"/>
    <w:basedOn w:val="Normal"/>
    <w:link w:val="FooterChar"/>
    <w:uiPriority w:val="99"/>
    <w:semiHidden/>
    <w:rsid w:val="006E4D3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6E4D3E"/>
    <w:rPr>
      <w:rFonts w:ascii="Calibri" w:hAnsi="Calibri" w:cs="Calibri"/>
      <w:lang w:val="en-ZA" w:eastAsia="en-US"/>
    </w:rPr>
  </w:style>
  <w:style w:type="paragraph" w:styleId="BalloonText">
    <w:name w:val="Balloon Text"/>
    <w:basedOn w:val="Normal"/>
    <w:link w:val="BalloonTextChar"/>
    <w:uiPriority w:val="99"/>
    <w:semiHidden/>
    <w:rsid w:val="006E4D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E4D3E"/>
    <w:rPr>
      <w:rFonts w:ascii="Tahoma" w:hAnsi="Tahoma" w:cs="Tahoma"/>
      <w:sz w:val="16"/>
      <w:szCs w:val="16"/>
      <w:lang w:val="en-ZA" w:eastAsia="en-US"/>
    </w:rPr>
  </w:style>
  <w:style w:type="character" w:styleId="CommentReference">
    <w:name w:val="annotation reference"/>
    <w:basedOn w:val="DefaultParagraphFont"/>
    <w:uiPriority w:val="99"/>
    <w:semiHidden/>
    <w:rsid w:val="006E4D3E"/>
    <w:rPr>
      <w:rFonts w:cs="Times New Roman"/>
      <w:sz w:val="16"/>
      <w:szCs w:val="16"/>
    </w:rPr>
  </w:style>
  <w:style w:type="paragraph" w:styleId="CommentText">
    <w:name w:val="annotation text"/>
    <w:basedOn w:val="Normal"/>
    <w:link w:val="CommentTextChar"/>
    <w:uiPriority w:val="99"/>
    <w:semiHidden/>
    <w:rsid w:val="006E4D3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6E4D3E"/>
    <w:rPr>
      <w:rFonts w:ascii="Calibri" w:hAnsi="Calibri" w:cs="Calibri"/>
      <w:sz w:val="20"/>
      <w:szCs w:val="20"/>
      <w:lang w:val="en-ZA" w:eastAsia="en-US"/>
    </w:rPr>
  </w:style>
  <w:style w:type="paragraph" w:styleId="CommentSubject">
    <w:name w:val="annotation subject"/>
    <w:basedOn w:val="CommentText"/>
    <w:next w:val="CommentText"/>
    <w:link w:val="CommentSubjectChar"/>
    <w:uiPriority w:val="99"/>
    <w:semiHidden/>
    <w:rsid w:val="006E4D3E"/>
    <w:rPr>
      <w:b/>
      <w:bCs/>
    </w:rPr>
  </w:style>
  <w:style w:type="character" w:customStyle="1" w:styleId="CommentSubjectChar">
    <w:name w:val="Comment Subject Char"/>
    <w:basedOn w:val="CommentTextChar"/>
    <w:link w:val="CommentSubject"/>
    <w:uiPriority w:val="99"/>
    <w:semiHidden/>
    <w:locked/>
    <w:rsid w:val="006E4D3E"/>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6</Pages>
  <Words>651</Words>
  <Characters>3715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tale of two villages: assessing the dynamics of fuelwood supply in communal landscapes in South Africa</dc:title>
  <dc:subject/>
  <dc:creator>Gillian Wilson</dc:creator>
  <cp:keywords/>
  <dc:description/>
  <cp:lastModifiedBy>mmochrie</cp:lastModifiedBy>
  <cp:revision>2</cp:revision>
  <dcterms:created xsi:type="dcterms:W3CDTF">2012-07-03T14:10:00Z</dcterms:created>
  <dcterms:modified xsi:type="dcterms:W3CDTF">2012-07-03T14:10:00Z</dcterms:modified>
</cp:coreProperties>
</file>