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A9" w:rsidRDefault="00207CA9" w:rsidP="00207CA9">
      <w:pPr>
        <w:rPr>
          <w:b/>
        </w:rPr>
      </w:pPr>
      <w:r w:rsidRPr="00961116">
        <w:rPr>
          <w:b/>
        </w:rPr>
        <w:t>APPENDIX 1</w:t>
      </w:r>
    </w:p>
    <w:p w:rsidR="00207CA9" w:rsidRDefault="00207CA9" w:rsidP="00207CA9">
      <w:pPr>
        <w:rPr>
          <w:b/>
        </w:rPr>
      </w:pPr>
    </w:p>
    <w:p w:rsidR="006012BE" w:rsidRPr="00207CA9" w:rsidRDefault="006012BE" w:rsidP="00CA605D">
      <w:pPr>
        <w:pStyle w:val="Caption"/>
        <w:rPr>
          <w:sz w:val="22"/>
          <w:szCs w:val="22"/>
        </w:rPr>
      </w:pPr>
      <w:r w:rsidRPr="00DA4DD8">
        <w:rPr>
          <w:color w:val="auto"/>
          <w:sz w:val="22"/>
          <w:szCs w:val="22"/>
        </w:rPr>
        <w:t xml:space="preserve">Table </w:t>
      </w:r>
      <w:r w:rsidR="00207CA9" w:rsidRPr="00DA4DD8">
        <w:rPr>
          <w:color w:val="auto"/>
          <w:sz w:val="22"/>
          <w:szCs w:val="22"/>
        </w:rPr>
        <w:t>S</w:t>
      </w:r>
      <w:r w:rsidRPr="00DA4DD8">
        <w:rPr>
          <w:color w:val="auto"/>
          <w:sz w:val="22"/>
          <w:szCs w:val="22"/>
        </w:rPr>
        <w:fldChar w:fldCharType="begin"/>
      </w:r>
      <w:r w:rsidRPr="00DA4DD8">
        <w:rPr>
          <w:color w:val="auto"/>
          <w:sz w:val="22"/>
          <w:szCs w:val="22"/>
        </w:rPr>
        <w:instrText xml:space="preserve"> SEQ Table \* ARABIC </w:instrText>
      </w:r>
      <w:r w:rsidRPr="00DA4DD8">
        <w:rPr>
          <w:color w:val="auto"/>
          <w:sz w:val="22"/>
          <w:szCs w:val="22"/>
        </w:rPr>
        <w:fldChar w:fldCharType="separate"/>
      </w:r>
      <w:r w:rsidRPr="00DA4DD8">
        <w:rPr>
          <w:noProof/>
          <w:color w:val="auto"/>
          <w:sz w:val="22"/>
          <w:szCs w:val="22"/>
        </w:rPr>
        <w:t>1</w:t>
      </w:r>
      <w:r w:rsidRPr="00DA4DD8">
        <w:rPr>
          <w:color w:val="auto"/>
          <w:sz w:val="22"/>
          <w:szCs w:val="22"/>
        </w:rPr>
        <w:fldChar w:fldCharType="end"/>
      </w:r>
      <w:r w:rsidRPr="00DA4DD8">
        <w:rPr>
          <w:b w:val="0"/>
          <w:color w:val="auto"/>
          <w:sz w:val="22"/>
          <w:szCs w:val="22"/>
        </w:rPr>
        <w:t xml:space="preserve"> Traits associated with invasion and their distribution among the 11</w:t>
      </w:r>
      <w:r w:rsidR="00CA605D">
        <w:rPr>
          <w:b w:val="0"/>
          <w:color w:val="auto"/>
          <w:sz w:val="22"/>
          <w:szCs w:val="22"/>
        </w:rPr>
        <w:t xml:space="preserve"> </w:t>
      </w:r>
      <w:r w:rsidRPr="00DA4DD8">
        <w:rPr>
          <w:b w:val="0"/>
          <w:color w:val="auto"/>
          <w:sz w:val="22"/>
          <w:szCs w:val="22"/>
        </w:rPr>
        <w:t>invasive study species in the Ukrainian Carpathians</w:t>
      </w:r>
      <w:r w:rsidR="00207CA9" w:rsidRPr="00DA4DD8">
        <w:rPr>
          <w:b w:val="0"/>
          <w:color w:val="auto"/>
          <w:sz w:val="22"/>
          <w:szCs w:val="22"/>
        </w:rPr>
        <w:t>. VR = vegetative reproduction.</w:t>
      </w:r>
      <w:r w:rsidR="00DA4DD8" w:rsidRPr="00DA4DD8">
        <w:rPr>
          <w:b w:val="0"/>
          <w:color w:val="auto"/>
          <w:sz w:val="22"/>
          <w:szCs w:val="22"/>
        </w:rPr>
        <w:t xml:space="preserve"> </w:t>
      </w:r>
      <w:proofErr w:type="spellStart"/>
      <w:r w:rsidR="00DA4DD8" w:rsidRPr="00DA4DD8">
        <w:rPr>
          <w:b w:val="0"/>
          <w:i/>
          <w:color w:val="auto"/>
          <w:sz w:val="22"/>
          <w:szCs w:val="22"/>
        </w:rPr>
        <w:t>Reynoutria</w:t>
      </w:r>
      <w:proofErr w:type="spellEnd"/>
      <w:r w:rsidR="00DA4DD8" w:rsidRPr="00DA4DD8">
        <w:rPr>
          <w:b w:val="0"/>
          <w:i/>
          <w:color w:val="auto"/>
          <w:sz w:val="22"/>
          <w:szCs w:val="22"/>
        </w:rPr>
        <w:t xml:space="preserve"> </w:t>
      </w:r>
      <w:r w:rsidR="00DA4DD8" w:rsidRPr="00DA4DD8">
        <w:rPr>
          <w:b w:val="0"/>
          <w:color w:val="auto"/>
          <w:sz w:val="22"/>
          <w:szCs w:val="22"/>
        </w:rPr>
        <w:t xml:space="preserve">spp. is comprised of </w:t>
      </w:r>
      <w:proofErr w:type="spellStart"/>
      <w:r w:rsidR="00DA4DD8" w:rsidRPr="00DA4DD8">
        <w:rPr>
          <w:b w:val="0"/>
          <w:i/>
          <w:color w:val="auto"/>
          <w:sz w:val="22"/>
          <w:szCs w:val="22"/>
        </w:rPr>
        <w:t>Reynoutria</w:t>
      </w:r>
      <w:proofErr w:type="spellEnd"/>
      <w:r w:rsidR="00DA4DD8" w:rsidRPr="00DA4DD8">
        <w:rPr>
          <w:b w:val="0"/>
          <w:i/>
          <w:color w:val="auto"/>
          <w:sz w:val="22"/>
          <w:szCs w:val="22"/>
        </w:rPr>
        <w:t xml:space="preserve"> japonica</w:t>
      </w:r>
      <w:r w:rsidR="00DA4DD8" w:rsidRPr="00DA4DD8">
        <w:rPr>
          <w:b w:val="0"/>
          <w:color w:val="auto"/>
          <w:sz w:val="22"/>
          <w:szCs w:val="22"/>
        </w:rPr>
        <w:t xml:space="preserve"> and </w:t>
      </w:r>
      <w:r w:rsidR="00DA4DD8" w:rsidRPr="00DA4DD8">
        <w:rPr>
          <w:b w:val="0"/>
          <w:i/>
          <w:color w:val="auto"/>
          <w:sz w:val="22"/>
          <w:szCs w:val="22"/>
        </w:rPr>
        <w:t xml:space="preserve">R. x </w:t>
      </w:r>
      <w:proofErr w:type="spellStart"/>
      <w:r w:rsidR="00DA4DD8" w:rsidRPr="00DA4DD8">
        <w:rPr>
          <w:b w:val="0"/>
          <w:i/>
          <w:color w:val="auto"/>
          <w:sz w:val="22"/>
          <w:szCs w:val="22"/>
        </w:rPr>
        <w:t>bohemica</w:t>
      </w:r>
      <w:proofErr w:type="spellEnd"/>
      <w:r w:rsidR="00DA4DD8" w:rsidRPr="00DA4DD8">
        <w:rPr>
          <w:b w:val="0"/>
          <w:color w:val="auto"/>
          <w:sz w:val="22"/>
          <w:szCs w:val="22"/>
        </w:rPr>
        <w:t xml:space="preserve">. The </w:t>
      </w:r>
      <w:proofErr w:type="spellStart"/>
      <w:r w:rsidR="00DA4DD8" w:rsidRPr="00DA4DD8">
        <w:rPr>
          <w:b w:val="0"/>
          <w:i/>
          <w:color w:val="auto"/>
          <w:sz w:val="22"/>
          <w:szCs w:val="22"/>
        </w:rPr>
        <w:t>Solidago</w:t>
      </w:r>
      <w:proofErr w:type="spellEnd"/>
      <w:r w:rsidR="00DA4DD8" w:rsidRPr="00DA4DD8">
        <w:rPr>
          <w:b w:val="0"/>
          <w:color w:val="auto"/>
          <w:sz w:val="22"/>
          <w:szCs w:val="22"/>
        </w:rPr>
        <w:t xml:space="preserve"> spp. group consists of </w:t>
      </w:r>
      <w:proofErr w:type="spellStart"/>
      <w:r w:rsidR="00DA4DD8" w:rsidRPr="00DA4DD8">
        <w:rPr>
          <w:b w:val="0"/>
          <w:i/>
          <w:color w:val="auto"/>
          <w:sz w:val="22"/>
          <w:szCs w:val="22"/>
        </w:rPr>
        <w:t>Solidago</w:t>
      </w:r>
      <w:proofErr w:type="spellEnd"/>
      <w:r w:rsidR="00DA4DD8" w:rsidRPr="00DA4DD8">
        <w:rPr>
          <w:b w:val="0"/>
          <w:i/>
          <w:color w:val="auto"/>
          <w:sz w:val="22"/>
          <w:szCs w:val="22"/>
        </w:rPr>
        <w:t xml:space="preserve"> </w:t>
      </w:r>
      <w:proofErr w:type="spellStart"/>
      <w:r w:rsidR="00DA4DD8" w:rsidRPr="00DA4DD8">
        <w:rPr>
          <w:b w:val="0"/>
          <w:i/>
          <w:color w:val="auto"/>
          <w:sz w:val="22"/>
          <w:szCs w:val="22"/>
        </w:rPr>
        <w:t>canadensis</w:t>
      </w:r>
      <w:proofErr w:type="spellEnd"/>
      <w:r w:rsidR="00DA4DD8" w:rsidRPr="00DA4DD8">
        <w:rPr>
          <w:b w:val="0"/>
          <w:color w:val="auto"/>
          <w:sz w:val="22"/>
          <w:szCs w:val="22"/>
        </w:rPr>
        <w:t xml:space="preserve"> and </w:t>
      </w:r>
      <w:r w:rsidR="00DA4DD8" w:rsidRPr="00DA4DD8">
        <w:rPr>
          <w:b w:val="0"/>
          <w:i/>
          <w:color w:val="auto"/>
          <w:sz w:val="22"/>
          <w:szCs w:val="22"/>
        </w:rPr>
        <w:t xml:space="preserve">S. </w:t>
      </w:r>
      <w:proofErr w:type="spellStart"/>
      <w:r w:rsidR="00DA4DD8" w:rsidRPr="00DA4DD8">
        <w:rPr>
          <w:b w:val="0"/>
          <w:i/>
          <w:color w:val="auto"/>
          <w:sz w:val="22"/>
          <w:szCs w:val="22"/>
        </w:rPr>
        <w:t>gigantea</w:t>
      </w:r>
      <w:proofErr w:type="spellEnd"/>
      <w:r w:rsidR="00DA4DD8" w:rsidRPr="00DA4DD8">
        <w:rPr>
          <w:b w:val="0"/>
          <w:color w:val="auto"/>
          <w:sz w:val="22"/>
          <w:szCs w:val="22"/>
        </w:rPr>
        <w:t xml:space="preserve">. </w:t>
      </w:r>
    </w:p>
    <w:tbl>
      <w:tblPr>
        <w:tblW w:w="13770" w:type="dxa"/>
        <w:tblInd w:w="-252" w:type="dxa"/>
        <w:tblLayout w:type="fixed"/>
        <w:tblLook w:val="04A0"/>
      </w:tblPr>
      <w:tblGrid>
        <w:gridCol w:w="1746"/>
        <w:gridCol w:w="1944"/>
        <w:gridCol w:w="1350"/>
        <w:gridCol w:w="180"/>
        <w:gridCol w:w="576"/>
        <w:gridCol w:w="144"/>
        <w:gridCol w:w="1350"/>
        <w:gridCol w:w="1746"/>
        <w:gridCol w:w="2304"/>
        <w:gridCol w:w="2430"/>
      </w:tblGrid>
      <w:tr w:rsidR="00207CA9" w:rsidRPr="003C7BCC" w:rsidTr="00DA4DD8">
        <w:trPr>
          <w:cantSplit/>
          <w:trHeight w:val="181"/>
        </w:trPr>
        <w:tc>
          <w:tcPr>
            <w:tcW w:w="1746" w:type="dxa"/>
            <w:vMerge w:val="restart"/>
            <w:tcBorders>
              <w:top w:val="double" w:sz="4" w:space="0" w:color="auto"/>
              <w:bottom w:val="single" w:sz="8" w:space="0" w:color="000000"/>
            </w:tcBorders>
            <w:shd w:val="clear" w:color="auto" w:fill="FFFFFF"/>
          </w:tcPr>
          <w:p w:rsidR="00207CA9" w:rsidRPr="003C7BCC" w:rsidRDefault="00207CA9" w:rsidP="003C7BCC">
            <w:pPr>
              <w:autoSpaceDE w:val="0"/>
              <w:spacing w:after="0"/>
              <w:ind w:left="252" w:hanging="25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2024" w:type="dxa"/>
            <w:gridSpan w:val="9"/>
            <w:tcBorders>
              <w:top w:val="double" w:sz="4" w:space="0" w:color="auto"/>
              <w:bottom w:val="single" w:sz="8" w:space="0" w:color="000000"/>
            </w:tcBorders>
          </w:tcPr>
          <w:p w:rsidR="00207CA9" w:rsidRPr="003C7BCC" w:rsidRDefault="00207CA9" w:rsidP="003C7BCC">
            <w:pPr>
              <w:autoSpaceDE w:val="0"/>
              <w:spacing w:after="0"/>
              <w:ind w:left="252" w:hanging="25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Trait</w:t>
            </w:r>
          </w:p>
        </w:tc>
      </w:tr>
      <w:tr w:rsidR="00207CA9" w:rsidRPr="003C7BCC" w:rsidTr="00DA4DD8">
        <w:trPr>
          <w:cantSplit/>
          <w:trHeight w:val="181"/>
        </w:trPr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207CA9" w:rsidRPr="003C7BCC" w:rsidRDefault="00207CA9" w:rsidP="003C7BCC">
            <w:pPr>
              <w:autoSpaceDE w:val="0"/>
              <w:spacing w:after="0"/>
              <w:ind w:left="252" w:hanging="25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8" w:space="0" w:color="000000"/>
              <w:bottom w:val="single" w:sz="8" w:space="0" w:color="000000"/>
            </w:tcBorders>
          </w:tcPr>
          <w:p w:rsidR="00207CA9" w:rsidRPr="003C7BCC" w:rsidRDefault="00207CA9" w:rsidP="003C7BCC">
            <w:pPr>
              <w:autoSpaceDE w:val="0"/>
              <w:spacing w:after="0"/>
              <w:ind w:left="207" w:hanging="207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Growth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:rsidR="00207CA9" w:rsidRPr="003C7BCC" w:rsidRDefault="00207CA9" w:rsidP="003C7BCC">
            <w:pPr>
              <w:autoSpaceDE w:val="0"/>
              <w:spacing w:after="0"/>
              <w:ind w:left="106" w:hanging="106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Seed yield</w:t>
            </w:r>
          </w:p>
        </w:tc>
        <w:tc>
          <w:tcPr>
            <w:tcW w:w="900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207CA9" w:rsidRPr="003C7BCC" w:rsidRDefault="00207CA9" w:rsidP="003C7BCC">
            <w:pPr>
              <w:autoSpaceDE w:val="0"/>
              <w:spacing w:after="0"/>
              <w:ind w:left="252" w:hanging="25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VR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</w:tcBorders>
          </w:tcPr>
          <w:p w:rsidR="00207CA9" w:rsidRPr="003C7BCC" w:rsidRDefault="00207CA9" w:rsidP="003C7BCC">
            <w:pPr>
              <w:autoSpaceDE w:val="0"/>
              <w:spacing w:after="0"/>
              <w:ind w:left="252" w:hanging="25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Main dispersal</w:t>
            </w:r>
          </w:p>
        </w:tc>
        <w:tc>
          <w:tcPr>
            <w:tcW w:w="1746" w:type="dxa"/>
            <w:tcBorders>
              <w:top w:val="single" w:sz="8" w:space="0" w:color="000000"/>
              <w:bottom w:val="single" w:sz="8" w:space="0" w:color="000000"/>
            </w:tcBorders>
          </w:tcPr>
          <w:p w:rsidR="00207CA9" w:rsidRPr="003C7BCC" w:rsidRDefault="00207CA9" w:rsidP="003C7BCC">
            <w:pPr>
              <w:autoSpaceDE w:val="0"/>
              <w:spacing w:after="0"/>
              <w:ind w:left="252" w:hanging="25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Reaction to stress</w:t>
            </w:r>
          </w:p>
        </w:tc>
        <w:tc>
          <w:tcPr>
            <w:tcW w:w="2304" w:type="dxa"/>
            <w:tcBorders>
              <w:top w:val="single" w:sz="8" w:space="0" w:color="000000"/>
              <w:bottom w:val="single" w:sz="8" w:space="0" w:color="000000"/>
            </w:tcBorders>
          </w:tcPr>
          <w:p w:rsidR="00207CA9" w:rsidRPr="003C7BCC" w:rsidRDefault="00207CA9" w:rsidP="003C7BCC">
            <w:pPr>
              <w:autoSpaceDE w:val="0"/>
              <w:spacing w:after="0"/>
              <w:ind w:left="252" w:hanging="25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Ecological niche</w:t>
            </w:r>
          </w:p>
        </w:tc>
        <w:tc>
          <w:tcPr>
            <w:tcW w:w="2430" w:type="dxa"/>
            <w:tcBorders>
              <w:top w:val="single" w:sz="8" w:space="0" w:color="000000"/>
              <w:bottom w:val="single" w:sz="8" w:space="0" w:color="000000"/>
            </w:tcBorders>
          </w:tcPr>
          <w:p w:rsidR="00207CA9" w:rsidRPr="003C7BCC" w:rsidRDefault="00207CA9" w:rsidP="003C7BCC">
            <w:pPr>
              <w:autoSpaceDE w:val="0"/>
              <w:spacing w:after="0"/>
              <w:ind w:left="252" w:hanging="25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>Limiting factors</w:t>
            </w:r>
          </w:p>
        </w:tc>
      </w:tr>
      <w:tr w:rsidR="006012BE" w:rsidRPr="003C7BCC" w:rsidTr="00DA4DD8">
        <w:trPr>
          <w:cantSplit/>
          <w:trHeight w:val="392"/>
        </w:trPr>
        <w:tc>
          <w:tcPr>
            <w:tcW w:w="1746" w:type="dxa"/>
            <w:tcBorders>
              <w:top w:val="single" w:sz="8" w:space="0" w:color="000000"/>
            </w:tcBorders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Acer </w:t>
            </w: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negundo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44" w:type="dxa"/>
            <w:tcBorders>
              <w:top w:val="single" w:sz="8" w:space="0" w:color="000000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Perennial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, sexual maturity in </w:t>
            </w:r>
            <w:r w:rsidRPr="003C7BCC">
              <w:rPr>
                <w:color w:val="000000"/>
                <w:sz w:val="16"/>
                <w:szCs w:val="16"/>
              </w:rPr>
              <w:t>five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 years, earlier than native </w:t>
            </w:r>
            <w:r w:rsidR="006012BE" w:rsidRPr="003C7BCC">
              <w:rPr>
                <w:i/>
                <w:color w:val="000000"/>
                <w:sz w:val="16"/>
                <w:szCs w:val="16"/>
              </w:rPr>
              <w:t xml:space="preserve">A. </w:t>
            </w:r>
            <w:proofErr w:type="spellStart"/>
            <w:r w:rsidRPr="003C7BCC">
              <w:rPr>
                <w:i/>
                <w:color w:val="000000"/>
                <w:sz w:val="16"/>
                <w:szCs w:val="16"/>
              </w:rPr>
              <w:t>Campestre</w:t>
            </w:r>
            <w:proofErr w:type="spellEnd"/>
            <w:r w:rsidR="006012BE" w:rsidRPr="003C7BCC">
              <w:rPr>
                <w:color w:val="000000"/>
                <w:sz w:val="16"/>
                <w:szCs w:val="16"/>
              </w:rPr>
              <w:t xml:space="preserve"> in the flood plain 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High</w:t>
            </w:r>
          </w:p>
        </w:tc>
        <w:tc>
          <w:tcPr>
            <w:tcW w:w="576" w:type="dxa"/>
            <w:tcBorders>
              <w:top w:val="single" w:sz="8" w:space="0" w:color="000000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1494" w:type="dxa"/>
            <w:gridSpan w:val="2"/>
            <w:tcBorders>
              <w:top w:val="single" w:sz="8" w:space="0" w:color="000000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Wind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, water </w:t>
            </w:r>
          </w:p>
        </w:tc>
        <w:tc>
          <w:tcPr>
            <w:tcW w:w="1746" w:type="dxa"/>
            <w:tcBorders>
              <w:top w:val="single" w:sz="8" w:space="0" w:color="000000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Seed 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survival in water for weeks, dormancy </w:t>
            </w:r>
          </w:p>
        </w:tc>
        <w:tc>
          <w:tcPr>
            <w:tcW w:w="2304" w:type="dxa"/>
            <w:tcBorders>
              <w:top w:val="single" w:sz="8" w:space="0" w:color="000000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Extremely </w:t>
            </w:r>
            <w:r w:rsidR="006012BE" w:rsidRPr="003C7BCC">
              <w:rPr>
                <w:color w:val="000000"/>
                <w:sz w:val="16"/>
                <w:szCs w:val="16"/>
              </w:rPr>
              <w:t>wide, grows in wide variety of habitats, but mainly along rivers in study region</w:t>
            </w:r>
          </w:p>
        </w:tc>
        <w:tc>
          <w:tcPr>
            <w:tcW w:w="2430" w:type="dxa"/>
            <w:tcBorders>
              <w:top w:val="single" w:sz="8" w:space="0" w:color="000000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Shade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, drought, extreme frost </w:t>
            </w:r>
          </w:p>
        </w:tc>
      </w:tr>
      <w:tr w:rsidR="006012BE" w:rsidRPr="003C7BCC" w:rsidTr="00207CA9">
        <w:trPr>
          <w:cantSplit/>
          <w:trHeight w:val="333"/>
        </w:trPr>
        <w:tc>
          <w:tcPr>
            <w:tcW w:w="1746" w:type="dxa"/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Ambrosia </w:t>
            </w: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artemisiifolia</w:t>
            </w:r>
            <w:proofErr w:type="spellEnd"/>
          </w:p>
        </w:tc>
        <w:tc>
          <w:tcPr>
            <w:tcW w:w="194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Annual, early and rapid growth in spring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Very high (up to 62 0</w:t>
            </w:r>
            <w:r w:rsidR="006012BE" w:rsidRPr="003C7BCC">
              <w:rPr>
                <w:color w:val="000000"/>
                <w:sz w:val="16"/>
                <w:szCs w:val="16"/>
              </w:rPr>
              <w:t>00 per plant)</w:t>
            </w:r>
          </w:p>
        </w:tc>
        <w:tc>
          <w:tcPr>
            <w:tcW w:w="57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494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Water, animals, humans</w:t>
            </w:r>
          </w:p>
        </w:tc>
        <w:tc>
          <w:tcPr>
            <w:tcW w:w="174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Long dormancy (</w:t>
            </w:r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c. </w:t>
            </w:r>
            <w:r w:rsidRPr="003C7BCC">
              <w:rPr>
                <w:color w:val="000000"/>
                <w:sz w:val="16"/>
                <w:szCs w:val="16"/>
              </w:rPr>
              <w:t>30 years); accumulation of toxic trace elements</w:t>
            </w:r>
          </w:p>
        </w:tc>
        <w:tc>
          <w:tcPr>
            <w:tcW w:w="230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Moderate, agricultural pest, grows mainly in polluted soils</w:t>
            </w:r>
          </w:p>
        </w:tc>
        <w:tc>
          <w:tcPr>
            <w:tcW w:w="2430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Shade, prolonged spring frost and drought; very sensitive to length of growing season (annua</w:t>
            </w:r>
            <w:r w:rsidR="006012BE" w:rsidRPr="003C7BCC">
              <w:rPr>
                <w:color w:val="000000"/>
                <w:sz w:val="16"/>
                <w:szCs w:val="16"/>
              </w:rPr>
              <w:t>l that flowers late in summer)</w:t>
            </w:r>
          </w:p>
        </w:tc>
      </w:tr>
      <w:tr w:rsidR="006012BE" w:rsidRPr="003C7BCC" w:rsidTr="00207CA9">
        <w:trPr>
          <w:cantSplit/>
          <w:trHeight w:val="392"/>
        </w:trPr>
        <w:tc>
          <w:tcPr>
            <w:tcW w:w="1746" w:type="dxa"/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Echinocystis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lobata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4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Annual, fast growth of leaves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Moderate (6 seeds per fruit) but high germination rate</w:t>
            </w:r>
          </w:p>
        </w:tc>
        <w:tc>
          <w:tcPr>
            <w:tcW w:w="57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494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Water</w:t>
            </w:r>
          </w:p>
        </w:tc>
        <w:tc>
          <w:tcPr>
            <w:tcW w:w="174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Dormancy, large, stress-resistant seeds</w:t>
            </w:r>
          </w:p>
        </w:tc>
        <w:tc>
          <w:tcPr>
            <w:tcW w:w="230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Relatively n</w:t>
            </w:r>
            <w:r w:rsidR="006012BE" w:rsidRPr="003C7BCC">
              <w:rPr>
                <w:color w:val="000000"/>
                <w:sz w:val="16"/>
                <w:szCs w:val="16"/>
              </w:rPr>
              <w:t>arrow, tied to riparian communities</w:t>
            </w:r>
          </w:p>
        </w:tc>
        <w:tc>
          <w:tcPr>
            <w:tcW w:w="2430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Shade,</w:t>
            </w:r>
          </w:p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Spring and fall frost </w:t>
            </w:r>
          </w:p>
        </w:tc>
      </w:tr>
      <w:tr w:rsidR="006012BE" w:rsidRPr="003C7BCC" w:rsidTr="00207CA9">
        <w:trPr>
          <w:cantSplit/>
          <w:trHeight w:val="333"/>
        </w:trPr>
        <w:tc>
          <w:tcPr>
            <w:tcW w:w="1746" w:type="dxa"/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Helianthus </w:t>
            </w: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tuberosus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4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Perennial, early and rapid growth in spring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Relatively low, reproduction mainly vegetative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 (high rates)</w:t>
            </w:r>
          </w:p>
        </w:tc>
        <w:tc>
          <w:tcPr>
            <w:tcW w:w="57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1494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Seeds mostly local; rhizomes by water, humans</w:t>
            </w:r>
          </w:p>
        </w:tc>
        <w:tc>
          <w:tcPr>
            <w:tcW w:w="174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High energy allocation to tubers, rhizomes that can become dormant </w:t>
            </w:r>
          </w:p>
        </w:tc>
        <w:tc>
          <w:tcPr>
            <w:tcW w:w="230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Extremely wide, grows in most types of soil, moderately frost-tolerant</w:t>
            </w:r>
          </w:p>
        </w:tc>
        <w:tc>
          <w:tcPr>
            <w:tcW w:w="2430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Shade, long periods of drought (tolerant to short drought periods); length of growing season (flowers late in summer</w:t>
            </w:r>
            <w:r w:rsidR="006012BE" w:rsidRPr="003C7BCC">
              <w:rPr>
                <w:color w:val="000000"/>
                <w:sz w:val="16"/>
                <w:szCs w:val="16"/>
              </w:rPr>
              <w:t>/early fall)</w:t>
            </w:r>
          </w:p>
        </w:tc>
      </w:tr>
      <w:tr w:rsidR="006012BE" w:rsidRPr="003C7BCC" w:rsidTr="00207CA9">
        <w:trPr>
          <w:cantSplit/>
          <w:trHeight w:val="261"/>
        </w:trPr>
        <w:tc>
          <w:tcPr>
            <w:tcW w:w="1746" w:type="dxa"/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Heracleum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sosnowskyi</w:t>
            </w:r>
            <w:proofErr w:type="spellEnd"/>
          </w:p>
        </w:tc>
        <w:tc>
          <w:tcPr>
            <w:tcW w:w="194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Perennial, early and rapid growth in spring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Very high (up to 100 000 per plant)</w:t>
            </w:r>
          </w:p>
        </w:tc>
        <w:tc>
          <w:tcPr>
            <w:tcW w:w="57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494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Water, humans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4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Seed dormancy</w:t>
            </w:r>
          </w:p>
        </w:tc>
        <w:tc>
          <w:tcPr>
            <w:tcW w:w="230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Wide, affinity to riparian 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and roadside habitats) but can also be found on meadows and forest edges </w:t>
            </w:r>
          </w:p>
        </w:tc>
        <w:tc>
          <w:tcPr>
            <w:tcW w:w="2430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Shade, drought</w:t>
            </w:r>
            <w:r w:rsidR="006012BE" w:rsidRPr="003C7BCC">
              <w:rPr>
                <w:color w:val="000000"/>
                <w:sz w:val="16"/>
                <w:szCs w:val="16"/>
              </w:rPr>
              <w:t>, prolonged floods, tolerant to frost</w:t>
            </w:r>
          </w:p>
        </w:tc>
      </w:tr>
      <w:tr w:rsidR="006012BE" w:rsidRPr="003C7BCC" w:rsidTr="00207CA9">
        <w:trPr>
          <w:cantSplit/>
          <w:trHeight w:val="266"/>
        </w:trPr>
        <w:tc>
          <w:tcPr>
            <w:tcW w:w="1746" w:type="dxa"/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Impatiens </w:t>
            </w: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glandulifera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4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Annual, early and rapid growth in spring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High (average 1000 per plant)</w:t>
            </w:r>
          </w:p>
        </w:tc>
        <w:tc>
          <w:tcPr>
            <w:tcW w:w="57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1494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Water, humans</w:t>
            </w:r>
          </w:p>
        </w:tc>
        <w:tc>
          <w:tcPr>
            <w:tcW w:w="174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Seed dormancy, seed germination under water </w:t>
            </w:r>
          </w:p>
        </w:tc>
        <w:tc>
          <w:tcPr>
            <w:tcW w:w="230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Relatively narrow</w:t>
            </w:r>
            <w:r w:rsidR="006012BE" w:rsidRPr="003C7BCC">
              <w:rPr>
                <w:color w:val="000000"/>
                <w:sz w:val="16"/>
                <w:szCs w:val="16"/>
              </w:rPr>
              <w:t>, tied to riparian communities</w:t>
            </w:r>
          </w:p>
        </w:tc>
        <w:tc>
          <w:tcPr>
            <w:tcW w:w="2430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Frost-sensitive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 (in particular seedlings), drought, prolonged floods </w:t>
            </w:r>
          </w:p>
        </w:tc>
      </w:tr>
      <w:tr w:rsidR="006012BE" w:rsidRPr="003C7BCC" w:rsidTr="00DA4DD8">
        <w:trPr>
          <w:cantSplit/>
          <w:trHeight w:val="261"/>
        </w:trPr>
        <w:tc>
          <w:tcPr>
            <w:tcW w:w="1746" w:type="dxa"/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Reynoutria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3C7BCC">
              <w:rPr>
                <w:iCs/>
                <w:color w:val="000000"/>
                <w:sz w:val="16"/>
                <w:szCs w:val="16"/>
              </w:rPr>
              <w:t>spp.</w:t>
            </w:r>
          </w:p>
        </w:tc>
        <w:tc>
          <w:tcPr>
            <w:tcW w:w="194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Perennial, early and rapid growth in spring</w:t>
            </w:r>
          </w:p>
        </w:tc>
        <w:tc>
          <w:tcPr>
            <w:tcW w:w="1530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Low (only in </w:t>
            </w:r>
            <w:r w:rsidRPr="003C7BCC">
              <w:rPr>
                <w:i/>
                <w:color w:val="000000"/>
                <w:sz w:val="16"/>
                <w:szCs w:val="16"/>
              </w:rPr>
              <w:t xml:space="preserve">r. X </w:t>
            </w:r>
            <w:proofErr w:type="spellStart"/>
            <w:r w:rsidRPr="003C7BCC">
              <w:rPr>
                <w:i/>
                <w:color w:val="000000"/>
                <w:sz w:val="16"/>
                <w:szCs w:val="16"/>
              </w:rPr>
              <w:t>bohemica</w:t>
            </w:r>
            <w:proofErr w:type="spellEnd"/>
            <w:r w:rsidR="006012BE" w:rsidRPr="003C7BCC">
              <w:rPr>
                <w:color w:val="000000"/>
                <w:sz w:val="16"/>
                <w:szCs w:val="16"/>
              </w:rPr>
              <w:t>), reproduction mainly vegetative</w:t>
            </w:r>
          </w:p>
        </w:tc>
        <w:tc>
          <w:tcPr>
            <w:tcW w:w="57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1494" w:type="dxa"/>
            <w:gridSpan w:val="2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Rhizomes by water, humans </w:t>
            </w:r>
          </w:p>
        </w:tc>
        <w:tc>
          <w:tcPr>
            <w:tcW w:w="1746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Resilient rhizomes</w:t>
            </w:r>
          </w:p>
        </w:tc>
        <w:tc>
          <w:tcPr>
            <w:tcW w:w="2304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Wi</w:t>
            </w:r>
            <w:r w:rsidR="006012BE" w:rsidRPr="003C7BCC">
              <w:rPr>
                <w:color w:val="000000"/>
                <w:sz w:val="16"/>
                <w:szCs w:val="16"/>
              </w:rPr>
              <w:t>de, grow in variety of habitats</w:t>
            </w:r>
          </w:p>
        </w:tc>
        <w:tc>
          <w:tcPr>
            <w:tcW w:w="2430" w:type="dxa"/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Shade, length of growing season, frost</w:t>
            </w:r>
          </w:p>
        </w:tc>
      </w:tr>
      <w:tr w:rsidR="006012BE" w:rsidRPr="003C7BCC" w:rsidTr="00DA4DD8">
        <w:trPr>
          <w:cantSplit/>
          <w:trHeight w:val="20"/>
        </w:trPr>
        <w:tc>
          <w:tcPr>
            <w:tcW w:w="1746" w:type="dxa"/>
            <w:tcBorders>
              <w:bottom w:val="double" w:sz="4" w:space="0" w:color="auto"/>
            </w:tcBorders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Robinia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pseudoacacia</w:t>
            </w:r>
            <w:proofErr w:type="spellEnd"/>
          </w:p>
        </w:tc>
        <w:tc>
          <w:tcPr>
            <w:tcW w:w="1944" w:type="dxa"/>
            <w:tcBorders>
              <w:bottom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Perennial, rapid growth of seedlings (up to 2m per year in first five years)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High (0.28 kg per year per plant) </w:t>
            </w:r>
          </w:p>
        </w:tc>
        <w:tc>
          <w:tcPr>
            <w:tcW w:w="576" w:type="dxa"/>
            <w:tcBorders>
              <w:bottom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1494" w:type="dxa"/>
            <w:gridSpan w:val="2"/>
            <w:tcBorders>
              <w:bottom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Wind,</w:t>
            </w:r>
            <w:r w:rsidR="006012BE" w:rsidRPr="003C7BCC">
              <w:rPr>
                <w:color w:val="000000"/>
                <w:sz w:val="16"/>
                <w:szCs w:val="16"/>
              </w:rPr>
              <w:t xml:space="preserve"> water, humans </w:t>
            </w:r>
          </w:p>
        </w:tc>
        <w:tc>
          <w:tcPr>
            <w:tcW w:w="1746" w:type="dxa"/>
            <w:tcBorders>
              <w:bottom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Seed dormancy; root suckering </w:t>
            </w:r>
          </w:p>
        </w:tc>
        <w:tc>
          <w:tcPr>
            <w:tcW w:w="2304" w:type="dxa"/>
            <w:tcBorders>
              <w:bottom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Extremely wide, nitrogen-fixing tree, found in a wide range of soils </w:t>
            </w:r>
            <w:r w:rsidR="006012BE" w:rsidRPr="003C7BCC">
              <w:rPr>
                <w:color w:val="000000"/>
                <w:sz w:val="16"/>
                <w:szCs w:val="16"/>
              </w:rPr>
              <w:t>types</w:t>
            </w:r>
          </w:p>
        </w:tc>
        <w:tc>
          <w:tcPr>
            <w:tcW w:w="2430" w:type="dxa"/>
            <w:tcBorders>
              <w:bottom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Shade, extreme frost, excessive flooding </w:t>
            </w:r>
          </w:p>
        </w:tc>
      </w:tr>
      <w:tr w:rsidR="006012BE" w:rsidRPr="003C7BCC" w:rsidTr="00DA4DD8">
        <w:trPr>
          <w:cantSplit/>
          <w:trHeight w:val="720"/>
        </w:trPr>
        <w:tc>
          <w:tcPr>
            <w:tcW w:w="1746" w:type="dxa"/>
            <w:tcBorders>
              <w:top w:val="double" w:sz="4" w:space="0" w:color="auto"/>
            </w:tcBorders>
            <w:shd w:val="clear" w:color="auto" w:fill="FFFFFF"/>
          </w:tcPr>
          <w:p w:rsidR="006012BE" w:rsidRPr="003C7BCC" w:rsidRDefault="006012BE" w:rsidP="003C7BCC">
            <w:pPr>
              <w:pStyle w:val="TableContents"/>
              <w:snapToGrid w:val="0"/>
              <w:ind w:left="252" w:hanging="252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C7BCC">
              <w:rPr>
                <w:i/>
                <w:iCs/>
                <w:color w:val="000000"/>
                <w:sz w:val="16"/>
                <w:szCs w:val="16"/>
              </w:rPr>
              <w:t>Solidago</w:t>
            </w:r>
            <w:proofErr w:type="spellEnd"/>
            <w:r w:rsidRPr="003C7BC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3C7BCC">
              <w:rPr>
                <w:iCs/>
                <w:color w:val="000000"/>
                <w:sz w:val="16"/>
                <w:szCs w:val="16"/>
              </w:rPr>
              <w:t>spp.</w:t>
            </w:r>
          </w:p>
        </w:tc>
        <w:tc>
          <w:tcPr>
            <w:tcW w:w="1944" w:type="dxa"/>
            <w:tcBorders>
              <w:top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07" w:hanging="207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Perennial, early and rapid growth in spring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106" w:hanging="106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 xml:space="preserve">High (up </w:t>
            </w:r>
            <w:r w:rsidR="006012BE" w:rsidRPr="003C7BCC">
              <w:rPr>
                <w:color w:val="000000"/>
                <w:sz w:val="16"/>
                <w:szCs w:val="16"/>
              </w:rPr>
              <w:t>to 10</w:t>
            </w:r>
            <w:r w:rsidRPr="003C7BCC">
              <w:rPr>
                <w:color w:val="000000"/>
                <w:sz w:val="16"/>
                <w:szCs w:val="16"/>
              </w:rPr>
              <w:t> </w:t>
            </w:r>
            <w:r w:rsidR="006012BE" w:rsidRPr="003C7BCC">
              <w:rPr>
                <w:color w:val="000000"/>
                <w:sz w:val="16"/>
                <w:szCs w:val="16"/>
              </w:rPr>
              <w:t>000 per shoot)</w:t>
            </w:r>
          </w:p>
        </w:tc>
        <w:tc>
          <w:tcPr>
            <w:tcW w:w="576" w:type="dxa"/>
            <w:tcBorders>
              <w:top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1494" w:type="dxa"/>
            <w:gridSpan w:val="2"/>
            <w:tcBorders>
              <w:top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Seeds by wind and water, rhizomes by water</w:t>
            </w:r>
          </w:p>
        </w:tc>
        <w:tc>
          <w:tcPr>
            <w:tcW w:w="1746" w:type="dxa"/>
            <w:tcBorders>
              <w:top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Seed dormancy, resilient rhizomes</w:t>
            </w:r>
          </w:p>
        </w:tc>
        <w:tc>
          <w:tcPr>
            <w:tcW w:w="2304" w:type="dxa"/>
            <w:tcBorders>
              <w:top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Extremely wide, grow in a wide range of soils, habitats, and climates</w:t>
            </w:r>
          </w:p>
        </w:tc>
        <w:tc>
          <w:tcPr>
            <w:tcW w:w="2430" w:type="dxa"/>
            <w:tcBorders>
              <w:top w:val="double" w:sz="4" w:space="0" w:color="auto"/>
            </w:tcBorders>
            <w:shd w:val="clear" w:color="auto" w:fill="FFFFFF"/>
          </w:tcPr>
          <w:p w:rsidR="006012BE" w:rsidRPr="003C7BCC" w:rsidRDefault="00DA4DD8" w:rsidP="003C7BCC">
            <w:pPr>
              <w:autoSpaceDE w:val="0"/>
              <w:spacing w:after="0"/>
              <w:ind w:left="252" w:hanging="252"/>
              <w:rPr>
                <w:color w:val="000000"/>
                <w:sz w:val="16"/>
                <w:szCs w:val="16"/>
              </w:rPr>
            </w:pPr>
            <w:r w:rsidRPr="003C7BCC">
              <w:rPr>
                <w:color w:val="000000"/>
                <w:sz w:val="16"/>
                <w:szCs w:val="16"/>
              </w:rPr>
              <w:t>Drought, prolonged periods of frost, length of growing season (flower late in summer)</w:t>
            </w:r>
          </w:p>
        </w:tc>
      </w:tr>
    </w:tbl>
    <w:p w:rsidR="003C7BCC" w:rsidRDefault="003C7BCC"/>
    <w:p w:rsidR="003C7BCC" w:rsidRDefault="003C7BCC" w:rsidP="003C7BCC">
      <w:pPr>
        <w:sectPr w:rsidR="003C7BCC" w:rsidSect="00207CA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C7BCC" w:rsidRDefault="003C7BCC" w:rsidP="003C7BCC"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6" type="#_x0000_t75" alt="EC1012342Figure_S1.tif" style="position:absolute;margin-left:-2.25pt;margin-top:198pt;width:366pt;height:354pt;z-index:1;visibility:visible;mso-position-vertical-relative:page">
            <v:imagedata r:id="rId6" o:title="EC1012342Figure_S1"/>
            <w10:wrap type="topAndBottom" anchory="page"/>
          </v:shape>
        </w:pict>
      </w:r>
      <w:r>
        <w:rPr>
          <w:b/>
        </w:rPr>
        <w:t xml:space="preserve">Figure S1 </w:t>
      </w:r>
      <w:proofErr w:type="spellStart"/>
      <w:r w:rsidRPr="00207CA9">
        <w:rPr>
          <w:bCs/>
        </w:rPr>
        <w:t>Maxent</w:t>
      </w:r>
      <w:proofErr w:type="spellEnd"/>
      <w:r w:rsidRPr="00207CA9">
        <w:rPr>
          <w:bCs/>
        </w:rPr>
        <w:t xml:space="preserve"> response curves</w:t>
      </w:r>
      <w:r>
        <w:t xml:space="preserve"> showing t</w:t>
      </w:r>
      <w:r w:rsidRPr="002169DF">
        <w:t xml:space="preserve">he functional relationships between predictor variables and species presence/study-area background points for </w:t>
      </w:r>
      <w:r w:rsidRPr="002169DF">
        <w:rPr>
          <w:i/>
        </w:rPr>
        <w:t xml:space="preserve">Helianthus </w:t>
      </w:r>
      <w:proofErr w:type="spellStart"/>
      <w:r w:rsidRPr="002169DF">
        <w:rPr>
          <w:i/>
        </w:rPr>
        <w:t>tuberosus</w:t>
      </w:r>
      <w:proofErr w:type="spellEnd"/>
      <w:r>
        <w:t xml:space="preserve"> L., as defined by the maximum entropy algorithm. The response curves are similar for the other</w:t>
      </w:r>
      <w:r w:rsidRPr="002169DF">
        <w:t xml:space="preserve"> </w:t>
      </w:r>
      <w:r>
        <w:t xml:space="preserve">eight </w:t>
      </w:r>
      <w:r w:rsidRPr="002169DF">
        <w:t>invasive plant species</w:t>
      </w:r>
      <w:r>
        <w:t xml:space="preserve">/genera studied. </w:t>
      </w:r>
      <w:proofErr w:type="spellStart"/>
      <w:r w:rsidRPr="00961116">
        <w:t>Maxtwarm</w:t>
      </w:r>
      <w:proofErr w:type="spellEnd"/>
      <w:r w:rsidRPr="00961116">
        <w:t xml:space="preserve"> </w:t>
      </w:r>
      <w:r>
        <w:t>=</w:t>
      </w:r>
      <w:r w:rsidRPr="00961116">
        <w:t xml:space="preserve"> 40-year average maximum temperature (°C</w:t>
      </w:r>
      <w:r>
        <w:t xml:space="preserve"> × 10</w:t>
      </w:r>
      <w:r w:rsidRPr="00961116">
        <w:t xml:space="preserve">) of the warmest month; </w:t>
      </w:r>
      <w:proofErr w:type="spellStart"/>
      <w:r w:rsidRPr="00961116">
        <w:t>mintcold</w:t>
      </w:r>
      <w:proofErr w:type="spellEnd"/>
      <w:r w:rsidRPr="00961116">
        <w:t xml:space="preserve"> </w:t>
      </w:r>
      <w:r>
        <w:t>=</w:t>
      </w:r>
      <w:r w:rsidRPr="00961116">
        <w:t xml:space="preserve"> 40-year average minimum temperature (°C</w:t>
      </w:r>
      <w:r>
        <w:t xml:space="preserve"> × 10</w:t>
      </w:r>
      <w:r w:rsidRPr="00961116">
        <w:t xml:space="preserve">) </w:t>
      </w:r>
      <w:r>
        <w:t xml:space="preserve">of the coldest month; </w:t>
      </w:r>
      <w:proofErr w:type="spellStart"/>
      <w:r>
        <w:t>s_</w:t>
      </w:r>
      <w:r w:rsidRPr="00961116">
        <w:t>dist_sett_r</w:t>
      </w:r>
      <w:proofErr w:type="spellEnd"/>
      <w:r w:rsidRPr="00961116">
        <w:t xml:space="preserve"> </w:t>
      </w:r>
      <w:r>
        <w:t>=</w:t>
      </w:r>
      <w:r w:rsidRPr="00961116">
        <w:t xml:space="preserve"> proximity (m) to roads and settleme</w:t>
      </w:r>
      <w:r>
        <w:t xml:space="preserve">nts; </w:t>
      </w:r>
      <w:proofErr w:type="spellStart"/>
      <w:r>
        <w:t>s_</w:t>
      </w:r>
      <w:r w:rsidRPr="00961116">
        <w:t>dist_water</w:t>
      </w:r>
      <w:proofErr w:type="spellEnd"/>
      <w:r>
        <w:t xml:space="preserve"> =</w:t>
      </w:r>
      <w:r w:rsidRPr="00961116">
        <w:t xml:space="preserve"> proximity (m) to water bodies; slope</w:t>
      </w:r>
      <w:r>
        <w:t xml:space="preserve"> =</w:t>
      </w:r>
      <w:r w:rsidRPr="00961116">
        <w:t xml:space="preserve"> slope (°)</w:t>
      </w:r>
      <w:r>
        <w:t>; sat</w:t>
      </w:r>
      <w:r w:rsidRPr="00961116">
        <w:t xml:space="preserve"> </w:t>
      </w:r>
      <w:r>
        <w:t>=</w:t>
      </w:r>
      <w:r w:rsidRPr="00961116">
        <w:t xml:space="preserve"> </w:t>
      </w:r>
      <w:r>
        <w:t>annual</w:t>
      </w:r>
      <w:r w:rsidRPr="00961116">
        <w:t xml:space="preserve"> sum of daily average active temperatures (°C) </w:t>
      </w:r>
      <w:r>
        <w:t>&gt;</w:t>
      </w:r>
      <w:r w:rsidRPr="00961116">
        <w:t xml:space="preserve"> 10°C.</w:t>
      </w:r>
      <w:r>
        <w:t xml:space="preserve"> </w:t>
      </w:r>
      <w:r>
        <w:rPr>
          <w:szCs w:val="20"/>
        </w:rPr>
        <w:t xml:space="preserve">The red line represents </w:t>
      </w:r>
      <w:r w:rsidRPr="00961116">
        <w:rPr>
          <w:szCs w:val="20"/>
        </w:rPr>
        <w:t>the response cu</w:t>
      </w:r>
      <w:r>
        <w:rPr>
          <w:szCs w:val="20"/>
        </w:rPr>
        <w:t>rve fitted on all presence data;</w:t>
      </w:r>
      <w:r w:rsidRPr="00961116">
        <w:rPr>
          <w:szCs w:val="20"/>
        </w:rPr>
        <w:t xml:space="preserve"> </w:t>
      </w:r>
      <w:r>
        <w:rPr>
          <w:szCs w:val="20"/>
        </w:rPr>
        <w:t>the b</w:t>
      </w:r>
      <w:r w:rsidRPr="00961116">
        <w:rPr>
          <w:szCs w:val="20"/>
        </w:rPr>
        <w:t xml:space="preserve">lue </w:t>
      </w:r>
      <w:r>
        <w:rPr>
          <w:szCs w:val="20"/>
        </w:rPr>
        <w:t>line indicates</w:t>
      </w:r>
      <w:r w:rsidRPr="00961116">
        <w:rPr>
          <w:szCs w:val="20"/>
        </w:rPr>
        <w:t xml:space="preserve"> the variation induced by fitting a curve at</w:t>
      </w:r>
      <w:r>
        <w:rPr>
          <w:szCs w:val="20"/>
        </w:rPr>
        <w:t xml:space="preserve"> each step of a</w:t>
      </w:r>
      <w:r w:rsidRPr="00961116">
        <w:rPr>
          <w:szCs w:val="20"/>
        </w:rPr>
        <w:t xml:space="preserve"> </w:t>
      </w:r>
      <w:r>
        <w:rPr>
          <w:szCs w:val="20"/>
        </w:rPr>
        <w:t>five</w:t>
      </w:r>
      <w:r w:rsidRPr="00961116">
        <w:rPr>
          <w:szCs w:val="20"/>
        </w:rPr>
        <w:t>-</w:t>
      </w:r>
      <w:r>
        <w:rPr>
          <w:szCs w:val="20"/>
        </w:rPr>
        <w:t>fold cross-validation</w:t>
      </w:r>
      <w:r>
        <w:rPr>
          <w:szCs w:val="20"/>
        </w:rPr>
        <w:t>.</w:t>
      </w:r>
      <w:r>
        <w:rPr>
          <w:szCs w:val="20"/>
        </w:rPr>
        <w:t xml:space="preserve"> </w:t>
      </w:r>
      <w:r>
        <w:br/>
      </w:r>
    </w:p>
    <w:p w:rsidR="006273E9" w:rsidRDefault="006273E9"/>
    <w:sectPr w:rsidR="006273E9" w:rsidSect="003C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96E" w:rsidRDefault="00E3796E" w:rsidP="0068541A">
      <w:pPr>
        <w:spacing w:after="0"/>
      </w:pPr>
      <w:r>
        <w:separator/>
      </w:r>
    </w:p>
  </w:endnote>
  <w:endnote w:type="continuationSeparator" w:id="0">
    <w:p w:rsidR="00E3796E" w:rsidRDefault="00E3796E" w:rsidP="0068541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96E" w:rsidRDefault="00E3796E" w:rsidP="0068541A">
      <w:pPr>
        <w:spacing w:after="0"/>
      </w:pPr>
      <w:r>
        <w:separator/>
      </w:r>
    </w:p>
  </w:footnote>
  <w:footnote w:type="continuationSeparator" w:id="0">
    <w:p w:rsidR="00E3796E" w:rsidRDefault="00E3796E" w:rsidP="0068541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116"/>
    <w:rsid w:val="000871B7"/>
    <w:rsid w:val="00102588"/>
    <w:rsid w:val="001C23D7"/>
    <w:rsid w:val="001E6FB0"/>
    <w:rsid w:val="00207CA9"/>
    <w:rsid w:val="002169DF"/>
    <w:rsid w:val="0022540C"/>
    <w:rsid w:val="002E4649"/>
    <w:rsid w:val="00320662"/>
    <w:rsid w:val="003C7BCC"/>
    <w:rsid w:val="004E5599"/>
    <w:rsid w:val="00541063"/>
    <w:rsid w:val="006012BE"/>
    <w:rsid w:val="006273E9"/>
    <w:rsid w:val="0066689E"/>
    <w:rsid w:val="0068541A"/>
    <w:rsid w:val="00791C6E"/>
    <w:rsid w:val="00842B7D"/>
    <w:rsid w:val="00961116"/>
    <w:rsid w:val="00A5104F"/>
    <w:rsid w:val="00BD2096"/>
    <w:rsid w:val="00C26235"/>
    <w:rsid w:val="00CA605D"/>
    <w:rsid w:val="00CB2111"/>
    <w:rsid w:val="00CD38C5"/>
    <w:rsid w:val="00CF64C6"/>
    <w:rsid w:val="00D06C1A"/>
    <w:rsid w:val="00DA4DD8"/>
    <w:rsid w:val="00E3796E"/>
    <w:rsid w:val="00EC44DC"/>
    <w:rsid w:val="00F53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116"/>
    <w:pPr>
      <w:spacing w:after="200"/>
    </w:pPr>
    <w:rPr>
      <w:sz w:val="24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1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1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541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8541A"/>
    <w:rPr>
      <w:rFonts w:cs="Times New Roman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68541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541A"/>
    <w:rPr>
      <w:rFonts w:cs="Times New Roman"/>
      <w:sz w:val="22"/>
      <w:szCs w:val="22"/>
      <w:lang w:val="en-US" w:eastAsia="en-US" w:bidi="ar-SA"/>
    </w:rPr>
  </w:style>
  <w:style w:type="paragraph" w:customStyle="1" w:styleId="TableContents">
    <w:name w:val="Table Contents"/>
    <w:basedOn w:val="Normal"/>
    <w:rsid w:val="006012BE"/>
    <w:pPr>
      <w:suppressLineNumbers/>
      <w:suppressAutoHyphens/>
      <w:spacing w:after="0"/>
    </w:pPr>
    <w:rPr>
      <w:szCs w:val="24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6012BE"/>
    <w:pPr>
      <w:suppressAutoHyphens/>
    </w:pPr>
    <w:rPr>
      <w:b/>
      <w:bCs/>
      <w:color w:val="4F81BD"/>
      <w:sz w:val="18"/>
      <w:szCs w:val="1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07CA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C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07CA9"/>
    <w:rPr>
      <w:rFonts w:cs="Times New Roman"/>
      <w:sz w:val="20"/>
      <w:szCs w:val="20"/>
      <w:lang w:val="en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C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07C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Gillian Wilson</cp:lastModifiedBy>
  <cp:revision>2</cp:revision>
  <dcterms:created xsi:type="dcterms:W3CDTF">2012-09-06T11:41:00Z</dcterms:created>
  <dcterms:modified xsi:type="dcterms:W3CDTF">2012-09-06T11:41:00Z</dcterms:modified>
</cp:coreProperties>
</file>