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2B" w:rsidRPr="00A24AD4" w:rsidRDefault="00952D2B" w:rsidP="00952D2B">
      <w:pPr>
        <w:spacing w:line="480" w:lineRule="auto"/>
        <w:jc w:val="center"/>
        <w:rPr>
          <w:b/>
          <w:lang w:val="en-GB"/>
        </w:rPr>
      </w:pPr>
      <w:r w:rsidRPr="00A24AD4">
        <w:rPr>
          <w:b/>
          <w:lang w:val="en-GB"/>
        </w:rPr>
        <w:t>Evaluation and resilience of ecotourism in the Annapurna Conservation Area, Nepal</w:t>
      </w:r>
    </w:p>
    <w:p w:rsidR="00952D2B" w:rsidRDefault="00952D2B" w:rsidP="00952D2B">
      <w:pPr>
        <w:jc w:val="center"/>
        <w:rPr>
          <w:b/>
        </w:rPr>
      </w:pPr>
      <w:r w:rsidRPr="00A24AD4">
        <w:rPr>
          <w:sz w:val="22"/>
          <w:szCs w:val="22"/>
          <w:lang w:val="en-GB"/>
        </w:rPr>
        <w:t>NABIN BARAL</w:t>
      </w:r>
    </w:p>
    <w:p w:rsidR="00952D2B" w:rsidRDefault="00952D2B" w:rsidP="002D6FC5">
      <w:pPr>
        <w:rPr>
          <w:b/>
        </w:rPr>
      </w:pPr>
    </w:p>
    <w:p w:rsidR="00952D2B" w:rsidRDefault="00952D2B" w:rsidP="002D6FC5">
      <w:r w:rsidRPr="007E2AE3">
        <w:rPr>
          <w:b/>
        </w:rPr>
        <w:t>APPENDIX 1</w:t>
      </w:r>
    </w:p>
    <w:p w:rsidR="00952D2B" w:rsidRDefault="00952D2B" w:rsidP="002D6FC5"/>
    <w:p w:rsidR="00952D2B" w:rsidRDefault="00952D2B" w:rsidP="00952D2B">
      <w:pPr>
        <w:spacing w:line="480" w:lineRule="auto"/>
        <w:rPr>
          <w:sz w:val="22"/>
          <w:szCs w:val="22"/>
        </w:rPr>
      </w:pPr>
    </w:p>
    <w:p w:rsidR="003E2FBE" w:rsidRPr="00952D2B" w:rsidRDefault="007E2334" w:rsidP="00952D2B">
      <w:pPr>
        <w:spacing w:line="480" w:lineRule="auto"/>
        <w:rPr>
          <w:b/>
          <w:sz w:val="22"/>
          <w:szCs w:val="22"/>
        </w:rPr>
      </w:pPr>
      <w:r w:rsidRPr="00952D2B">
        <w:rPr>
          <w:b/>
          <w:sz w:val="22"/>
          <w:szCs w:val="22"/>
        </w:rPr>
        <w:t xml:space="preserve">A summary of statistical processes </w:t>
      </w:r>
      <w:r w:rsidR="002A4959" w:rsidRPr="00952D2B">
        <w:rPr>
          <w:b/>
          <w:sz w:val="22"/>
          <w:szCs w:val="22"/>
        </w:rPr>
        <w:t>to forecast the number of visitors in a hypothetical scenario of no insurgency</w:t>
      </w:r>
    </w:p>
    <w:p w:rsidR="00952D2B" w:rsidRDefault="00952D2B" w:rsidP="00952D2B">
      <w:pPr>
        <w:spacing w:line="480" w:lineRule="auto"/>
        <w:rPr>
          <w:sz w:val="22"/>
          <w:szCs w:val="22"/>
        </w:rPr>
      </w:pPr>
    </w:p>
    <w:p w:rsidR="00D92A01" w:rsidRPr="00952D2B" w:rsidRDefault="00506108" w:rsidP="00952D2B">
      <w:pPr>
        <w:spacing w:line="480" w:lineRule="auto"/>
        <w:rPr>
          <w:sz w:val="22"/>
          <w:szCs w:val="22"/>
        </w:rPr>
      </w:pPr>
      <w:r w:rsidRPr="00952D2B">
        <w:rPr>
          <w:sz w:val="22"/>
          <w:szCs w:val="22"/>
        </w:rPr>
        <w:t xml:space="preserve">In this study, a </w:t>
      </w:r>
      <w:r w:rsidR="006755FB" w:rsidRPr="00952D2B">
        <w:rPr>
          <w:sz w:val="22"/>
          <w:szCs w:val="22"/>
        </w:rPr>
        <w:t xml:space="preserve">time series contains </w:t>
      </w:r>
      <w:r w:rsidR="000955B9">
        <w:rPr>
          <w:sz w:val="22"/>
          <w:szCs w:val="22"/>
        </w:rPr>
        <w:t>annual</w:t>
      </w:r>
      <w:r w:rsidR="003E2FBE" w:rsidRPr="00952D2B">
        <w:rPr>
          <w:sz w:val="22"/>
          <w:szCs w:val="22"/>
        </w:rPr>
        <w:t xml:space="preserve"> data of visitor numbers for 23 years. During the exploratory data analysis, a trend in the mean</w:t>
      </w:r>
      <w:r w:rsidR="00D92A01" w:rsidRPr="00952D2B">
        <w:rPr>
          <w:sz w:val="22"/>
          <w:szCs w:val="22"/>
        </w:rPr>
        <w:t xml:space="preserve"> and two structural breaks in the data</w:t>
      </w:r>
      <w:r w:rsidRPr="00952D2B">
        <w:rPr>
          <w:sz w:val="22"/>
          <w:szCs w:val="22"/>
        </w:rPr>
        <w:t>set</w:t>
      </w:r>
      <w:r w:rsidR="006E27E9" w:rsidRPr="00952D2B">
        <w:rPr>
          <w:sz w:val="22"/>
          <w:szCs w:val="22"/>
        </w:rPr>
        <w:t xml:space="preserve"> were found</w:t>
      </w:r>
      <w:r w:rsidR="003E2FBE" w:rsidRPr="00952D2B">
        <w:rPr>
          <w:sz w:val="22"/>
          <w:szCs w:val="22"/>
        </w:rPr>
        <w:t>.</w:t>
      </w:r>
      <w:r w:rsidR="00D92A01" w:rsidRPr="00952D2B">
        <w:rPr>
          <w:sz w:val="22"/>
          <w:szCs w:val="22"/>
        </w:rPr>
        <w:t xml:space="preserve"> These issues should be addressed while </w:t>
      </w:r>
      <w:proofErr w:type="spellStart"/>
      <w:r w:rsidR="000955B9">
        <w:rPr>
          <w:sz w:val="22"/>
          <w:szCs w:val="22"/>
        </w:rPr>
        <w:t>modell</w:t>
      </w:r>
      <w:r w:rsidR="00D92A01" w:rsidRPr="00952D2B">
        <w:rPr>
          <w:sz w:val="22"/>
          <w:szCs w:val="22"/>
        </w:rPr>
        <w:t>ing</w:t>
      </w:r>
      <w:proofErr w:type="spellEnd"/>
      <w:r w:rsidR="00D92A01" w:rsidRPr="00952D2B">
        <w:rPr>
          <w:sz w:val="22"/>
          <w:szCs w:val="22"/>
        </w:rPr>
        <w:t xml:space="preserve"> this dataset.</w:t>
      </w:r>
      <w:r w:rsidR="003E2FBE" w:rsidRPr="00952D2B">
        <w:rPr>
          <w:sz w:val="22"/>
          <w:szCs w:val="22"/>
        </w:rPr>
        <w:t xml:space="preserve"> </w:t>
      </w:r>
    </w:p>
    <w:p w:rsidR="00D92A01" w:rsidRPr="00952D2B" w:rsidRDefault="00506108" w:rsidP="00952D2B">
      <w:pPr>
        <w:spacing w:line="480" w:lineRule="auto"/>
        <w:ind w:firstLine="720"/>
        <w:rPr>
          <w:sz w:val="22"/>
          <w:szCs w:val="22"/>
        </w:rPr>
      </w:pPr>
      <w:r w:rsidRPr="00952D2B">
        <w:rPr>
          <w:sz w:val="22"/>
          <w:szCs w:val="22"/>
        </w:rPr>
        <w:t>Here</w:t>
      </w:r>
      <w:r w:rsidR="006755FB" w:rsidRPr="00952D2B">
        <w:rPr>
          <w:sz w:val="22"/>
          <w:szCs w:val="22"/>
        </w:rPr>
        <w:t>,</w:t>
      </w:r>
      <w:r w:rsidRPr="00952D2B">
        <w:rPr>
          <w:sz w:val="22"/>
          <w:szCs w:val="22"/>
        </w:rPr>
        <w:t xml:space="preserve"> a</w:t>
      </w:r>
      <w:r w:rsidR="006755FB" w:rsidRPr="00952D2B">
        <w:rPr>
          <w:sz w:val="22"/>
          <w:szCs w:val="22"/>
        </w:rPr>
        <w:t xml:space="preserve"> t</w:t>
      </w:r>
      <w:r w:rsidR="003E2FBE" w:rsidRPr="00952D2B">
        <w:rPr>
          <w:sz w:val="22"/>
          <w:szCs w:val="22"/>
        </w:rPr>
        <w:t xml:space="preserve">rend is a slow, gradual change in </w:t>
      </w:r>
      <w:r w:rsidR="006755FB" w:rsidRPr="00952D2B">
        <w:rPr>
          <w:sz w:val="22"/>
          <w:szCs w:val="22"/>
        </w:rPr>
        <w:t xml:space="preserve">the mean </w:t>
      </w:r>
      <w:r w:rsidR="003E2FBE" w:rsidRPr="00952D2B">
        <w:rPr>
          <w:sz w:val="22"/>
          <w:szCs w:val="22"/>
        </w:rPr>
        <w:t xml:space="preserve">over the whole interval under </w:t>
      </w:r>
      <w:proofErr w:type="gramStart"/>
      <w:r w:rsidR="003E2FBE" w:rsidRPr="00952D2B">
        <w:rPr>
          <w:sz w:val="22"/>
          <w:szCs w:val="22"/>
        </w:rPr>
        <w:t>investigation</w:t>
      </w:r>
      <w:proofErr w:type="gramEnd"/>
      <w:r w:rsidR="003E2FBE" w:rsidRPr="00952D2B">
        <w:rPr>
          <w:sz w:val="22"/>
          <w:szCs w:val="22"/>
        </w:rPr>
        <w:t xml:space="preserve">. While </w:t>
      </w:r>
      <w:proofErr w:type="spellStart"/>
      <w:r w:rsidR="000955B9">
        <w:rPr>
          <w:sz w:val="22"/>
          <w:szCs w:val="22"/>
        </w:rPr>
        <w:t>modell</w:t>
      </w:r>
      <w:r w:rsidR="003E2FBE" w:rsidRPr="00952D2B">
        <w:rPr>
          <w:sz w:val="22"/>
          <w:szCs w:val="22"/>
        </w:rPr>
        <w:t>ing</w:t>
      </w:r>
      <w:proofErr w:type="spellEnd"/>
      <w:r w:rsidR="003E2FBE" w:rsidRPr="00952D2B">
        <w:rPr>
          <w:sz w:val="22"/>
          <w:szCs w:val="22"/>
        </w:rPr>
        <w:t xml:space="preserve"> a time series, the data should be </w:t>
      </w:r>
      <w:proofErr w:type="spellStart"/>
      <w:r w:rsidR="003E2FBE" w:rsidRPr="00952D2B">
        <w:rPr>
          <w:sz w:val="22"/>
          <w:szCs w:val="22"/>
        </w:rPr>
        <w:t>detrended</w:t>
      </w:r>
      <w:proofErr w:type="spellEnd"/>
      <w:r w:rsidR="003E2FBE" w:rsidRPr="00952D2B">
        <w:rPr>
          <w:sz w:val="22"/>
          <w:szCs w:val="22"/>
        </w:rPr>
        <w:t xml:space="preserve"> at first if there</w:t>
      </w:r>
      <w:r w:rsidRPr="00952D2B">
        <w:rPr>
          <w:sz w:val="22"/>
          <w:szCs w:val="22"/>
        </w:rPr>
        <w:t xml:space="preserve"> are</w:t>
      </w:r>
      <w:r w:rsidR="003E2FBE" w:rsidRPr="00952D2B">
        <w:rPr>
          <w:sz w:val="22"/>
          <w:szCs w:val="22"/>
        </w:rPr>
        <w:t xml:space="preserve"> any trends, which is simply a statistical operation of removing the trend from the series. A major reason for </w:t>
      </w:r>
      <w:proofErr w:type="spellStart"/>
      <w:r w:rsidR="003E2FBE" w:rsidRPr="00952D2B">
        <w:rPr>
          <w:sz w:val="22"/>
          <w:szCs w:val="22"/>
        </w:rPr>
        <w:t>detren</w:t>
      </w:r>
      <w:r w:rsidR="00C57CF1" w:rsidRPr="00952D2B">
        <w:rPr>
          <w:sz w:val="22"/>
          <w:szCs w:val="22"/>
        </w:rPr>
        <w:t>d</w:t>
      </w:r>
      <w:r w:rsidR="003E2FBE" w:rsidRPr="00952D2B">
        <w:rPr>
          <w:sz w:val="22"/>
          <w:szCs w:val="22"/>
        </w:rPr>
        <w:t>ing</w:t>
      </w:r>
      <w:proofErr w:type="spellEnd"/>
      <w:r w:rsidR="003E2FBE" w:rsidRPr="00952D2B">
        <w:rPr>
          <w:sz w:val="22"/>
          <w:szCs w:val="22"/>
        </w:rPr>
        <w:t xml:space="preserve"> is to remove a feature th</w:t>
      </w:r>
      <w:r w:rsidR="00F82681" w:rsidRPr="00952D2B">
        <w:rPr>
          <w:sz w:val="22"/>
          <w:szCs w:val="22"/>
        </w:rPr>
        <w:t>at is th</w:t>
      </w:r>
      <w:r w:rsidR="003E2FBE" w:rsidRPr="00952D2B">
        <w:rPr>
          <w:sz w:val="22"/>
          <w:szCs w:val="22"/>
        </w:rPr>
        <w:t xml:space="preserve">ought to distort or obscure the relationships of interest. There are several ways of </w:t>
      </w:r>
      <w:proofErr w:type="spellStart"/>
      <w:r w:rsidR="003E2FBE" w:rsidRPr="00952D2B">
        <w:rPr>
          <w:sz w:val="22"/>
          <w:szCs w:val="22"/>
        </w:rPr>
        <w:t>detrending</w:t>
      </w:r>
      <w:proofErr w:type="spellEnd"/>
      <w:r w:rsidR="003E2FBE" w:rsidRPr="00952D2B">
        <w:rPr>
          <w:sz w:val="22"/>
          <w:szCs w:val="22"/>
        </w:rPr>
        <w:t xml:space="preserve"> the series. </w:t>
      </w:r>
      <w:r w:rsidR="00D92A01" w:rsidRPr="00952D2B">
        <w:rPr>
          <w:sz w:val="22"/>
          <w:szCs w:val="22"/>
        </w:rPr>
        <w:t xml:space="preserve">One simple way is to add a linear trend term to a regression model, which is essentially the same thing as using </w:t>
      </w:r>
      <w:r w:rsidR="006E27E9" w:rsidRPr="00952D2B">
        <w:rPr>
          <w:sz w:val="22"/>
          <w:szCs w:val="22"/>
        </w:rPr>
        <w:t xml:space="preserve">a </w:t>
      </w:r>
      <w:r w:rsidR="000048F3">
        <w:rPr>
          <w:sz w:val="22"/>
          <w:szCs w:val="22"/>
        </w:rPr>
        <w:t>‘</w:t>
      </w:r>
      <w:proofErr w:type="spellStart"/>
      <w:r w:rsidR="00D92A01" w:rsidRPr="00952D2B">
        <w:rPr>
          <w:sz w:val="22"/>
          <w:szCs w:val="22"/>
        </w:rPr>
        <w:t>detrended</w:t>
      </w:r>
      <w:proofErr w:type="spellEnd"/>
      <w:r w:rsidR="000048F3">
        <w:rPr>
          <w:sz w:val="22"/>
          <w:szCs w:val="22"/>
        </w:rPr>
        <w:t>’</w:t>
      </w:r>
      <w:r w:rsidR="00D92A01" w:rsidRPr="00952D2B">
        <w:rPr>
          <w:sz w:val="22"/>
          <w:szCs w:val="22"/>
        </w:rPr>
        <w:t xml:space="preserve"> series. Basically, the trend </w:t>
      </w:r>
      <w:r w:rsidR="006E27E9" w:rsidRPr="00952D2B">
        <w:rPr>
          <w:sz w:val="22"/>
          <w:szCs w:val="22"/>
        </w:rPr>
        <w:t xml:space="preserve">would be </w:t>
      </w:r>
      <w:proofErr w:type="spellStart"/>
      <w:r w:rsidR="00D92A01" w:rsidRPr="00952D2B">
        <w:rPr>
          <w:sz w:val="22"/>
          <w:szCs w:val="22"/>
        </w:rPr>
        <w:t>partialled</w:t>
      </w:r>
      <w:proofErr w:type="spellEnd"/>
      <w:r w:rsidR="00D92A01" w:rsidRPr="00952D2B">
        <w:rPr>
          <w:sz w:val="22"/>
          <w:szCs w:val="22"/>
        </w:rPr>
        <w:t xml:space="preserve"> out by adding the term.</w:t>
      </w:r>
    </w:p>
    <w:p w:rsidR="00502C1A" w:rsidRPr="00952D2B" w:rsidRDefault="00502C1A" w:rsidP="00952D2B">
      <w:pPr>
        <w:spacing w:line="480" w:lineRule="auto"/>
        <w:ind w:firstLine="720"/>
        <w:rPr>
          <w:sz w:val="22"/>
          <w:szCs w:val="22"/>
        </w:rPr>
      </w:pPr>
      <w:r w:rsidRPr="00952D2B">
        <w:rPr>
          <w:sz w:val="22"/>
          <w:szCs w:val="22"/>
        </w:rPr>
        <w:t>Structural breaks in the data</w:t>
      </w:r>
      <w:r w:rsidR="00506108" w:rsidRPr="00952D2B">
        <w:rPr>
          <w:sz w:val="22"/>
          <w:szCs w:val="22"/>
        </w:rPr>
        <w:t>set</w:t>
      </w:r>
      <w:r w:rsidRPr="00952D2B">
        <w:rPr>
          <w:sz w:val="22"/>
          <w:szCs w:val="22"/>
        </w:rPr>
        <w:t xml:space="preserve"> as well as substantive reasoning called for two dummies representing </w:t>
      </w:r>
      <w:r w:rsidR="00D92A01" w:rsidRPr="00952D2B">
        <w:rPr>
          <w:sz w:val="22"/>
          <w:szCs w:val="22"/>
        </w:rPr>
        <w:t xml:space="preserve">the </w:t>
      </w:r>
      <w:r w:rsidRPr="00952D2B">
        <w:rPr>
          <w:sz w:val="22"/>
          <w:szCs w:val="22"/>
        </w:rPr>
        <w:t>three</w:t>
      </w:r>
      <w:r w:rsidR="00D92A01" w:rsidRPr="00952D2B">
        <w:rPr>
          <w:sz w:val="22"/>
          <w:szCs w:val="22"/>
        </w:rPr>
        <w:t xml:space="preserve"> major</w:t>
      </w:r>
      <w:r w:rsidRPr="00952D2B">
        <w:rPr>
          <w:sz w:val="22"/>
          <w:szCs w:val="22"/>
        </w:rPr>
        <w:t xml:space="preserve"> time periods</w:t>
      </w:r>
      <w:r w:rsidR="00D92A01" w:rsidRPr="00952D2B">
        <w:rPr>
          <w:sz w:val="22"/>
          <w:szCs w:val="22"/>
        </w:rPr>
        <w:t xml:space="preserve"> in the study area</w:t>
      </w:r>
      <w:r w:rsidRPr="00952D2B">
        <w:rPr>
          <w:sz w:val="22"/>
          <w:szCs w:val="22"/>
        </w:rPr>
        <w:t>.</w:t>
      </w:r>
      <w:r w:rsidR="00D31AFA" w:rsidRPr="00952D2B">
        <w:rPr>
          <w:sz w:val="22"/>
          <w:szCs w:val="22"/>
        </w:rPr>
        <w:t xml:space="preserve"> </w:t>
      </w:r>
      <w:r w:rsidR="00D92A01" w:rsidRPr="00952D2B">
        <w:rPr>
          <w:sz w:val="22"/>
          <w:szCs w:val="22"/>
        </w:rPr>
        <w:t xml:space="preserve">Based on the intensity of the insurgency, the whole data series is divided into three periods. </w:t>
      </w:r>
      <w:r w:rsidR="00506108" w:rsidRPr="00952D2B">
        <w:rPr>
          <w:sz w:val="22"/>
          <w:szCs w:val="22"/>
        </w:rPr>
        <w:t>A base category was t</w:t>
      </w:r>
      <w:r w:rsidR="00D92A01" w:rsidRPr="00952D2B">
        <w:rPr>
          <w:sz w:val="22"/>
          <w:szCs w:val="22"/>
        </w:rPr>
        <w:t>he ‘a</w:t>
      </w:r>
      <w:r w:rsidR="00D31AFA" w:rsidRPr="00952D2B">
        <w:rPr>
          <w:sz w:val="22"/>
          <w:szCs w:val="22"/>
        </w:rPr>
        <w:t>fter the insurgency</w:t>
      </w:r>
      <w:r w:rsidR="00D92A01" w:rsidRPr="00952D2B">
        <w:rPr>
          <w:sz w:val="22"/>
          <w:szCs w:val="22"/>
        </w:rPr>
        <w:t>’</w:t>
      </w:r>
      <w:r w:rsidR="00D31AFA" w:rsidRPr="00952D2B">
        <w:rPr>
          <w:sz w:val="22"/>
          <w:szCs w:val="22"/>
        </w:rPr>
        <w:t xml:space="preserve"> period</w:t>
      </w:r>
      <w:r w:rsidR="00D92A01" w:rsidRPr="00952D2B">
        <w:rPr>
          <w:sz w:val="22"/>
          <w:szCs w:val="22"/>
        </w:rPr>
        <w:t>.</w:t>
      </w:r>
    </w:p>
    <w:p w:rsidR="00D92A01" w:rsidRPr="00952D2B" w:rsidRDefault="00D92A01" w:rsidP="00952D2B">
      <w:pPr>
        <w:spacing w:line="480" w:lineRule="auto"/>
        <w:ind w:firstLine="720"/>
        <w:rPr>
          <w:sz w:val="22"/>
          <w:szCs w:val="22"/>
        </w:rPr>
      </w:pPr>
      <w:r w:rsidRPr="00952D2B">
        <w:rPr>
          <w:sz w:val="22"/>
          <w:szCs w:val="22"/>
        </w:rPr>
        <w:t>To model the yearly number of visitors, the following regression equation was estimated at first:</w:t>
      </w:r>
    </w:p>
    <w:p w:rsidR="00D92A01" w:rsidRPr="00952D2B" w:rsidRDefault="00D92A01" w:rsidP="00952D2B">
      <w:pPr>
        <w:spacing w:line="480" w:lineRule="auto"/>
        <w:ind w:firstLine="720"/>
        <w:rPr>
          <w:sz w:val="22"/>
          <w:szCs w:val="22"/>
        </w:rPr>
      </w:pPr>
      <w:proofErr w:type="spellStart"/>
      <w:proofErr w:type="gramStart"/>
      <w:r w:rsidRPr="00952D2B">
        <w:rPr>
          <w:i/>
          <w:sz w:val="22"/>
          <w:szCs w:val="22"/>
        </w:rPr>
        <w:t>Y</w:t>
      </w:r>
      <w:r w:rsidRPr="00952D2B">
        <w:rPr>
          <w:i/>
          <w:sz w:val="22"/>
          <w:szCs w:val="22"/>
          <w:vertAlign w:val="subscript"/>
        </w:rPr>
        <w:t>t</w:t>
      </w:r>
      <w:proofErr w:type="spellEnd"/>
      <w:proofErr w:type="gramEnd"/>
      <w:r w:rsidRPr="00952D2B">
        <w:rPr>
          <w:i/>
          <w:sz w:val="22"/>
          <w:szCs w:val="22"/>
        </w:rPr>
        <w:t xml:space="preserve"> = b</w:t>
      </w:r>
      <w:r w:rsidRPr="00952D2B">
        <w:rPr>
          <w:i/>
          <w:sz w:val="22"/>
          <w:szCs w:val="22"/>
          <w:vertAlign w:val="subscript"/>
        </w:rPr>
        <w:t>0</w:t>
      </w:r>
      <w:r w:rsidRPr="00952D2B">
        <w:rPr>
          <w:i/>
          <w:sz w:val="22"/>
          <w:szCs w:val="22"/>
        </w:rPr>
        <w:t xml:space="preserve"> + b</w:t>
      </w:r>
      <w:r w:rsidRPr="00952D2B">
        <w:rPr>
          <w:i/>
          <w:sz w:val="22"/>
          <w:szCs w:val="22"/>
          <w:vertAlign w:val="subscript"/>
        </w:rPr>
        <w:t>1</w:t>
      </w:r>
      <w:r w:rsidRPr="00952D2B">
        <w:rPr>
          <w:i/>
          <w:sz w:val="22"/>
          <w:szCs w:val="22"/>
        </w:rPr>
        <w:t xml:space="preserve"> Y</w:t>
      </w:r>
      <w:r w:rsidRPr="00952D2B">
        <w:rPr>
          <w:i/>
          <w:sz w:val="22"/>
          <w:szCs w:val="22"/>
          <w:vertAlign w:val="subscript"/>
        </w:rPr>
        <w:t xml:space="preserve">t-1 </w:t>
      </w:r>
      <w:r w:rsidRPr="00952D2B">
        <w:rPr>
          <w:i/>
          <w:sz w:val="22"/>
          <w:szCs w:val="22"/>
        </w:rPr>
        <w:t>+ b</w:t>
      </w:r>
      <w:r w:rsidRPr="00952D2B">
        <w:rPr>
          <w:i/>
          <w:sz w:val="22"/>
          <w:szCs w:val="22"/>
          <w:vertAlign w:val="subscript"/>
        </w:rPr>
        <w:t>2</w:t>
      </w:r>
      <w:r w:rsidR="00A61652" w:rsidRPr="00952D2B">
        <w:rPr>
          <w:i/>
          <w:sz w:val="22"/>
          <w:szCs w:val="22"/>
        </w:rPr>
        <w:t xml:space="preserve"> t</w:t>
      </w:r>
      <w:r w:rsidRPr="00952D2B">
        <w:rPr>
          <w:i/>
          <w:sz w:val="22"/>
          <w:szCs w:val="22"/>
        </w:rPr>
        <w:t xml:space="preserve"> + b</w:t>
      </w:r>
      <w:r w:rsidRPr="00952D2B">
        <w:rPr>
          <w:i/>
          <w:sz w:val="22"/>
          <w:szCs w:val="22"/>
          <w:vertAlign w:val="subscript"/>
        </w:rPr>
        <w:t>3</w:t>
      </w:r>
      <w:r w:rsidRPr="00952D2B">
        <w:rPr>
          <w:i/>
          <w:sz w:val="22"/>
          <w:szCs w:val="22"/>
        </w:rPr>
        <w:t xml:space="preserve"> D1</w:t>
      </w:r>
      <w:r w:rsidR="00A61652" w:rsidRPr="00952D2B">
        <w:rPr>
          <w:i/>
          <w:sz w:val="22"/>
          <w:szCs w:val="22"/>
          <w:vertAlign w:val="subscript"/>
        </w:rPr>
        <w:t>t</w:t>
      </w:r>
      <w:r w:rsidRPr="00952D2B">
        <w:rPr>
          <w:i/>
          <w:sz w:val="22"/>
          <w:szCs w:val="22"/>
        </w:rPr>
        <w:t xml:space="preserve"> + b</w:t>
      </w:r>
      <w:r w:rsidRPr="00952D2B">
        <w:rPr>
          <w:i/>
          <w:sz w:val="22"/>
          <w:szCs w:val="22"/>
          <w:vertAlign w:val="subscript"/>
        </w:rPr>
        <w:t>4</w:t>
      </w:r>
      <w:r w:rsidRPr="00952D2B">
        <w:rPr>
          <w:i/>
          <w:sz w:val="22"/>
          <w:szCs w:val="22"/>
        </w:rPr>
        <w:t xml:space="preserve"> D2</w:t>
      </w:r>
      <w:r w:rsidR="00A61652" w:rsidRPr="00952D2B">
        <w:rPr>
          <w:i/>
          <w:sz w:val="22"/>
          <w:szCs w:val="22"/>
          <w:vertAlign w:val="subscript"/>
        </w:rPr>
        <w:t>t</w:t>
      </w:r>
      <w:r w:rsidRPr="00952D2B">
        <w:rPr>
          <w:i/>
          <w:sz w:val="22"/>
          <w:szCs w:val="22"/>
        </w:rPr>
        <w:t xml:space="preserve"> + </w:t>
      </w:r>
      <w:proofErr w:type="spellStart"/>
      <w:r w:rsidR="00A61652" w:rsidRPr="00952D2B">
        <w:rPr>
          <w:i/>
          <w:sz w:val="22"/>
          <w:szCs w:val="22"/>
        </w:rPr>
        <w:t>u</w:t>
      </w:r>
      <w:r w:rsidR="00A61652" w:rsidRPr="00952D2B">
        <w:rPr>
          <w:i/>
          <w:sz w:val="22"/>
          <w:szCs w:val="22"/>
          <w:vertAlign w:val="subscript"/>
        </w:rPr>
        <w:t>t</w:t>
      </w:r>
      <w:proofErr w:type="spellEnd"/>
      <w:r w:rsidRPr="00952D2B">
        <w:rPr>
          <w:i/>
          <w:sz w:val="22"/>
          <w:szCs w:val="22"/>
        </w:rPr>
        <w:t xml:space="preserve"> </w:t>
      </w:r>
      <w:r w:rsidR="00952D2B">
        <w:rPr>
          <w:sz w:val="22"/>
          <w:szCs w:val="22"/>
        </w:rPr>
        <w:tab/>
      </w:r>
      <w:r w:rsidR="00952D2B">
        <w:rPr>
          <w:sz w:val="22"/>
          <w:szCs w:val="22"/>
        </w:rPr>
        <w:tab/>
      </w:r>
      <w:r w:rsidR="00952D2B">
        <w:rPr>
          <w:sz w:val="22"/>
          <w:szCs w:val="22"/>
        </w:rPr>
        <w:tab/>
      </w:r>
      <w:r w:rsidR="00952D2B">
        <w:rPr>
          <w:sz w:val="22"/>
          <w:szCs w:val="22"/>
        </w:rPr>
        <w:tab/>
      </w:r>
      <w:r w:rsidR="00952D2B">
        <w:rPr>
          <w:sz w:val="22"/>
          <w:szCs w:val="22"/>
        </w:rPr>
        <w:tab/>
      </w:r>
      <w:r w:rsidRPr="00952D2B">
        <w:rPr>
          <w:sz w:val="22"/>
          <w:szCs w:val="22"/>
        </w:rPr>
        <w:t xml:space="preserve"> (1)</w:t>
      </w:r>
    </w:p>
    <w:p w:rsidR="00FE0D0A" w:rsidRPr="00952D2B" w:rsidRDefault="00FE0D0A" w:rsidP="00952D2B">
      <w:pPr>
        <w:spacing w:line="480" w:lineRule="auto"/>
        <w:rPr>
          <w:sz w:val="22"/>
          <w:szCs w:val="22"/>
        </w:rPr>
      </w:pPr>
    </w:p>
    <w:p w:rsidR="00D92A01" w:rsidRPr="00952D2B" w:rsidRDefault="00952D2B" w:rsidP="00952D2B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r w:rsidR="00D92A01" w:rsidRPr="00952D2B">
        <w:rPr>
          <w:sz w:val="22"/>
          <w:szCs w:val="22"/>
        </w:rPr>
        <w:t>here</w:t>
      </w:r>
      <w:proofErr w:type="gramEnd"/>
      <w:r w:rsidR="00D92A01" w:rsidRPr="00952D2B">
        <w:rPr>
          <w:sz w:val="22"/>
          <w:szCs w:val="22"/>
        </w:rPr>
        <w:t xml:space="preserve">, </w:t>
      </w:r>
      <w:proofErr w:type="spellStart"/>
      <w:r w:rsidR="00D92A01" w:rsidRPr="00952D2B">
        <w:rPr>
          <w:i/>
          <w:sz w:val="22"/>
          <w:szCs w:val="22"/>
        </w:rPr>
        <w:t>Y</w:t>
      </w:r>
      <w:r w:rsidR="00D92A01" w:rsidRPr="00952D2B">
        <w:rPr>
          <w:i/>
          <w:sz w:val="22"/>
          <w:szCs w:val="22"/>
          <w:vertAlign w:val="subscript"/>
        </w:rPr>
        <w:t>t</w:t>
      </w:r>
      <w:proofErr w:type="spellEnd"/>
      <w:r w:rsidR="00D92A01" w:rsidRPr="00952D2B">
        <w:rPr>
          <w:sz w:val="22"/>
          <w:szCs w:val="22"/>
        </w:rPr>
        <w:t xml:space="preserve"> = the number of visitors at time </w:t>
      </w:r>
      <w:r w:rsidR="00D92A01" w:rsidRPr="00952D2B">
        <w:rPr>
          <w:i/>
          <w:sz w:val="22"/>
          <w:szCs w:val="22"/>
        </w:rPr>
        <w:t>t</w:t>
      </w:r>
      <w:r w:rsidR="00D92A01" w:rsidRPr="00952D2B">
        <w:rPr>
          <w:sz w:val="22"/>
          <w:szCs w:val="22"/>
        </w:rPr>
        <w:t xml:space="preserve"> (</w:t>
      </w:r>
      <w:r w:rsidR="00D92A01" w:rsidRPr="00952D2B">
        <w:rPr>
          <w:i/>
          <w:sz w:val="22"/>
          <w:szCs w:val="22"/>
        </w:rPr>
        <w:t>t</w:t>
      </w:r>
      <w:r w:rsidR="00D92A01" w:rsidRPr="00952D2B">
        <w:rPr>
          <w:sz w:val="22"/>
          <w:szCs w:val="22"/>
        </w:rPr>
        <w:t xml:space="preserve"> </w:t>
      </w:r>
      <w:r w:rsidR="00EB2FDE" w:rsidRPr="00952D2B">
        <w:rPr>
          <w:sz w:val="22"/>
          <w:szCs w:val="22"/>
        </w:rPr>
        <w:t>-&gt;</w:t>
      </w:r>
      <w:r w:rsidR="00D92A01" w:rsidRPr="00952D2B">
        <w:rPr>
          <w:sz w:val="22"/>
          <w:szCs w:val="22"/>
        </w:rPr>
        <w:t xml:space="preserve"> …1989, …, 2010, …); </w:t>
      </w:r>
      <w:r w:rsidR="00A61652" w:rsidRPr="00952D2B">
        <w:rPr>
          <w:i/>
          <w:sz w:val="22"/>
          <w:szCs w:val="22"/>
        </w:rPr>
        <w:t>t</w:t>
      </w:r>
      <w:r w:rsidR="00D92A01" w:rsidRPr="00952D2B">
        <w:rPr>
          <w:sz w:val="22"/>
          <w:szCs w:val="22"/>
        </w:rPr>
        <w:t xml:space="preserve"> = year; </w:t>
      </w:r>
      <w:r w:rsidR="00D92A01" w:rsidRPr="00952D2B">
        <w:rPr>
          <w:i/>
          <w:sz w:val="22"/>
          <w:szCs w:val="22"/>
        </w:rPr>
        <w:t>D1</w:t>
      </w:r>
      <w:r w:rsidR="00A61652" w:rsidRPr="00952D2B">
        <w:rPr>
          <w:i/>
          <w:sz w:val="22"/>
          <w:szCs w:val="22"/>
          <w:vertAlign w:val="subscript"/>
        </w:rPr>
        <w:t>t</w:t>
      </w:r>
      <w:r w:rsidR="00D92A01" w:rsidRPr="00952D2B">
        <w:rPr>
          <w:sz w:val="22"/>
          <w:szCs w:val="22"/>
        </w:rPr>
        <w:t xml:space="preserve"> = a dummy representing before the insurgency period; and </w:t>
      </w:r>
      <w:r w:rsidR="00D92A01" w:rsidRPr="00952D2B">
        <w:rPr>
          <w:i/>
          <w:sz w:val="22"/>
          <w:szCs w:val="22"/>
        </w:rPr>
        <w:t>D2</w:t>
      </w:r>
      <w:r w:rsidR="00A61652" w:rsidRPr="00952D2B">
        <w:rPr>
          <w:i/>
          <w:sz w:val="22"/>
          <w:szCs w:val="22"/>
          <w:vertAlign w:val="subscript"/>
        </w:rPr>
        <w:t>t</w:t>
      </w:r>
      <w:r w:rsidR="00D92A01" w:rsidRPr="00952D2B">
        <w:rPr>
          <w:sz w:val="22"/>
          <w:szCs w:val="22"/>
        </w:rPr>
        <w:t xml:space="preserve"> = a dummy representing during the insurgency period.</w:t>
      </w:r>
    </w:p>
    <w:p w:rsidR="00F56731" w:rsidRPr="00952D2B" w:rsidRDefault="00F56731" w:rsidP="00952D2B">
      <w:pPr>
        <w:spacing w:line="480" w:lineRule="auto"/>
        <w:ind w:firstLine="720"/>
        <w:rPr>
          <w:sz w:val="22"/>
          <w:szCs w:val="22"/>
        </w:rPr>
      </w:pPr>
      <w:r w:rsidRPr="00952D2B">
        <w:rPr>
          <w:sz w:val="22"/>
          <w:szCs w:val="22"/>
        </w:rPr>
        <w:t xml:space="preserve">Once the model is built, it is critical to test whether the model is </w:t>
      </w:r>
      <w:proofErr w:type="spellStart"/>
      <w:r w:rsidRPr="00952D2B">
        <w:rPr>
          <w:sz w:val="22"/>
          <w:szCs w:val="22"/>
        </w:rPr>
        <w:t>misspecified</w:t>
      </w:r>
      <w:proofErr w:type="spellEnd"/>
      <w:r w:rsidRPr="00952D2B">
        <w:rPr>
          <w:sz w:val="22"/>
          <w:szCs w:val="22"/>
        </w:rPr>
        <w:t xml:space="preserve">. </w:t>
      </w:r>
      <w:r w:rsidR="006E27E9" w:rsidRPr="00952D2B">
        <w:rPr>
          <w:sz w:val="22"/>
          <w:szCs w:val="22"/>
        </w:rPr>
        <w:t>For misspecification testing</w:t>
      </w:r>
      <w:r w:rsidRPr="00952D2B">
        <w:rPr>
          <w:sz w:val="22"/>
          <w:szCs w:val="22"/>
        </w:rPr>
        <w:t>, an auxiliary regression model was built by taking the residuals</w:t>
      </w:r>
      <w:r w:rsidR="0036020A" w:rsidRPr="00952D2B">
        <w:rPr>
          <w:sz w:val="22"/>
          <w:szCs w:val="22"/>
        </w:rPr>
        <w:t xml:space="preserve"> (</w:t>
      </w:r>
      <w:proofErr w:type="spellStart"/>
      <w:r w:rsidR="0036020A" w:rsidRPr="00952D2B">
        <w:rPr>
          <w:i/>
          <w:sz w:val="22"/>
          <w:szCs w:val="22"/>
        </w:rPr>
        <w:t>u</w:t>
      </w:r>
      <w:r w:rsidR="0036020A" w:rsidRPr="00952D2B">
        <w:rPr>
          <w:i/>
          <w:sz w:val="22"/>
          <w:szCs w:val="22"/>
          <w:vertAlign w:val="subscript"/>
        </w:rPr>
        <w:t>t</w:t>
      </w:r>
      <w:proofErr w:type="spellEnd"/>
      <w:r w:rsidR="0036020A" w:rsidRPr="00952D2B">
        <w:rPr>
          <w:sz w:val="22"/>
          <w:szCs w:val="22"/>
        </w:rPr>
        <w:t>)</w:t>
      </w:r>
      <w:r w:rsidRPr="00952D2B">
        <w:rPr>
          <w:sz w:val="22"/>
          <w:szCs w:val="22"/>
        </w:rPr>
        <w:t xml:space="preserve"> from the equation (1) as a response variable and all the explanatory variables used in equation (1) as well as three additional predictors</w:t>
      </w:r>
      <w:r w:rsidR="00625BFA" w:rsidRPr="00952D2B">
        <w:rPr>
          <w:sz w:val="22"/>
          <w:szCs w:val="22"/>
        </w:rPr>
        <w:t xml:space="preserve">: </w:t>
      </w:r>
      <w:r w:rsidRPr="00952D2B">
        <w:rPr>
          <w:sz w:val="22"/>
          <w:szCs w:val="22"/>
        </w:rPr>
        <w:t>squared of the trend</w:t>
      </w:r>
      <w:r w:rsidR="0036020A" w:rsidRPr="00952D2B">
        <w:rPr>
          <w:sz w:val="22"/>
          <w:szCs w:val="22"/>
        </w:rPr>
        <w:t xml:space="preserve"> component</w:t>
      </w:r>
      <w:r w:rsidR="00625BFA" w:rsidRPr="00952D2B">
        <w:rPr>
          <w:sz w:val="22"/>
          <w:szCs w:val="22"/>
        </w:rPr>
        <w:t xml:space="preserve"> (</w:t>
      </w:r>
      <w:r w:rsidR="00625BFA" w:rsidRPr="00952D2B">
        <w:rPr>
          <w:i/>
          <w:sz w:val="22"/>
          <w:szCs w:val="22"/>
        </w:rPr>
        <w:t>t</w:t>
      </w:r>
      <w:r w:rsidR="00625BFA" w:rsidRPr="00952D2B">
        <w:rPr>
          <w:i/>
          <w:position w:val="6"/>
          <w:sz w:val="22"/>
          <w:szCs w:val="22"/>
          <w:vertAlign w:val="superscript"/>
        </w:rPr>
        <w:t>2</w:t>
      </w:r>
      <w:r w:rsidR="00625BFA" w:rsidRPr="00952D2B">
        <w:rPr>
          <w:sz w:val="22"/>
          <w:szCs w:val="22"/>
        </w:rPr>
        <w:t>),</w:t>
      </w:r>
      <w:r w:rsidRPr="00952D2B">
        <w:rPr>
          <w:sz w:val="22"/>
          <w:szCs w:val="22"/>
        </w:rPr>
        <w:t xml:space="preserve"> squared of </w:t>
      </w:r>
      <w:r w:rsidR="0036020A" w:rsidRPr="00952D2B">
        <w:rPr>
          <w:sz w:val="22"/>
          <w:szCs w:val="22"/>
        </w:rPr>
        <w:t xml:space="preserve">the </w:t>
      </w:r>
      <w:r w:rsidR="00625BFA" w:rsidRPr="00952D2B">
        <w:rPr>
          <w:sz w:val="22"/>
          <w:szCs w:val="22"/>
        </w:rPr>
        <w:t>first lag (</w:t>
      </w:r>
      <w:r w:rsidR="00625BFA" w:rsidRPr="00952D2B">
        <w:rPr>
          <w:i/>
          <w:sz w:val="22"/>
          <w:szCs w:val="22"/>
        </w:rPr>
        <w:t>Y</w:t>
      </w:r>
      <w:r w:rsidR="00625BFA" w:rsidRPr="00952D2B">
        <w:rPr>
          <w:i/>
          <w:sz w:val="22"/>
          <w:szCs w:val="22"/>
          <w:vertAlign w:val="subscript"/>
        </w:rPr>
        <w:t>t-1</w:t>
      </w:r>
      <w:r w:rsidR="00625BFA" w:rsidRPr="00952D2B">
        <w:rPr>
          <w:i/>
          <w:position w:val="6"/>
          <w:sz w:val="22"/>
          <w:szCs w:val="22"/>
          <w:vertAlign w:val="superscript"/>
        </w:rPr>
        <w:t>2</w:t>
      </w:r>
      <w:r w:rsidR="00625BFA" w:rsidRPr="00952D2B">
        <w:rPr>
          <w:sz w:val="22"/>
          <w:szCs w:val="22"/>
        </w:rPr>
        <w:t xml:space="preserve">) and </w:t>
      </w:r>
      <w:r w:rsidR="0036020A" w:rsidRPr="00952D2B">
        <w:rPr>
          <w:sz w:val="22"/>
          <w:szCs w:val="22"/>
        </w:rPr>
        <w:t xml:space="preserve">the </w:t>
      </w:r>
      <w:r w:rsidR="00625BFA" w:rsidRPr="00952D2B">
        <w:rPr>
          <w:sz w:val="22"/>
          <w:szCs w:val="22"/>
        </w:rPr>
        <w:t>second lag (</w:t>
      </w:r>
      <w:r w:rsidR="00625BFA" w:rsidRPr="00952D2B">
        <w:rPr>
          <w:i/>
          <w:sz w:val="22"/>
          <w:szCs w:val="22"/>
        </w:rPr>
        <w:t>Y</w:t>
      </w:r>
      <w:r w:rsidR="00625BFA" w:rsidRPr="00952D2B">
        <w:rPr>
          <w:i/>
          <w:sz w:val="22"/>
          <w:szCs w:val="22"/>
          <w:vertAlign w:val="subscript"/>
        </w:rPr>
        <w:t>t-2</w:t>
      </w:r>
      <w:r w:rsidR="00625BFA" w:rsidRPr="00952D2B">
        <w:rPr>
          <w:sz w:val="22"/>
          <w:szCs w:val="22"/>
        </w:rPr>
        <w:t>). These terms were included to detect potential departure from trend heterogeneity, linearity and Markov (1), respectively</w:t>
      </w:r>
      <w:r w:rsidRPr="00952D2B">
        <w:rPr>
          <w:sz w:val="22"/>
          <w:szCs w:val="22"/>
        </w:rPr>
        <w:t xml:space="preserve">. The following </w:t>
      </w:r>
      <w:r w:rsidR="007A2D6B" w:rsidRPr="00952D2B">
        <w:rPr>
          <w:sz w:val="22"/>
          <w:szCs w:val="22"/>
        </w:rPr>
        <w:t xml:space="preserve">auxiliary </w:t>
      </w:r>
      <w:r w:rsidRPr="00952D2B">
        <w:rPr>
          <w:sz w:val="22"/>
          <w:szCs w:val="22"/>
        </w:rPr>
        <w:t xml:space="preserve">regression equation was estimated: </w:t>
      </w:r>
    </w:p>
    <w:p w:rsidR="00F56731" w:rsidRPr="00952D2B" w:rsidRDefault="00A61652" w:rsidP="00952D2B">
      <w:pPr>
        <w:spacing w:line="480" w:lineRule="auto"/>
        <w:ind w:firstLine="720"/>
        <w:rPr>
          <w:sz w:val="22"/>
          <w:szCs w:val="22"/>
        </w:rPr>
      </w:pPr>
      <w:proofErr w:type="spellStart"/>
      <w:proofErr w:type="gramStart"/>
      <w:r w:rsidRPr="00952D2B">
        <w:rPr>
          <w:i/>
          <w:sz w:val="22"/>
          <w:szCs w:val="22"/>
        </w:rPr>
        <w:t>u</w:t>
      </w:r>
      <w:r w:rsidRPr="00952D2B">
        <w:rPr>
          <w:i/>
          <w:sz w:val="22"/>
          <w:szCs w:val="22"/>
          <w:vertAlign w:val="subscript"/>
        </w:rPr>
        <w:t>t</w:t>
      </w:r>
      <w:proofErr w:type="spellEnd"/>
      <w:proofErr w:type="gramEnd"/>
      <w:r w:rsidR="00F56731" w:rsidRPr="00952D2B">
        <w:rPr>
          <w:i/>
          <w:sz w:val="22"/>
          <w:szCs w:val="22"/>
        </w:rPr>
        <w:t xml:space="preserve"> =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0</w:t>
      </w:r>
      <w:r w:rsidR="00F56731" w:rsidRPr="00952D2B">
        <w:rPr>
          <w:i/>
          <w:sz w:val="22"/>
          <w:szCs w:val="22"/>
        </w:rPr>
        <w:t xml:space="preserve"> +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1</w:t>
      </w:r>
      <w:r w:rsidRPr="00952D2B">
        <w:rPr>
          <w:i/>
          <w:sz w:val="22"/>
          <w:szCs w:val="22"/>
        </w:rPr>
        <w:t xml:space="preserve"> t</w:t>
      </w:r>
      <w:r w:rsidR="00F56731" w:rsidRPr="00952D2B">
        <w:rPr>
          <w:i/>
          <w:sz w:val="22"/>
          <w:szCs w:val="22"/>
        </w:rPr>
        <w:t xml:space="preserve"> +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2</w:t>
      </w:r>
      <w:r w:rsidRPr="00952D2B">
        <w:rPr>
          <w:i/>
          <w:sz w:val="22"/>
          <w:szCs w:val="22"/>
        </w:rPr>
        <w:t xml:space="preserve"> t</w:t>
      </w:r>
      <w:r w:rsidR="00F56731" w:rsidRPr="00952D2B">
        <w:rPr>
          <w:i/>
          <w:position w:val="6"/>
          <w:sz w:val="22"/>
          <w:szCs w:val="22"/>
          <w:vertAlign w:val="superscript"/>
        </w:rPr>
        <w:t>2</w:t>
      </w:r>
      <w:r w:rsidR="00F56731" w:rsidRPr="00952D2B">
        <w:rPr>
          <w:i/>
          <w:sz w:val="22"/>
          <w:szCs w:val="22"/>
        </w:rPr>
        <w:t xml:space="preserve"> +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3</w:t>
      </w:r>
      <w:r w:rsidR="00F56731" w:rsidRPr="00952D2B">
        <w:rPr>
          <w:i/>
          <w:sz w:val="22"/>
          <w:szCs w:val="22"/>
        </w:rPr>
        <w:t xml:space="preserve"> Y</w:t>
      </w:r>
      <w:r w:rsidR="00F56731" w:rsidRPr="00952D2B">
        <w:rPr>
          <w:i/>
          <w:sz w:val="22"/>
          <w:szCs w:val="22"/>
          <w:vertAlign w:val="subscript"/>
        </w:rPr>
        <w:t>t-1</w:t>
      </w:r>
      <w:r w:rsidR="00F56731" w:rsidRPr="00952D2B">
        <w:rPr>
          <w:i/>
          <w:sz w:val="22"/>
          <w:szCs w:val="22"/>
        </w:rPr>
        <w:t xml:space="preserve"> +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4</w:t>
      </w:r>
      <w:r w:rsidR="00F56731" w:rsidRPr="00952D2B">
        <w:rPr>
          <w:i/>
          <w:sz w:val="22"/>
          <w:szCs w:val="22"/>
        </w:rPr>
        <w:t xml:space="preserve"> Y</w:t>
      </w:r>
      <w:r w:rsidR="00F56731" w:rsidRPr="00952D2B">
        <w:rPr>
          <w:i/>
          <w:sz w:val="22"/>
          <w:szCs w:val="22"/>
          <w:vertAlign w:val="subscript"/>
        </w:rPr>
        <w:t>t-1</w:t>
      </w:r>
      <w:r w:rsidR="00F56731" w:rsidRPr="00952D2B">
        <w:rPr>
          <w:i/>
          <w:position w:val="6"/>
          <w:sz w:val="22"/>
          <w:szCs w:val="22"/>
          <w:vertAlign w:val="superscript"/>
        </w:rPr>
        <w:t>2</w:t>
      </w:r>
      <w:r w:rsidR="00F56731" w:rsidRPr="00952D2B">
        <w:rPr>
          <w:i/>
          <w:sz w:val="22"/>
          <w:szCs w:val="22"/>
        </w:rPr>
        <w:t xml:space="preserve"> +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5</w:t>
      </w:r>
      <w:r w:rsidR="00F56731" w:rsidRPr="00952D2B">
        <w:rPr>
          <w:i/>
          <w:sz w:val="22"/>
          <w:szCs w:val="22"/>
        </w:rPr>
        <w:t xml:space="preserve"> Y</w:t>
      </w:r>
      <w:r w:rsidR="00F56731" w:rsidRPr="00952D2B">
        <w:rPr>
          <w:i/>
          <w:sz w:val="22"/>
          <w:szCs w:val="22"/>
          <w:vertAlign w:val="subscript"/>
        </w:rPr>
        <w:t>t-2</w:t>
      </w:r>
      <w:r w:rsidR="00F56731" w:rsidRPr="00952D2B">
        <w:rPr>
          <w:i/>
          <w:sz w:val="22"/>
          <w:szCs w:val="22"/>
        </w:rPr>
        <w:t xml:space="preserve"> +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6</w:t>
      </w:r>
      <w:r w:rsidR="00F56731" w:rsidRPr="00952D2B">
        <w:rPr>
          <w:i/>
          <w:sz w:val="22"/>
          <w:szCs w:val="22"/>
        </w:rPr>
        <w:t xml:space="preserve"> D1</w:t>
      </w:r>
      <w:r w:rsidRPr="00952D2B">
        <w:rPr>
          <w:i/>
          <w:sz w:val="22"/>
          <w:szCs w:val="22"/>
          <w:vertAlign w:val="subscript"/>
        </w:rPr>
        <w:t>t</w:t>
      </w:r>
      <w:r w:rsidR="00F56731" w:rsidRPr="00952D2B">
        <w:rPr>
          <w:i/>
          <w:sz w:val="22"/>
          <w:szCs w:val="22"/>
        </w:rPr>
        <w:t xml:space="preserve"> + </w:t>
      </w:r>
      <w:r w:rsidR="00F56731" w:rsidRPr="00952D2B">
        <w:rPr>
          <w:i/>
          <w:sz w:val="22"/>
          <w:szCs w:val="22"/>
        </w:rPr>
        <w:sym w:font="Symbol" w:char="F064"/>
      </w:r>
      <w:r w:rsidR="00F56731" w:rsidRPr="00952D2B">
        <w:rPr>
          <w:i/>
          <w:sz w:val="22"/>
          <w:szCs w:val="22"/>
          <w:vertAlign w:val="subscript"/>
        </w:rPr>
        <w:t>7</w:t>
      </w:r>
      <w:r w:rsidR="00F56731" w:rsidRPr="00952D2B">
        <w:rPr>
          <w:i/>
          <w:sz w:val="22"/>
          <w:szCs w:val="22"/>
        </w:rPr>
        <w:t xml:space="preserve"> D2</w:t>
      </w:r>
      <w:r w:rsidRPr="00952D2B">
        <w:rPr>
          <w:i/>
          <w:sz w:val="22"/>
          <w:szCs w:val="22"/>
          <w:vertAlign w:val="subscript"/>
        </w:rPr>
        <w:t>t</w:t>
      </w:r>
      <w:r w:rsidR="00F56731" w:rsidRPr="00952D2B">
        <w:rPr>
          <w:i/>
          <w:sz w:val="22"/>
          <w:szCs w:val="22"/>
        </w:rPr>
        <w:t xml:space="preserve"> </w:t>
      </w:r>
      <w:r w:rsidR="007A2D6B" w:rsidRPr="00952D2B">
        <w:rPr>
          <w:i/>
          <w:sz w:val="22"/>
          <w:szCs w:val="22"/>
        </w:rPr>
        <w:t xml:space="preserve">+ </w:t>
      </w:r>
      <w:proofErr w:type="spellStart"/>
      <w:r w:rsidR="007A2D6B" w:rsidRPr="00952D2B">
        <w:rPr>
          <w:i/>
          <w:sz w:val="22"/>
          <w:szCs w:val="22"/>
        </w:rPr>
        <w:t>v</w:t>
      </w:r>
      <w:r w:rsidR="007A2D6B" w:rsidRPr="00952D2B">
        <w:rPr>
          <w:i/>
          <w:sz w:val="22"/>
          <w:szCs w:val="22"/>
          <w:vertAlign w:val="subscript"/>
        </w:rPr>
        <w:t>t</w:t>
      </w:r>
      <w:proofErr w:type="spellEnd"/>
      <w:r w:rsidR="00952D2B">
        <w:rPr>
          <w:sz w:val="22"/>
          <w:szCs w:val="22"/>
        </w:rPr>
        <w:tab/>
      </w:r>
      <w:r w:rsidR="00952D2B">
        <w:rPr>
          <w:sz w:val="22"/>
          <w:szCs w:val="22"/>
        </w:rPr>
        <w:tab/>
      </w:r>
      <w:r w:rsidR="00F56731" w:rsidRPr="00952D2B">
        <w:rPr>
          <w:sz w:val="22"/>
          <w:szCs w:val="22"/>
        </w:rPr>
        <w:t>(2)</w:t>
      </w:r>
    </w:p>
    <w:p w:rsidR="00F56731" w:rsidRPr="00952D2B" w:rsidRDefault="007A2D6B" w:rsidP="00952D2B">
      <w:pPr>
        <w:spacing w:line="480" w:lineRule="auto"/>
        <w:ind w:firstLine="720"/>
        <w:rPr>
          <w:sz w:val="22"/>
          <w:szCs w:val="22"/>
        </w:rPr>
      </w:pPr>
      <w:r w:rsidRPr="00952D2B">
        <w:rPr>
          <w:sz w:val="22"/>
          <w:szCs w:val="22"/>
        </w:rPr>
        <w:t xml:space="preserve">The regression </w:t>
      </w:r>
      <w:r w:rsidR="00F56731" w:rsidRPr="00952D2B">
        <w:rPr>
          <w:sz w:val="22"/>
          <w:szCs w:val="22"/>
        </w:rPr>
        <w:t>coefficients from equation (2) were used to test major assumptions of the regression model: linearity, heterogeneity and dependence. Another critical assumption of normality was tested by using residuals</w:t>
      </w:r>
      <w:r w:rsidRPr="00952D2B">
        <w:rPr>
          <w:sz w:val="22"/>
          <w:szCs w:val="22"/>
        </w:rPr>
        <w:t xml:space="preserve"> (</w:t>
      </w:r>
      <w:proofErr w:type="spellStart"/>
      <w:r w:rsidR="0036020A" w:rsidRPr="00952D2B">
        <w:rPr>
          <w:i/>
          <w:sz w:val="22"/>
          <w:szCs w:val="22"/>
        </w:rPr>
        <w:t>u</w:t>
      </w:r>
      <w:r w:rsidR="0036020A" w:rsidRPr="00952D2B">
        <w:rPr>
          <w:i/>
          <w:sz w:val="22"/>
          <w:szCs w:val="22"/>
          <w:vertAlign w:val="subscript"/>
        </w:rPr>
        <w:t>t</w:t>
      </w:r>
      <w:proofErr w:type="spellEnd"/>
      <w:r w:rsidRPr="00952D2B">
        <w:rPr>
          <w:sz w:val="22"/>
          <w:szCs w:val="22"/>
        </w:rPr>
        <w:t xml:space="preserve"> from equation 1)</w:t>
      </w:r>
      <w:r w:rsidR="00F56731" w:rsidRPr="00952D2B">
        <w:rPr>
          <w:sz w:val="22"/>
          <w:szCs w:val="22"/>
        </w:rPr>
        <w:t xml:space="preserve"> with the </w:t>
      </w:r>
      <w:proofErr w:type="spellStart"/>
      <w:r w:rsidR="00F56731" w:rsidRPr="00952D2B">
        <w:rPr>
          <w:sz w:val="22"/>
          <w:szCs w:val="22"/>
        </w:rPr>
        <w:t>Kolmogorov</w:t>
      </w:r>
      <w:proofErr w:type="spellEnd"/>
      <w:r w:rsidR="00F56731" w:rsidRPr="00952D2B">
        <w:rPr>
          <w:sz w:val="22"/>
          <w:szCs w:val="22"/>
        </w:rPr>
        <w:t>-Smirno</w:t>
      </w:r>
      <w:r w:rsidR="00BB46EC" w:rsidRPr="00952D2B">
        <w:rPr>
          <w:sz w:val="22"/>
          <w:szCs w:val="22"/>
        </w:rPr>
        <w:t>v</w:t>
      </w:r>
      <w:r w:rsidR="00F56731" w:rsidRPr="00952D2B">
        <w:rPr>
          <w:sz w:val="22"/>
          <w:szCs w:val="22"/>
        </w:rPr>
        <w:t xml:space="preserve"> test</w:t>
      </w:r>
      <w:r w:rsidR="00952D2B">
        <w:rPr>
          <w:sz w:val="22"/>
          <w:szCs w:val="22"/>
        </w:rPr>
        <w:t xml:space="preserve"> (see</w:t>
      </w:r>
      <w:r w:rsidR="00F56731" w:rsidRPr="00952D2B">
        <w:rPr>
          <w:sz w:val="22"/>
          <w:szCs w:val="22"/>
        </w:rPr>
        <w:t xml:space="preserve"> Table </w:t>
      </w:r>
      <w:r w:rsidR="00952D2B">
        <w:rPr>
          <w:sz w:val="22"/>
          <w:szCs w:val="22"/>
        </w:rPr>
        <w:t>S</w:t>
      </w:r>
      <w:r w:rsidR="00F56731" w:rsidRPr="00952D2B">
        <w:rPr>
          <w:sz w:val="22"/>
          <w:szCs w:val="22"/>
        </w:rPr>
        <w:t>1</w:t>
      </w:r>
      <w:r w:rsidR="00952D2B">
        <w:rPr>
          <w:sz w:val="22"/>
          <w:szCs w:val="22"/>
        </w:rPr>
        <w:t xml:space="preserve"> for a summary of the results)</w:t>
      </w:r>
      <w:r w:rsidR="00F56731" w:rsidRPr="00952D2B">
        <w:rPr>
          <w:sz w:val="22"/>
          <w:szCs w:val="22"/>
        </w:rPr>
        <w:t>.</w:t>
      </w:r>
    </w:p>
    <w:p w:rsidR="00952D2B" w:rsidRDefault="00952D2B" w:rsidP="00952D2B">
      <w:pPr>
        <w:spacing w:line="480" w:lineRule="auto"/>
        <w:rPr>
          <w:sz w:val="22"/>
          <w:szCs w:val="22"/>
        </w:rPr>
      </w:pPr>
    </w:p>
    <w:p w:rsidR="00F56731" w:rsidRPr="00952D2B" w:rsidRDefault="002A4959" w:rsidP="00952D2B">
      <w:pPr>
        <w:spacing w:line="480" w:lineRule="auto"/>
        <w:rPr>
          <w:sz w:val="22"/>
          <w:szCs w:val="22"/>
        </w:rPr>
      </w:pPr>
      <w:r w:rsidRPr="00952D2B">
        <w:rPr>
          <w:b/>
          <w:sz w:val="22"/>
          <w:szCs w:val="22"/>
        </w:rPr>
        <w:t xml:space="preserve">Table </w:t>
      </w:r>
      <w:r w:rsidR="00952D2B">
        <w:rPr>
          <w:b/>
          <w:sz w:val="22"/>
          <w:szCs w:val="22"/>
        </w:rPr>
        <w:t>S</w:t>
      </w:r>
      <w:r w:rsidRPr="00952D2B">
        <w:rPr>
          <w:b/>
          <w:sz w:val="22"/>
          <w:szCs w:val="22"/>
        </w:rPr>
        <w:t>1</w:t>
      </w:r>
      <w:r w:rsidR="00F56731" w:rsidRPr="00952D2B">
        <w:rPr>
          <w:sz w:val="22"/>
          <w:szCs w:val="22"/>
        </w:rPr>
        <w:t xml:space="preserve"> </w:t>
      </w:r>
      <w:r w:rsidR="0036020A" w:rsidRPr="00952D2B">
        <w:rPr>
          <w:sz w:val="22"/>
          <w:szCs w:val="22"/>
        </w:rPr>
        <w:t>A s</w:t>
      </w:r>
      <w:r w:rsidR="00F56731" w:rsidRPr="00952D2B">
        <w:rPr>
          <w:sz w:val="22"/>
          <w:szCs w:val="22"/>
        </w:rPr>
        <w:t>ummary</w:t>
      </w:r>
      <w:r w:rsidR="0036020A" w:rsidRPr="00952D2B">
        <w:rPr>
          <w:sz w:val="22"/>
          <w:szCs w:val="22"/>
        </w:rPr>
        <w:t xml:space="preserve"> of</w:t>
      </w:r>
      <w:r w:rsidR="00F56731" w:rsidRPr="00952D2B">
        <w:rPr>
          <w:sz w:val="22"/>
          <w:szCs w:val="22"/>
        </w:rPr>
        <w:t xml:space="preserve"> results </w:t>
      </w:r>
      <w:r w:rsidR="0036020A" w:rsidRPr="00952D2B">
        <w:rPr>
          <w:sz w:val="22"/>
          <w:szCs w:val="22"/>
        </w:rPr>
        <w:t xml:space="preserve">for </w:t>
      </w:r>
      <w:r w:rsidR="00F56731" w:rsidRPr="00952D2B">
        <w:rPr>
          <w:sz w:val="22"/>
          <w:szCs w:val="22"/>
        </w:rPr>
        <w:t>the misspecification tests</w:t>
      </w:r>
      <w:r w:rsidR="00952D2B">
        <w:rPr>
          <w:sz w:val="22"/>
          <w:szCs w:val="22"/>
        </w:rPr>
        <w:t>.</w:t>
      </w:r>
    </w:p>
    <w:tbl>
      <w:tblPr>
        <w:tblW w:w="0" w:type="auto"/>
        <w:tblInd w:w="108" w:type="dxa"/>
        <w:tblLook w:val="01E0"/>
      </w:tblPr>
      <w:tblGrid>
        <w:gridCol w:w="1620"/>
        <w:gridCol w:w="2700"/>
        <w:gridCol w:w="3420"/>
        <w:gridCol w:w="1008"/>
      </w:tblGrid>
      <w:tr w:rsidR="00F56731" w:rsidRPr="00952D2B" w:rsidTr="00432ECE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Assumptions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Hypothesis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Test statistics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p value</w:t>
            </w:r>
          </w:p>
        </w:tc>
      </w:tr>
      <w:tr w:rsidR="00F56731" w:rsidRPr="00952D2B" w:rsidTr="00432ECE">
        <w:tc>
          <w:tcPr>
            <w:tcW w:w="1620" w:type="dxa"/>
            <w:tcBorders>
              <w:top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Linearity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 xml:space="preserve">H0: </w:t>
            </w:r>
            <w:r w:rsidRPr="00952D2B">
              <w:rPr>
                <w:sz w:val="18"/>
                <w:szCs w:val="18"/>
              </w:rPr>
              <w:sym w:font="Symbol" w:char="F064"/>
            </w:r>
            <w:r w:rsidRPr="00952D2B">
              <w:rPr>
                <w:sz w:val="18"/>
                <w:szCs w:val="18"/>
                <w:vertAlign w:val="subscript"/>
              </w:rPr>
              <w:t>4</w:t>
            </w:r>
            <w:r w:rsidRPr="00952D2B">
              <w:rPr>
                <w:sz w:val="18"/>
                <w:szCs w:val="18"/>
              </w:rPr>
              <w:t xml:space="preserve"> = </w:t>
            </w:r>
            <w:r w:rsidR="00A51B71" w:rsidRPr="00952D2B">
              <w:rPr>
                <w:sz w:val="18"/>
                <w:szCs w:val="18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 xml:space="preserve">t = </w:t>
            </w:r>
            <w:r w:rsidR="00A40BBA" w:rsidRPr="00952D2B">
              <w:rPr>
                <w:sz w:val="18"/>
                <w:szCs w:val="18"/>
              </w:rPr>
              <w:t>-0.967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F56731" w:rsidRPr="00952D2B" w:rsidRDefault="00A40BBA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0.353</w:t>
            </w:r>
          </w:p>
        </w:tc>
      </w:tr>
      <w:tr w:rsidR="00F56731" w:rsidRPr="00952D2B" w:rsidTr="00432ECE">
        <w:tc>
          <w:tcPr>
            <w:tcW w:w="1620" w:type="dxa"/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Heterogeneity</w:t>
            </w:r>
          </w:p>
        </w:tc>
        <w:tc>
          <w:tcPr>
            <w:tcW w:w="2700" w:type="dxa"/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 xml:space="preserve">H0: </w:t>
            </w:r>
            <w:r w:rsidRPr="00952D2B">
              <w:rPr>
                <w:sz w:val="18"/>
                <w:szCs w:val="18"/>
              </w:rPr>
              <w:sym w:font="Symbol" w:char="F064"/>
            </w:r>
            <w:r w:rsidRPr="00952D2B">
              <w:rPr>
                <w:sz w:val="18"/>
                <w:szCs w:val="18"/>
                <w:vertAlign w:val="subscript"/>
              </w:rPr>
              <w:t>2</w:t>
            </w:r>
            <w:r w:rsidRPr="00952D2B">
              <w:rPr>
                <w:sz w:val="18"/>
                <w:szCs w:val="18"/>
              </w:rPr>
              <w:t xml:space="preserve"> = </w:t>
            </w:r>
            <w:r w:rsidR="00A51B71" w:rsidRPr="00952D2B">
              <w:rPr>
                <w:sz w:val="18"/>
                <w:szCs w:val="18"/>
              </w:rPr>
              <w:t>0</w:t>
            </w:r>
          </w:p>
        </w:tc>
        <w:tc>
          <w:tcPr>
            <w:tcW w:w="3420" w:type="dxa"/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 xml:space="preserve">t = </w:t>
            </w:r>
            <w:r w:rsidR="00A40BBA" w:rsidRPr="00952D2B">
              <w:rPr>
                <w:sz w:val="18"/>
                <w:szCs w:val="18"/>
              </w:rPr>
              <w:t>1.109</w:t>
            </w:r>
          </w:p>
        </w:tc>
        <w:tc>
          <w:tcPr>
            <w:tcW w:w="1008" w:type="dxa"/>
          </w:tcPr>
          <w:p w:rsidR="00F56731" w:rsidRPr="00952D2B" w:rsidRDefault="00A40BBA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0.289</w:t>
            </w:r>
          </w:p>
        </w:tc>
      </w:tr>
      <w:tr w:rsidR="00F56731" w:rsidRPr="00952D2B" w:rsidTr="00432ECE">
        <w:tc>
          <w:tcPr>
            <w:tcW w:w="1620" w:type="dxa"/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Dependence</w:t>
            </w:r>
          </w:p>
        </w:tc>
        <w:tc>
          <w:tcPr>
            <w:tcW w:w="2700" w:type="dxa"/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 xml:space="preserve">H0: </w:t>
            </w:r>
            <w:r w:rsidRPr="00952D2B">
              <w:rPr>
                <w:sz w:val="18"/>
                <w:szCs w:val="18"/>
              </w:rPr>
              <w:sym w:font="Symbol" w:char="F064"/>
            </w:r>
            <w:r w:rsidRPr="00952D2B">
              <w:rPr>
                <w:sz w:val="18"/>
                <w:szCs w:val="18"/>
                <w:vertAlign w:val="subscript"/>
              </w:rPr>
              <w:t>5</w:t>
            </w:r>
            <w:r w:rsidRPr="00952D2B">
              <w:rPr>
                <w:sz w:val="18"/>
                <w:szCs w:val="18"/>
              </w:rPr>
              <w:t xml:space="preserve"> = </w:t>
            </w:r>
            <w:r w:rsidR="00A51B71" w:rsidRPr="00952D2B">
              <w:rPr>
                <w:sz w:val="18"/>
                <w:szCs w:val="18"/>
              </w:rPr>
              <w:t>0</w:t>
            </w:r>
          </w:p>
        </w:tc>
        <w:tc>
          <w:tcPr>
            <w:tcW w:w="3420" w:type="dxa"/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 xml:space="preserve">t = </w:t>
            </w:r>
            <w:r w:rsidR="00A40BBA" w:rsidRPr="00952D2B">
              <w:rPr>
                <w:sz w:val="18"/>
                <w:szCs w:val="18"/>
              </w:rPr>
              <w:t>1.276</w:t>
            </w:r>
          </w:p>
        </w:tc>
        <w:tc>
          <w:tcPr>
            <w:tcW w:w="1008" w:type="dxa"/>
          </w:tcPr>
          <w:p w:rsidR="00F56731" w:rsidRPr="00952D2B" w:rsidRDefault="00A40BBA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0.226</w:t>
            </w:r>
          </w:p>
        </w:tc>
      </w:tr>
      <w:tr w:rsidR="00F56731" w:rsidRPr="00952D2B" w:rsidTr="00432ECE">
        <w:tc>
          <w:tcPr>
            <w:tcW w:w="1620" w:type="dxa"/>
            <w:tcBorders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Normality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H0: Normally distributed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proofErr w:type="spellStart"/>
            <w:r w:rsidRPr="00952D2B">
              <w:rPr>
                <w:sz w:val="18"/>
                <w:szCs w:val="18"/>
              </w:rPr>
              <w:t>Kolmogorov</w:t>
            </w:r>
            <w:proofErr w:type="spellEnd"/>
            <w:r w:rsidR="0037596B" w:rsidRPr="00952D2B">
              <w:rPr>
                <w:sz w:val="18"/>
                <w:szCs w:val="18"/>
              </w:rPr>
              <w:t>-</w:t>
            </w:r>
            <w:r w:rsidRPr="00952D2B">
              <w:rPr>
                <w:sz w:val="18"/>
                <w:szCs w:val="18"/>
              </w:rPr>
              <w:t>Smirno</w:t>
            </w:r>
            <w:r w:rsidR="0037596B" w:rsidRPr="00952D2B">
              <w:rPr>
                <w:sz w:val="18"/>
                <w:szCs w:val="18"/>
              </w:rPr>
              <w:t>v D</w:t>
            </w:r>
            <w:r w:rsidRPr="00952D2B">
              <w:rPr>
                <w:sz w:val="18"/>
                <w:szCs w:val="18"/>
              </w:rPr>
              <w:t xml:space="preserve"> = 0.128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F56731" w:rsidRPr="00952D2B" w:rsidRDefault="00F56731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0.830</w:t>
            </w:r>
          </w:p>
        </w:tc>
      </w:tr>
    </w:tbl>
    <w:p w:rsidR="002A4959" w:rsidRPr="00952D2B" w:rsidRDefault="002A4959" w:rsidP="00952D2B">
      <w:pPr>
        <w:spacing w:line="480" w:lineRule="auto"/>
        <w:rPr>
          <w:sz w:val="22"/>
          <w:szCs w:val="22"/>
        </w:rPr>
      </w:pPr>
    </w:p>
    <w:p w:rsidR="00F56731" w:rsidRDefault="00F56731" w:rsidP="00952D2B">
      <w:pPr>
        <w:spacing w:line="480" w:lineRule="auto"/>
        <w:ind w:firstLine="720"/>
        <w:rPr>
          <w:sz w:val="22"/>
          <w:szCs w:val="22"/>
        </w:rPr>
      </w:pPr>
      <w:r w:rsidRPr="00952D2B">
        <w:rPr>
          <w:sz w:val="22"/>
          <w:szCs w:val="22"/>
        </w:rPr>
        <w:lastRenderedPageBreak/>
        <w:t>Once it was found that the model was s</w:t>
      </w:r>
      <w:r w:rsidR="007A2D6B" w:rsidRPr="00952D2B">
        <w:rPr>
          <w:sz w:val="22"/>
          <w:szCs w:val="22"/>
        </w:rPr>
        <w:t>tatistically adequate</w:t>
      </w:r>
      <w:r w:rsidRPr="00952D2B">
        <w:rPr>
          <w:sz w:val="22"/>
          <w:szCs w:val="22"/>
        </w:rPr>
        <w:t xml:space="preserve">, </w:t>
      </w:r>
      <w:r w:rsidR="002A4959" w:rsidRPr="00952D2B">
        <w:rPr>
          <w:sz w:val="22"/>
          <w:szCs w:val="22"/>
        </w:rPr>
        <w:t xml:space="preserve">the results of regression equation (1) were summarized </w:t>
      </w:r>
      <w:r w:rsidR="00952D2B">
        <w:rPr>
          <w:sz w:val="22"/>
          <w:szCs w:val="22"/>
        </w:rPr>
        <w:t>(</w:t>
      </w:r>
      <w:r w:rsidR="002A4959" w:rsidRPr="00952D2B">
        <w:rPr>
          <w:sz w:val="22"/>
          <w:szCs w:val="22"/>
        </w:rPr>
        <w:t xml:space="preserve">Table </w:t>
      </w:r>
      <w:r w:rsidR="00952D2B">
        <w:rPr>
          <w:sz w:val="22"/>
          <w:szCs w:val="22"/>
        </w:rPr>
        <w:t>S</w:t>
      </w:r>
      <w:r w:rsidR="002A4959" w:rsidRPr="00952D2B">
        <w:rPr>
          <w:sz w:val="22"/>
          <w:szCs w:val="22"/>
        </w:rPr>
        <w:t>2</w:t>
      </w:r>
      <w:r w:rsidR="00952D2B">
        <w:rPr>
          <w:sz w:val="22"/>
          <w:szCs w:val="22"/>
        </w:rPr>
        <w:t>)</w:t>
      </w:r>
      <w:r w:rsidR="002A4959" w:rsidRPr="00952D2B">
        <w:rPr>
          <w:sz w:val="22"/>
          <w:szCs w:val="22"/>
        </w:rPr>
        <w:t xml:space="preserve">. The following coefficients were used to forecast the number of visitors for an alternative scenario of </w:t>
      </w:r>
      <w:r w:rsidR="000048F3">
        <w:rPr>
          <w:sz w:val="22"/>
          <w:szCs w:val="22"/>
        </w:rPr>
        <w:t>‘</w:t>
      </w:r>
      <w:r w:rsidR="002A4959" w:rsidRPr="00952D2B">
        <w:rPr>
          <w:sz w:val="22"/>
          <w:szCs w:val="22"/>
        </w:rPr>
        <w:t>no insurgency</w:t>
      </w:r>
      <w:r w:rsidR="000048F3">
        <w:rPr>
          <w:sz w:val="22"/>
          <w:szCs w:val="22"/>
        </w:rPr>
        <w:t>’</w:t>
      </w:r>
      <w:r w:rsidR="00952D2B">
        <w:rPr>
          <w:sz w:val="22"/>
          <w:szCs w:val="22"/>
        </w:rPr>
        <w:t>.</w:t>
      </w:r>
    </w:p>
    <w:p w:rsidR="000955B9" w:rsidRPr="00952D2B" w:rsidRDefault="000955B9" w:rsidP="00952D2B">
      <w:pPr>
        <w:spacing w:line="480" w:lineRule="auto"/>
        <w:ind w:firstLine="720"/>
        <w:rPr>
          <w:sz w:val="22"/>
          <w:szCs w:val="22"/>
        </w:rPr>
      </w:pPr>
    </w:p>
    <w:p w:rsidR="002A4959" w:rsidRPr="00952D2B" w:rsidRDefault="002A4959" w:rsidP="00952D2B">
      <w:pPr>
        <w:spacing w:line="480" w:lineRule="auto"/>
        <w:rPr>
          <w:sz w:val="22"/>
          <w:szCs w:val="22"/>
        </w:rPr>
      </w:pPr>
      <w:r w:rsidRPr="00952D2B">
        <w:rPr>
          <w:b/>
          <w:sz w:val="22"/>
          <w:szCs w:val="22"/>
        </w:rPr>
        <w:t xml:space="preserve">Table </w:t>
      </w:r>
      <w:r w:rsidR="00952D2B">
        <w:rPr>
          <w:b/>
          <w:sz w:val="22"/>
          <w:szCs w:val="22"/>
        </w:rPr>
        <w:t>S</w:t>
      </w:r>
      <w:r w:rsidRPr="00952D2B">
        <w:rPr>
          <w:b/>
          <w:sz w:val="22"/>
          <w:szCs w:val="22"/>
        </w:rPr>
        <w:t>2</w:t>
      </w:r>
      <w:r w:rsidRPr="00952D2B">
        <w:rPr>
          <w:sz w:val="22"/>
          <w:szCs w:val="22"/>
        </w:rPr>
        <w:t xml:space="preserve"> </w:t>
      </w:r>
      <w:r w:rsidR="002B05BB" w:rsidRPr="00952D2B">
        <w:rPr>
          <w:sz w:val="22"/>
          <w:szCs w:val="22"/>
        </w:rPr>
        <w:t xml:space="preserve">A summary of the regression </w:t>
      </w:r>
      <w:r w:rsidRPr="00952D2B">
        <w:rPr>
          <w:sz w:val="22"/>
          <w:szCs w:val="22"/>
        </w:rPr>
        <w:t xml:space="preserve">model </w:t>
      </w:r>
      <w:r w:rsidR="002B05BB" w:rsidRPr="00952D2B">
        <w:rPr>
          <w:sz w:val="22"/>
          <w:szCs w:val="22"/>
        </w:rPr>
        <w:t>displaying beta coefficients, t-statistics and significance levels</w:t>
      </w:r>
      <w:r w:rsidR="00FE0D0A" w:rsidRPr="00952D2B">
        <w:rPr>
          <w:sz w:val="22"/>
          <w:szCs w:val="22"/>
        </w:rPr>
        <w:t>. The mode fit statistics are F</w:t>
      </w:r>
      <w:r w:rsidR="00FE0D0A" w:rsidRPr="00952D2B">
        <w:rPr>
          <w:position w:val="-6"/>
          <w:sz w:val="22"/>
          <w:szCs w:val="22"/>
          <w:vertAlign w:val="subscript"/>
        </w:rPr>
        <w:t>4</w:t>
      </w:r>
      <w:proofErr w:type="gramStart"/>
      <w:r w:rsidR="00FE0D0A" w:rsidRPr="00952D2B">
        <w:rPr>
          <w:position w:val="-6"/>
          <w:sz w:val="22"/>
          <w:szCs w:val="22"/>
          <w:vertAlign w:val="subscript"/>
        </w:rPr>
        <w:t>,17</w:t>
      </w:r>
      <w:proofErr w:type="gramEnd"/>
      <w:r w:rsidR="00FE0D0A" w:rsidRPr="00952D2B">
        <w:rPr>
          <w:position w:val="-6"/>
          <w:sz w:val="22"/>
          <w:szCs w:val="22"/>
          <w:vertAlign w:val="subscript"/>
        </w:rPr>
        <w:t xml:space="preserve"> </w:t>
      </w:r>
      <w:r w:rsidR="00FE0D0A" w:rsidRPr="00952D2B">
        <w:rPr>
          <w:sz w:val="22"/>
          <w:szCs w:val="22"/>
        </w:rPr>
        <w:t xml:space="preserve">= 62.54, </w:t>
      </w:r>
      <w:r w:rsidR="00FE0D0A" w:rsidRPr="00952D2B">
        <w:rPr>
          <w:i/>
          <w:sz w:val="22"/>
          <w:szCs w:val="22"/>
        </w:rPr>
        <w:t>p</w:t>
      </w:r>
      <w:r w:rsidR="00FE0D0A" w:rsidRPr="00952D2B">
        <w:rPr>
          <w:sz w:val="22"/>
          <w:szCs w:val="22"/>
        </w:rPr>
        <w:t xml:space="preserve"> &lt; 0.01, R</w:t>
      </w:r>
      <w:r w:rsidR="00FE0D0A" w:rsidRPr="00952D2B">
        <w:rPr>
          <w:position w:val="6"/>
          <w:sz w:val="22"/>
          <w:szCs w:val="22"/>
          <w:vertAlign w:val="superscript"/>
        </w:rPr>
        <w:t>2</w:t>
      </w:r>
      <w:r w:rsidR="00FE0D0A" w:rsidRPr="00952D2B">
        <w:rPr>
          <w:sz w:val="22"/>
          <w:szCs w:val="22"/>
        </w:rPr>
        <w:t xml:space="preserve"> = 0.93 and </w:t>
      </w:r>
      <w:r w:rsidR="00952D2B">
        <w:rPr>
          <w:sz w:val="22"/>
          <w:szCs w:val="22"/>
        </w:rPr>
        <w:t>a</w:t>
      </w:r>
      <w:r w:rsidR="00FE0D0A" w:rsidRPr="00952D2B">
        <w:rPr>
          <w:sz w:val="22"/>
          <w:szCs w:val="22"/>
        </w:rPr>
        <w:t>djusted R</w:t>
      </w:r>
      <w:r w:rsidR="00FE0D0A" w:rsidRPr="00952D2B">
        <w:rPr>
          <w:position w:val="6"/>
          <w:sz w:val="22"/>
          <w:szCs w:val="22"/>
          <w:vertAlign w:val="superscript"/>
        </w:rPr>
        <w:t>2</w:t>
      </w:r>
      <w:r w:rsidR="00FE0D0A" w:rsidRPr="00952D2B">
        <w:rPr>
          <w:sz w:val="22"/>
          <w:szCs w:val="22"/>
        </w:rPr>
        <w:t xml:space="preserve"> = 0.92.</w:t>
      </w:r>
    </w:p>
    <w:tbl>
      <w:tblPr>
        <w:tblW w:w="8820" w:type="dxa"/>
        <w:tblInd w:w="108" w:type="dxa"/>
        <w:tblLook w:val="01E0"/>
      </w:tblPr>
      <w:tblGrid>
        <w:gridCol w:w="4140"/>
        <w:gridCol w:w="1260"/>
        <w:gridCol w:w="1620"/>
        <w:gridCol w:w="840"/>
        <w:gridCol w:w="960"/>
      </w:tblGrid>
      <w:tr w:rsidR="002A4959" w:rsidRPr="00952D2B" w:rsidTr="00432ECE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2A4959" w:rsidRPr="00952D2B" w:rsidRDefault="002A4959" w:rsidP="00952D2B">
            <w:pPr>
              <w:spacing w:line="480" w:lineRule="auto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Predictors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β estimate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Standard error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ind w:left="-108" w:right="-3"/>
              <w:jc w:val="right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t value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4959" w:rsidRPr="00952D2B" w:rsidRDefault="00A51B71" w:rsidP="00952D2B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952D2B">
              <w:rPr>
                <w:i/>
                <w:sz w:val="18"/>
                <w:szCs w:val="18"/>
              </w:rPr>
              <w:t>p value</w:t>
            </w:r>
          </w:p>
        </w:tc>
      </w:tr>
      <w:tr w:rsidR="002A4959" w:rsidRPr="00952D2B" w:rsidTr="00432ECE">
        <w:tc>
          <w:tcPr>
            <w:tcW w:w="4140" w:type="dxa"/>
            <w:tcBorders>
              <w:top w:val="single" w:sz="4" w:space="0" w:color="auto"/>
            </w:tcBorders>
          </w:tcPr>
          <w:p w:rsidR="002A4959" w:rsidRPr="00952D2B" w:rsidRDefault="003C1835" w:rsidP="00952D2B">
            <w:pPr>
              <w:spacing w:line="480" w:lineRule="auto"/>
              <w:rPr>
                <w:sz w:val="18"/>
                <w:szCs w:val="18"/>
              </w:rPr>
            </w:pPr>
            <w:bookmarkStart w:id="0" w:name="_GoBack" w:colFirst="1" w:colLast="4"/>
            <w:r w:rsidRPr="00952D2B">
              <w:rPr>
                <w:sz w:val="18"/>
                <w:szCs w:val="18"/>
              </w:rPr>
              <w:t>First lag of v</w:t>
            </w:r>
            <w:r w:rsidR="002A4959" w:rsidRPr="00952D2B">
              <w:rPr>
                <w:sz w:val="18"/>
                <w:szCs w:val="18"/>
              </w:rPr>
              <w:t>isitor numbers (Y</w:t>
            </w:r>
            <w:r w:rsidR="002A4959" w:rsidRPr="00952D2B">
              <w:rPr>
                <w:sz w:val="18"/>
                <w:szCs w:val="18"/>
                <w:vertAlign w:val="subscript"/>
              </w:rPr>
              <w:t>t-1</w:t>
            </w:r>
            <w:r w:rsidR="002A4959" w:rsidRPr="00952D2B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0.344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0.105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ind w:left="-108" w:right="-3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3.269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952D2B">
              <w:rPr>
                <w:b/>
                <w:sz w:val="18"/>
                <w:szCs w:val="18"/>
              </w:rPr>
              <w:t>0.005</w:t>
            </w:r>
          </w:p>
        </w:tc>
      </w:tr>
      <w:tr w:rsidR="002A4959" w:rsidRPr="00952D2B" w:rsidTr="00432ECE">
        <w:tc>
          <w:tcPr>
            <w:tcW w:w="4140" w:type="dxa"/>
          </w:tcPr>
          <w:p w:rsidR="002A4959" w:rsidRPr="00952D2B" w:rsidRDefault="002A4959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Year (trend</w:t>
            </w:r>
            <w:r w:rsidR="007A2D6B" w:rsidRPr="00952D2B">
              <w:rPr>
                <w:sz w:val="18"/>
                <w:szCs w:val="18"/>
              </w:rPr>
              <w:t xml:space="preserve"> = t</w:t>
            </w:r>
            <w:r w:rsidRPr="00952D2B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1964.688</w:t>
            </w:r>
          </w:p>
        </w:tc>
        <w:tc>
          <w:tcPr>
            <w:tcW w:w="162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468.696</w:t>
            </w:r>
          </w:p>
        </w:tc>
        <w:tc>
          <w:tcPr>
            <w:tcW w:w="840" w:type="dxa"/>
            <w:vAlign w:val="bottom"/>
          </w:tcPr>
          <w:p w:rsidR="002A4959" w:rsidRPr="00952D2B" w:rsidRDefault="002A4959" w:rsidP="00952D2B">
            <w:pPr>
              <w:spacing w:line="480" w:lineRule="auto"/>
              <w:ind w:left="-108" w:right="-3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4.192</w:t>
            </w:r>
          </w:p>
        </w:tc>
        <w:tc>
          <w:tcPr>
            <w:tcW w:w="96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952D2B">
              <w:rPr>
                <w:b/>
                <w:sz w:val="18"/>
                <w:szCs w:val="18"/>
              </w:rPr>
              <w:t>0.001</w:t>
            </w:r>
          </w:p>
        </w:tc>
      </w:tr>
      <w:tr w:rsidR="002A4959" w:rsidRPr="00952D2B" w:rsidTr="00432ECE">
        <w:tc>
          <w:tcPr>
            <w:tcW w:w="4140" w:type="dxa"/>
          </w:tcPr>
          <w:p w:rsidR="002A4959" w:rsidRPr="00952D2B" w:rsidRDefault="002A4959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Before the insurgency (Dummy1 = D1</w:t>
            </w:r>
            <w:r w:rsidR="007A2D6B" w:rsidRPr="00952D2B">
              <w:rPr>
                <w:sz w:val="18"/>
                <w:szCs w:val="18"/>
                <w:vertAlign w:val="subscript"/>
              </w:rPr>
              <w:t>t</w:t>
            </w:r>
            <w:r w:rsidRPr="00952D2B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7519.492</w:t>
            </w:r>
          </w:p>
        </w:tc>
        <w:tc>
          <w:tcPr>
            <w:tcW w:w="162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5908.482</w:t>
            </w:r>
          </w:p>
        </w:tc>
        <w:tc>
          <w:tcPr>
            <w:tcW w:w="840" w:type="dxa"/>
            <w:vAlign w:val="bottom"/>
          </w:tcPr>
          <w:p w:rsidR="002A4959" w:rsidRPr="00952D2B" w:rsidRDefault="002A4959" w:rsidP="00952D2B">
            <w:pPr>
              <w:spacing w:line="480" w:lineRule="auto"/>
              <w:ind w:left="-108" w:right="-3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1.273</w:t>
            </w:r>
          </w:p>
        </w:tc>
        <w:tc>
          <w:tcPr>
            <w:tcW w:w="96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0.220</w:t>
            </w:r>
          </w:p>
        </w:tc>
      </w:tr>
      <w:tr w:rsidR="002A4959" w:rsidRPr="00952D2B" w:rsidTr="00432ECE">
        <w:tc>
          <w:tcPr>
            <w:tcW w:w="4140" w:type="dxa"/>
          </w:tcPr>
          <w:p w:rsidR="002A4959" w:rsidRPr="00952D2B" w:rsidRDefault="002A4959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During the insurgency (Dummy2 = D2</w:t>
            </w:r>
            <w:r w:rsidR="007A2D6B" w:rsidRPr="00952D2B">
              <w:rPr>
                <w:sz w:val="18"/>
                <w:szCs w:val="18"/>
                <w:vertAlign w:val="subscript"/>
              </w:rPr>
              <w:t>t</w:t>
            </w:r>
            <w:r w:rsidRPr="00952D2B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bottom"/>
          </w:tcPr>
          <w:p w:rsidR="002A4959" w:rsidRPr="00952D2B" w:rsidRDefault="000955B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2A4959" w:rsidRPr="00952D2B">
              <w:rPr>
                <w:sz w:val="18"/>
                <w:szCs w:val="18"/>
              </w:rPr>
              <w:t>21026.16</w:t>
            </w:r>
          </w:p>
        </w:tc>
        <w:tc>
          <w:tcPr>
            <w:tcW w:w="162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3360.921</w:t>
            </w:r>
          </w:p>
        </w:tc>
        <w:tc>
          <w:tcPr>
            <w:tcW w:w="840" w:type="dxa"/>
            <w:vAlign w:val="bottom"/>
          </w:tcPr>
          <w:p w:rsidR="002A4959" w:rsidRPr="00952D2B" w:rsidRDefault="000955B9" w:rsidP="00952D2B">
            <w:pPr>
              <w:spacing w:line="480" w:lineRule="auto"/>
              <w:ind w:left="-108" w:right="-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="002A4959" w:rsidRPr="00952D2B">
              <w:rPr>
                <w:sz w:val="18"/>
                <w:szCs w:val="18"/>
              </w:rPr>
              <w:t>6.256</w:t>
            </w:r>
          </w:p>
        </w:tc>
        <w:tc>
          <w:tcPr>
            <w:tcW w:w="960" w:type="dxa"/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b/>
                <w:sz w:val="18"/>
                <w:szCs w:val="18"/>
              </w:rPr>
            </w:pPr>
            <w:r w:rsidRPr="00952D2B">
              <w:rPr>
                <w:b/>
                <w:sz w:val="18"/>
                <w:szCs w:val="18"/>
              </w:rPr>
              <w:t>0.00</w:t>
            </w:r>
            <w:r w:rsidR="00A371D3" w:rsidRPr="00952D2B">
              <w:rPr>
                <w:b/>
                <w:sz w:val="18"/>
                <w:szCs w:val="18"/>
              </w:rPr>
              <w:t>1</w:t>
            </w:r>
          </w:p>
        </w:tc>
      </w:tr>
      <w:tr w:rsidR="002A4959" w:rsidRPr="00952D2B" w:rsidTr="00432ECE">
        <w:tc>
          <w:tcPr>
            <w:tcW w:w="4140" w:type="dxa"/>
            <w:tcBorders>
              <w:bottom w:val="single" w:sz="4" w:space="0" w:color="auto"/>
            </w:tcBorders>
          </w:tcPr>
          <w:p w:rsidR="002A4959" w:rsidRPr="00952D2B" w:rsidRDefault="002A4959" w:rsidP="00952D2B">
            <w:pPr>
              <w:spacing w:line="480" w:lineRule="auto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Intercept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11422.934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7285.882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ind w:left="-108" w:right="-3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1.568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2A4959" w:rsidRPr="00952D2B" w:rsidRDefault="002A4959" w:rsidP="00952D2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52D2B">
              <w:rPr>
                <w:sz w:val="18"/>
                <w:szCs w:val="18"/>
              </w:rPr>
              <w:t>0.135</w:t>
            </w:r>
          </w:p>
        </w:tc>
      </w:tr>
      <w:bookmarkEnd w:id="0"/>
    </w:tbl>
    <w:p w:rsidR="00DD3909" w:rsidRPr="00952D2B" w:rsidRDefault="00DD3909" w:rsidP="00952D2B">
      <w:pPr>
        <w:spacing w:line="480" w:lineRule="auto"/>
        <w:rPr>
          <w:sz w:val="22"/>
          <w:szCs w:val="22"/>
        </w:rPr>
      </w:pPr>
    </w:p>
    <w:sectPr w:rsidR="00DD3909" w:rsidRPr="00952D2B" w:rsidSect="0074430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D5" w:rsidRDefault="007673D5">
      <w:r>
        <w:separator/>
      </w:r>
    </w:p>
  </w:endnote>
  <w:endnote w:type="continuationSeparator" w:id="0">
    <w:p w:rsidR="007673D5" w:rsidRDefault="0076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0A" w:rsidRDefault="00D6685C" w:rsidP="005640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0D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D0A" w:rsidRDefault="00FE0D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0A" w:rsidRDefault="00D6685C" w:rsidP="005640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0D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351">
      <w:rPr>
        <w:rStyle w:val="PageNumber"/>
        <w:noProof/>
      </w:rPr>
      <w:t>1</w:t>
    </w:r>
    <w:r>
      <w:rPr>
        <w:rStyle w:val="PageNumber"/>
      </w:rPr>
      <w:fldChar w:fldCharType="end"/>
    </w:r>
  </w:p>
  <w:p w:rsidR="00FE0D0A" w:rsidRDefault="00FE0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D5" w:rsidRDefault="007673D5">
      <w:r>
        <w:separator/>
      </w:r>
    </w:p>
  </w:footnote>
  <w:footnote w:type="continuationSeparator" w:id="0">
    <w:p w:rsidR="007673D5" w:rsidRDefault="00767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986"/>
    <w:multiLevelType w:val="multilevel"/>
    <w:tmpl w:val="ED3CA5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8A4DE1"/>
    <w:multiLevelType w:val="hybridMultilevel"/>
    <w:tmpl w:val="ED3CA55C"/>
    <w:lvl w:ilvl="0" w:tplc="F2425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E7943"/>
    <w:multiLevelType w:val="hybridMultilevel"/>
    <w:tmpl w:val="AD68FE48"/>
    <w:lvl w:ilvl="0" w:tplc="F2425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93D69"/>
    <w:multiLevelType w:val="hybridMultilevel"/>
    <w:tmpl w:val="5E90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6E45EA"/>
    <w:multiLevelType w:val="hybridMultilevel"/>
    <w:tmpl w:val="AA040C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asterLibrary.enl&lt;/item&gt;&lt;/Libraries&gt;&lt;/ENLibraries&gt;"/>
  </w:docVars>
  <w:rsids>
    <w:rsidRoot w:val="00403A98"/>
    <w:rsid w:val="00000516"/>
    <w:rsid w:val="00002CEA"/>
    <w:rsid w:val="000040EC"/>
    <w:rsid w:val="00004303"/>
    <w:rsid w:val="00004430"/>
    <w:rsid w:val="000048F3"/>
    <w:rsid w:val="000054D4"/>
    <w:rsid w:val="00005CCA"/>
    <w:rsid w:val="0000635D"/>
    <w:rsid w:val="0000731D"/>
    <w:rsid w:val="00012D5C"/>
    <w:rsid w:val="000139BB"/>
    <w:rsid w:val="00015EF2"/>
    <w:rsid w:val="0001690D"/>
    <w:rsid w:val="00016E93"/>
    <w:rsid w:val="0002515E"/>
    <w:rsid w:val="00031903"/>
    <w:rsid w:val="000341E2"/>
    <w:rsid w:val="0003605C"/>
    <w:rsid w:val="000364FD"/>
    <w:rsid w:val="00036A00"/>
    <w:rsid w:val="00036C62"/>
    <w:rsid w:val="00037140"/>
    <w:rsid w:val="0004044F"/>
    <w:rsid w:val="00040726"/>
    <w:rsid w:val="00040A55"/>
    <w:rsid w:val="00041D07"/>
    <w:rsid w:val="00043924"/>
    <w:rsid w:val="000446C7"/>
    <w:rsid w:val="00044BFE"/>
    <w:rsid w:val="00045BE1"/>
    <w:rsid w:val="000470E0"/>
    <w:rsid w:val="00050A88"/>
    <w:rsid w:val="00052F9F"/>
    <w:rsid w:val="00052FBB"/>
    <w:rsid w:val="000546AC"/>
    <w:rsid w:val="00055330"/>
    <w:rsid w:val="0005661F"/>
    <w:rsid w:val="00062D28"/>
    <w:rsid w:val="00065B55"/>
    <w:rsid w:val="00065E52"/>
    <w:rsid w:val="00070347"/>
    <w:rsid w:val="00070733"/>
    <w:rsid w:val="000720BD"/>
    <w:rsid w:val="00074437"/>
    <w:rsid w:val="0007676C"/>
    <w:rsid w:val="00076EA1"/>
    <w:rsid w:val="00080C0F"/>
    <w:rsid w:val="00081E87"/>
    <w:rsid w:val="0008397E"/>
    <w:rsid w:val="000907E6"/>
    <w:rsid w:val="000935EE"/>
    <w:rsid w:val="00094A87"/>
    <w:rsid w:val="000950EF"/>
    <w:rsid w:val="000955B9"/>
    <w:rsid w:val="000A0A86"/>
    <w:rsid w:val="000A33FD"/>
    <w:rsid w:val="000A4457"/>
    <w:rsid w:val="000A50B3"/>
    <w:rsid w:val="000A55DE"/>
    <w:rsid w:val="000B248E"/>
    <w:rsid w:val="000B2792"/>
    <w:rsid w:val="000B2B1B"/>
    <w:rsid w:val="000B4E66"/>
    <w:rsid w:val="000B5157"/>
    <w:rsid w:val="000B68A0"/>
    <w:rsid w:val="000B6BB6"/>
    <w:rsid w:val="000C098E"/>
    <w:rsid w:val="000C0EFA"/>
    <w:rsid w:val="000C1D8C"/>
    <w:rsid w:val="000C1F41"/>
    <w:rsid w:val="000C3014"/>
    <w:rsid w:val="000C3571"/>
    <w:rsid w:val="000C5CB5"/>
    <w:rsid w:val="000D123D"/>
    <w:rsid w:val="000D1539"/>
    <w:rsid w:val="000D4020"/>
    <w:rsid w:val="000E0DDE"/>
    <w:rsid w:val="000E1478"/>
    <w:rsid w:val="000E2F89"/>
    <w:rsid w:val="000E313F"/>
    <w:rsid w:val="000E3283"/>
    <w:rsid w:val="000E3833"/>
    <w:rsid w:val="000E5BB3"/>
    <w:rsid w:val="000E6793"/>
    <w:rsid w:val="000E734B"/>
    <w:rsid w:val="000F00C0"/>
    <w:rsid w:val="000F51E4"/>
    <w:rsid w:val="000F5BCB"/>
    <w:rsid w:val="000F6173"/>
    <w:rsid w:val="001006A7"/>
    <w:rsid w:val="0010331A"/>
    <w:rsid w:val="001042EB"/>
    <w:rsid w:val="00106162"/>
    <w:rsid w:val="001078A0"/>
    <w:rsid w:val="00110F89"/>
    <w:rsid w:val="00112086"/>
    <w:rsid w:val="00115664"/>
    <w:rsid w:val="00117459"/>
    <w:rsid w:val="00123382"/>
    <w:rsid w:val="00125F0E"/>
    <w:rsid w:val="00127CED"/>
    <w:rsid w:val="00130521"/>
    <w:rsid w:val="00132124"/>
    <w:rsid w:val="001335C8"/>
    <w:rsid w:val="00134154"/>
    <w:rsid w:val="00136CC4"/>
    <w:rsid w:val="00140874"/>
    <w:rsid w:val="00140FAC"/>
    <w:rsid w:val="001424F3"/>
    <w:rsid w:val="0014383D"/>
    <w:rsid w:val="00144080"/>
    <w:rsid w:val="0015216E"/>
    <w:rsid w:val="00154915"/>
    <w:rsid w:val="00155331"/>
    <w:rsid w:val="0015691F"/>
    <w:rsid w:val="00161DE5"/>
    <w:rsid w:val="00163C1A"/>
    <w:rsid w:val="00163F38"/>
    <w:rsid w:val="00167649"/>
    <w:rsid w:val="00171334"/>
    <w:rsid w:val="0017221D"/>
    <w:rsid w:val="0018146C"/>
    <w:rsid w:val="001829D1"/>
    <w:rsid w:val="00184E6C"/>
    <w:rsid w:val="00187457"/>
    <w:rsid w:val="001910A3"/>
    <w:rsid w:val="00191CF8"/>
    <w:rsid w:val="00192379"/>
    <w:rsid w:val="00193DB8"/>
    <w:rsid w:val="00196249"/>
    <w:rsid w:val="001977F2"/>
    <w:rsid w:val="001A07F8"/>
    <w:rsid w:val="001A1F9E"/>
    <w:rsid w:val="001A4D67"/>
    <w:rsid w:val="001A52B3"/>
    <w:rsid w:val="001A620D"/>
    <w:rsid w:val="001A6E7D"/>
    <w:rsid w:val="001A75AD"/>
    <w:rsid w:val="001B16DB"/>
    <w:rsid w:val="001B3565"/>
    <w:rsid w:val="001B4901"/>
    <w:rsid w:val="001B4AE0"/>
    <w:rsid w:val="001B6A9E"/>
    <w:rsid w:val="001C2D5D"/>
    <w:rsid w:val="001C4684"/>
    <w:rsid w:val="001C46B7"/>
    <w:rsid w:val="001D0400"/>
    <w:rsid w:val="001D1978"/>
    <w:rsid w:val="001D2498"/>
    <w:rsid w:val="001D253C"/>
    <w:rsid w:val="001D401A"/>
    <w:rsid w:val="001D540E"/>
    <w:rsid w:val="001E0305"/>
    <w:rsid w:val="001E28EF"/>
    <w:rsid w:val="001E4746"/>
    <w:rsid w:val="001E4FE1"/>
    <w:rsid w:val="001E6FD9"/>
    <w:rsid w:val="001E722F"/>
    <w:rsid w:val="001F0D78"/>
    <w:rsid w:val="001F1CAE"/>
    <w:rsid w:val="001F1D40"/>
    <w:rsid w:val="001F2A5E"/>
    <w:rsid w:val="001F2FD7"/>
    <w:rsid w:val="001F3752"/>
    <w:rsid w:val="001F606B"/>
    <w:rsid w:val="0020108F"/>
    <w:rsid w:val="002020CE"/>
    <w:rsid w:val="00202A96"/>
    <w:rsid w:val="00204C7B"/>
    <w:rsid w:val="002059BF"/>
    <w:rsid w:val="002078B3"/>
    <w:rsid w:val="00210508"/>
    <w:rsid w:val="0021074B"/>
    <w:rsid w:val="002118FF"/>
    <w:rsid w:val="0021206E"/>
    <w:rsid w:val="002130EF"/>
    <w:rsid w:val="00213A38"/>
    <w:rsid w:val="00213B00"/>
    <w:rsid w:val="00214209"/>
    <w:rsid w:val="00215288"/>
    <w:rsid w:val="00215C01"/>
    <w:rsid w:val="00215D82"/>
    <w:rsid w:val="00216A43"/>
    <w:rsid w:val="00225533"/>
    <w:rsid w:val="00225C5C"/>
    <w:rsid w:val="00225E3E"/>
    <w:rsid w:val="00227AD1"/>
    <w:rsid w:val="002373FF"/>
    <w:rsid w:val="0024009B"/>
    <w:rsid w:val="00240870"/>
    <w:rsid w:val="00240FE3"/>
    <w:rsid w:val="002412D8"/>
    <w:rsid w:val="002414F3"/>
    <w:rsid w:val="0024408A"/>
    <w:rsid w:val="00244298"/>
    <w:rsid w:val="00253CE3"/>
    <w:rsid w:val="002542E7"/>
    <w:rsid w:val="002555B0"/>
    <w:rsid w:val="002558F5"/>
    <w:rsid w:val="00257C4A"/>
    <w:rsid w:val="002623DC"/>
    <w:rsid w:val="002638B2"/>
    <w:rsid w:val="0026528E"/>
    <w:rsid w:val="00267709"/>
    <w:rsid w:val="0027034B"/>
    <w:rsid w:val="002733C2"/>
    <w:rsid w:val="0027351A"/>
    <w:rsid w:val="002747AB"/>
    <w:rsid w:val="00274B57"/>
    <w:rsid w:val="00275820"/>
    <w:rsid w:val="00276A09"/>
    <w:rsid w:val="00280C19"/>
    <w:rsid w:val="0028273C"/>
    <w:rsid w:val="00284D45"/>
    <w:rsid w:val="00284E23"/>
    <w:rsid w:val="0029159D"/>
    <w:rsid w:val="0029296E"/>
    <w:rsid w:val="00293652"/>
    <w:rsid w:val="002936B1"/>
    <w:rsid w:val="00297686"/>
    <w:rsid w:val="002A11FB"/>
    <w:rsid w:val="002A4959"/>
    <w:rsid w:val="002A5C72"/>
    <w:rsid w:val="002A67A4"/>
    <w:rsid w:val="002B05BB"/>
    <w:rsid w:val="002B426B"/>
    <w:rsid w:val="002B6A3F"/>
    <w:rsid w:val="002C05F8"/>
    <w:rsid w:val="002C1402"/>
    <w:rsid w:val="002C33ED"/>
    <w:rsid w:val="002C57E4"/>
    <w:rsid w:val="002C5D5C"/>
    <w:rsid w:val="002D0FE7"/>
    <w:rsid w:val="002D4E0B"/>
    <w:rsid w:val="002D53AB"/>
    <w:rsid w:val="002D5E02"/>
    <w:rsid w:val="002D6FC5"/>
    <w:rsid w:val="002D79B0"/>
    <w:rsid w:val="002D7D67"/>
    <w:rsid w:val="002F0948"/>
    <w:rsid w:val="002F2012"/>
    <w:rsid w:val="002F4288"/>
    <w:rsid w:val="002F518A"/>
    <w:rsid w:val="002F62DB"/>
    <w:rsid w:val="00300E1F"/>
    <w:rsid w:val="003046BE"/>
    <w:rsid w:val="00304F1A"/>
    <w:rsid w:val="00306E60"/>
    <w:rsid w:val="00310EC5"/>
    <w:rsid w:val="0031239A"/>
    <w:rsid w:val="00312885"/>
    <w:rsid w:val="00314CE6"/>
    <w:rsid w:val="00317899"/>
    <w:rsid w:val="003246E4"/>
    <w:rsid w:val="00327114"/>
    <w:rsid w:val="0033101D"/>
    <w:rsid w:val="00334CA0"/>
    <w:rsid w:val="00334FC4"/>
    <w:rsid w:val="00335DB2"/>
    <w:rsid w:val="003375D9"/>
    <w:rsid w:val="00342917"/>
    <w:rsid w:val="00342ECC"/>
    <w:rsid w:val="003442EC"/>
    <w:rsid w:val="00345459"/>
    <w:rsid w:val="003477EA"/>
    <w:rsid w:val="003516B1"/>
    <w:rsid w:val="00353D6F"/>
    <w:rsid w:val="00354B5B"/>
    <w:rsid w:val="003564E3"/>
    <w:rsid w:val="00356DDB"/>
    <w:rsid w:val="003574BA"/>
    <w:rsid w:val="00357EBA"/>
    <w:rsid w:val="0036020A"/>
    <w:rsid w:val="0036512C"/>
    <w:rsid w:val="003655FA"/>
    <w:rsid w:val="00367B6C"/>
    <w:rsid w:val="00371351"/>
    <w:rsid w:val="00374FDC"/>
    <w:rsid w:val="0037500E"/>
    <w:rsid w:val="003755AB"/>
    <w:rsid w:val="0037596B"/>
    <w:rsid w:val="00375F42"/>
    <w:rsid w:val="00376532"/>
    <w:rsid w:val="00377B3E"/>
    <w:rsid w:val="00381A71"/>
    <w:rsid w:val="00382A8B"/>
    <w:rsid w:val="00382BFA"/>
    <w:rsid w:val="00383F53"/>
    <w:rsid w:val="00384613"/>
    <w:rsid w:val="00385E3A"/>
    <w:rsid w:val="003864BA"/>
    <w:rsid w:val="00386CE2"/>
    <w:rsid w:val="00391484"/>
    <w:rsid w:val="00392ABD"/>
    <w:rsid w:val="00396A9E"/>
    <w:rsid w:val="003975AC"/>
    <w:rsid w:val="00397F44"/>
    <w:rsid w:val="003A14A9"/>
    <w:rsid w:val="003A29D9"/>
    <w:rsid w:val="003A3A39"/>
    <w:rsid w:val="003A45E5"/>
    <w:rsid w:val="003A5DF7"/>
    <w:rsid w:val="003A679E"/>
    <w:rsid w:val="003A7BF8"/>
    <w:rsid w:val="003B3EB5"/>
    <w:rsid w:val="003B4AD7"/>
    <w:rsid w:val="003B5D02"/>
    <w:rsid w:val="003C1391"/>
    <w:rsid w:val="003C1835"/>
    <w:rsid w:val="003C1B64"/>
    <w:rsid w:val="003C3890"/>
    <w:rsid w:val="003C5CC5"/>
    <w:rsid w:val="003C75BE"/>
    <w:rsid w:val="003C78B4"/>
    <w:rsid w:val="003D105C"/>
    <w:rsid w:val="003D42D4"/>
    <w:rsid w:val="003D55D1"/>
    <w:rsid w:val="003D56E6"/>
    <w:rsid w:val="003D6236"/>
    <w:rsid w:val="003D76AA"/>
    <w:rsid w:val="003E13FE"/>
    <w:rsid w:val="003E2FBE"/>
    <w:rsid w:val="003E5DB1"/>
    <w:rsid w:val="003E5FFC"/>
    <w:rsid w:val="003E66AA"/>
    <w:rsid w:val="003E6F7F"/>
    <w:rsid w:val="003F0078"/>
    <w:rsid w:val="003F128A"/>
    <w:rsid w:val="003F2371"/>
    <w:rsid w:val="003F632B"/>
    <w:rsid w:val="00403A98"/>
    <w:rsid w:val="004047CA"/>
    <w:rsid w:val="00405E68"/>
    <w:rsid w:val="004102BE"/>
    <w:rsid w:val="00411907"/>
    <w:rsid w:val="004127DC"/>
    <w:rsid w:val="00412935"/>
    <w:rsid w:val="00413C17"/>
    <w:rsid w:val="00414421"/>
    <w:rsid w:val="004169A9"/>
    <w:rsid w:val="004172D9"/>
    <w:rsid w:val="00420BEC"/>
    <w:rsid w:val="004212F9"/>
    <w:rsid w:val="00421CED"/>
    <w:rsid w:val="00425AD2"/>
    <w:rsid w:val="00426163"/>
    <w:rsid w:val="00431A97"/>
    <w:rsid w:val="00432ECE"/>
    <w:rsid w:val="0043359D"/>
    <w:rsid w:val="004342E6"/>
    <w:rsid w:val="00436A6D"/>
    <w:rsid w:val="00437190"/>
    <w:rsid w:val="004464CD"/>
    <w:rsid w:val="00446707"/>
    <w:rsid w:val="004547A9"/>
    <w:rsid w:val="00454A39"/>
    <w:rsid w:val="004576BA"/>
    <w:rsid w:val="00462B57"/>
    <w:rsid w:val="004633BD"/>
    <w:rsid w:val="00464318"/>
    <w:rsid w:val="00466BA0"/>
    <w:rsid w:val="0046716C"/>
    <w:rsid w:val="0047141E"/>
    <w:rsid w:val="00472BEE"/>
    <w:rsid w:val="00474EF8"/>
    <w:rsid w:val="0047574D"/>
    <w:rsid w:val="00481CA5"/>
    <w:rsid w:val="00486FC5"/>
    <w:rsid w:val="004874C9"/>
    <w:rsid w:val="00492A55"/>
    <w:rsid w:val="00495E86"/>
    <w:rsid w:val="00497CBC"/>
    <w:rsid w:val="004A16BD"/>
    <w:rsid w:val="004A7D72"/>
    <w:rsid w:val="004B0373"/>
    <w:rsid w:val="004B1864"/>
    <w:rsid w:val="004B2A65"/>
    <w:rsid w:val="004B4B04"/>
    <w:rsid w:val="004B53E6"/>
    <w:rsid w:val="004B5A00"/>
    <w:rsid w:val="004C1A29"/>
    <w:rsid w:val="004C1B4A"/>
    <w:rsid w:val="004C551F"/>
    <w:rsid w:val="004C55A0"/>
    <w:rsid w:val="004C6F2D"/>
    <w:rsid w:val="004D5BBA"/>
    <w:rsid w:val="004D70E3"/>
    <w:rsid w:val="004E112F"/>
    <w:rsid w:val="004E1B1D"/>
    <w:rsid w:val="004E1EA3"/>
    <w:rsid w:val="004E48AF"/>
    <w:rsid w:val="004E5479"/>
    <w:rsid w:val="004F04D6"/>
    <w:rsid w:val="004F54F5"/>
    <w:rsid w:val="004F5D00"/>
    <w:rsid w:val="0050082D"/>
    <w:rsid w:val="00500BF7"/>
    <w:rsid w:val="00500E07"/>
    <w:rsid w:val="00500E4C"/>
    <w:rsid w:val="00502C1A"/>
    <w:rsid w:val="005038F5"/>
    <w:rsid w:val="00503A84"/>
    <w:rsid w:val="005040BF"/>
    <w:rsid w:val="00504185"/>
    <w:rsid w:val="00506108"/>
    <w:rsid w:val="00507B63"/>
    <w:rsid w:val="005117ED"/>
    <w:rsid w:val="00512514"/>
    <w:rsid w:val="00513275"/>
    <w:rsid w:val="0051594B"/>
    <w:rsid w:val="00516171"/>
    <w:rsid w:val="00520842"/>
    <w:rsid w:val="005208F9"/>
    <w:rsid w:val="00527065"/>
    <w:rsid w:val="0053149A"/>
    <w:rsid w:val="00532258"/>
    <w:rsid w:val="00532EB9"/>
    <w:rsid w:val="00536C82"/>
    <w:rsid w:val="00540325"/>
    <w:rsid w:val="0054303C"/>
    <w:rsid w:val="005447B5"/>
    <w:rsid w:val="00546AE3"/>
    <w:rsid w:val="00547CDE"/>
    <w:rsid w:val="00553003"/>
    <w:rsid w:val="00555CBF"/>
    <w:rsid w:val="0055658E"/>
    <w:rsid w:val="005566BC"/>
    <w:rsid w:val="00560781"/>
    <w:rsid w:val="00562690"/>
    <w:rsid w:val="005640D4"/>
    <w:rsid w:val="005648D8"/>
    <w:rsid w:val="00565C62"/>
    <w:rsid w:val="00566DB3"/>
    <w:rsid w:val="00570361"/>
    <w:rsid w:val="00572A5B"/>
    <w:rsid w:val="0057472F"/>
    <w:rsid w:val="0058044A"/>
    <w:rsid w:val="00581AFC"/>
    <w:rsid w:val="005824AA"/>
    <w:rsid w:val="00585F74"/>
    <w:rsid w:val="005862C4"/>
    <w:rsid w:val="00586535"/>
    <w:rsid w:val="0058703A"/>
    <w:rsid w:val="00592507"/>
    <w:rsid w:val="0059253F"/>
    <w:rsid w:val="00592C21"/>
    <w:rsid w:val="00593A32"/>
    <w:rsid w:val="005943B6"/>
    <w:rsid w:val="00596041"/>
    <w:rsid w:val="00596123"/>
    <w:rsid w:val="00596380"/>
    <w:rsid w:val="00597110"/>
    <w:rsid w:val="005A1BA5"/>
    <w:rsid w:val="005A2797"/>
    <w:rsid w:val="005A5870"/>
    <w:rsid w:val="005A6229"/>
    <w:rsid w:val="005A6D2C"/>
    <w:rsid w:val="005A747C"/>
    <w:rsid w:val="005B3FD3"/>
    <w:rsid w:val="005B40F1"/>
    <w:rsid w:val="005B53B2"/>
    <w:rsid w:val="005C2A65"/>
    <w:rsid w:val="005C54C0"/>
    <w:rsid w:val="005C6569"/>
    <w:rsid w:val="005C7C4A"/>
    <w:rsid w:val="005D1189"/>
    <w:rsid w:val="005D13AB"/>
    <w:rsid w:val="005D28B0"/>
    <w:rsid w:val="005D6812"/>
    <w:rsid w:val="005E4ECE"/>
    <w:rsid w:val="005E6AB0"/>
    <w:rsid w:val="005E7A0B"/>
    <w:rsid w:val="005F2EA0"/>
    <w:rsid w:val="005F3BD0"/>
    <w:rsid w:val="005F5E6B"/>
    <w:rsid w:val="006016C9"/>
    <w:rsid w:val="00603367"/>
    <w:rsid w:val="0060585F"/>
    <w:rsid w:val="0060596C"/>
    <w:rsid w:val="00607351"/>
    <w:rsid w:val="006122CA"/>
    <w:rsid w:val="006124F0"/>
    <w:rsid w:val="00612560"/>
    <w:rsid w:val="006125D4"/>
    <w:rsid w:val="006126DA"/>
    <w:rsid w:val="00613F53"/>
    <w:rsid w:val="00616D1E"/>
    <w:rsid w:val="00617373"/>
    <w:rsid w:val="00617929"/>
    <w:rsid w:val="00617953"/>
    <w:rsid w:val="006201A3"/>
    <w:rsid w:val="00621B5A"/>
    <w:rsid w:val="00623A18"/>
    <w:rsid w:val="006240EA"/>
    <w:rsid w:val="006254C0"/>
    <w:rsid w:val="00625BFA"/>
    <w:rsid w:val="00630AAE"/>
    <w:rsid w:val="006318C6"/>
    <w:rsid w:val="006320B0"/>
    <w:rsid w:val="006371D8"/>
    <w:rsid w:val="00637569"/>
    <w:rsid w:val="00637C20"/>
    <w:rsid w:val="0064034E"/>
    <w:rsid w:val="006407AD"/>
    <w:rsid w:val="0064235A"/>
    <w:rsid w:val="006515DB"/>
    <w:rsid w:val="006553AD"/>
    <w:rsid w:val="006566A6"/>
    <w:rsid w:val="0066166C"/>
    <w:rsid w:val="0066266D"/>
    <w:rsid w:val="006675F1"/>
    <w:rsid w:val="006702DC"/>
    <w:rsid w:val="00674F63"/>
    <w:rsid w:val="006755FB"/>
    <w:rsid w:val="006759C8"/>
    <w:rsid w:val="006765DA"/>
    <w:rsid w:val="00680C0E"/>
    <w:rsid w:val="00680F53"/>
    <w:rsid w:val="00682679"/>
    <w:rsid w:val="0068763D"/>
    <w:rsid w:val="006878DF"/>
    <w:rsid w:val="00694996"/>
    <w:rsid w:val="00694D9B"/>
    <w:rsid w:val="00695165"/>
    <w:rsid w:val="00695933"/>
    <w:rsid w:val="006A7675"/>
    <w:rsid w:val="006A7B18"/>
    <w:rsid w:val="006B1CE2"/>
    <w:rsid w:val="006B1E3B"/>
    <w:rsid w:val="006B509D"/>
    <w:rsid w:val="006B79D5"/>
    <w:rsid w:val="006C00EA"/>
    <w:rsid w:val="006C2016"/>
    <w:rsid w:val="006C4C70"/>
    <w:rsid w:val="006C6572"/>
    <w:rsid w:val="006D01A3"/>
    <w:rsid w:val="006D116F"/>
    <w:rsid w:val="006D1C6F"/>
    <w:rsid w:val="006D43E7"/>
    <w:rsid w:val="006D4FB7"/>
    <w:rsid w:val="006D579E"/>
    <w:rsid w:val="006D7C53"/>
    <w:rsid w:val="006E0821"/>
    <w:rsid w:val="006E27E9"/>
    <w:rsid w:val="006E4CF9"/>
    <w:rsid w:val="006E4D4F"/>
    <w:rsid w:val="006E5EAF"/>
    <w:rsid w:val="006E7003"/>
    <w:rsid w:val="006E776D"/>
    <w:rsid w:val="006F08CB"/>
    <w:rsid w:val="006F3BE7"/>
    <w:rsid w:val="006F4815"/>
    <w:rsid w:val="00704A0F"/>
    <w:rsid w:val="00704DFB"/>
    <w:rsid w:val="00705586"/>
    <w:rsid w:val="007056CB"/>
    <w:rsid w:val="00707563"/>
    <w:rsid w:val="007122C5"/>
    <w:rsid w:val="00713B03"/>
    <w:rsid w:val="00713EBD"/>
    <w:rsid w:val="00714D01"/>
    <w:rsid w:val="00717ABA"/>
    <w:rsid w:val="0072005E"/>
    <w:rsid w:val="0072531F"/>
    <w:rsid w:val="00727E7E"/>
    <w:rsid w:val="00727EA7"/>
    <w:rsid w:val="00731D69"/>
    <w:rsid w:val="007413FE"/>
    <w:rsid w:val="00742F48"/>
    <w:rsid w:val="00743C3D"/>
    <w:rsid w:val="00744301"/>
    <w:rsid w:val="00744CA4"/>
    <w:rsid w:val="00745500"/>
    <w:rsid w:val="00751706"/>
    <w:rsid w:val="00753BD4"/>
    <w:rsid w:val="00755D6D"/>
    <w:rsid w:val="00757219"/>
    <w:rsid w:val="00761396"/>
    <w:rsid w:val="00761B40"/>
    <w:rsid w:val="007622A1"/>
    <w:rsid w:val="00762D05"/>
    <w:rsid w:val="00762D37"/>
    <w:rsid w:val="00763F13"/>
    <w:rsid w:val="00763F87"/>
    <w:rsid w:val="0076448A"/>
    <w:rsid w:val="007669C4"/>
    <w:rsid w:val="00766C39"/>
    <w:rsid w:val="007673D5"/>
    <w:rsid w:val="0077035E"/>
    <w:rsid w:val="00771170"/>
    <w:rsid w:val="007712D6"/>
    <w:rsid w:val="00772DC7"/>
    <w:rsid w:val="00775765"/>
    <w:rsid w:val="00777C72"/>
    <w:rsid w:val="0078108B"/>
    <w:rsid w:val="00781B16"/>
    <w:rsid w:val="0078243F"/>
    <w:rsid w:val="00783277"/>
    <w:rsid w:val="0078760C"/>
    <w:rsid w:val="00792A26"/>
    <w:rsid w:val="007940D5"/>
    <w:rsid w:val="00794DE9"/>
    <w:rsid w:val="0079515A"/>
    <w:rsid w:val="00797416"/>
    <w:rsid w:val="007A067C"/>
    <w:rsid w:val="007A1712"/>
    <w:rsid w:val="007A2D6B"/>
    <w:rsid w:val="007A383A"/>
    <w:rsid w:val="007A3DBF"/>
    <w:rsid w:val="007A4022"/>
    <w:rsid w:val="007A5EE4"/>
    <w:rsid w:val="007B0206"/>
    <w:rsid w:val="007B03F4"/>
    <w:rsid w:val="007B3923"/>
    <w:rsid w:val="007C1CC6"/>
    <w:rsid w:val="007C2319"/>
    <w:rsid w:val="007C33D6"/>
    <w:rsid w:val="007C42AE"/>
    <w:rsid w:val="007C51D8"/>
    <w:rsid w:val="007C7485"/>
    <w:rsid w:val="007D0EB4"/>
    <w:rsid w:val="007D1865"/>
    <w:rsid w:val="007D3B31"/>
    <w:rsid w:val="007D3EFC"/>
    <w:rsid w:val="007D5CB3"/>
    <w:rsid w:val="007D695A"/>
    <w:rsid w:val="007E2334"/>
    <w:rsid w:val="007E2AE3"/>
    <w:rsid w:val="007E3430"/>
    <w:rsid w:val="007E5A88"/>
    <w:rsid w:val="007E5FB4"/>
    <w:rsid w:val="007E6158"/>
    <w:rsid w:val="007E74CB"/>
    <w:rsid w:val="007F1BC2"/>
    <w:rsid w:val="007F1C07"/>
    <w:rsid w:val="007F4957"/>
    <w:rsid w:val="007F701B"/>
    <w:rsid w:val="007F739F"/>
    <w:rsid w:val="00800FB6"/>
    <w:rsid w:val="008026A8"/>
    <w:rsid w:val="00810E63"/>
    <w:rsid w:val="008143AE"/>
    <w:rsid w:val="008158B1"/>
    <w:rsid w:val="00815B20"/>
    <w:rsid w:val="00816C0F"/>
    <w:rsid w:val="008172FD"/>
    <w:rsid w:val="00817796"/>
    <w:rsid w:val="00821237"/>
    <w:rsid w:val="00822483"/>
    <w:rsid w:val="008227D4"/>
    <w:rsid w:val="0082644F"/>
    <w:rsid w:val="008265E3"/>
    <w:rsid w:val="00826E5D"/>
    <w:rsid w:val="00827F66"/>
    <w:rsid w:val="008309D8"/>
    <w:rsid w:val="00830B28"/>
    <w:rsid w:val="00830BA1"/>
    <w:rsid w:val="00832FD7"/>
    <w:rsid w:val="008331A9"/>
    <w:rsid w:val="00833C0B"/>
    <w:rsid w:val="00834A99"/>
    <w:rsid w:val="00835B4C"/>
    <w:rsid w:val="00837189"/>
    <w:rsid w:val="008377DA"/>
    <w:rsid w:val="00840834"/>
    <w:rsid w:val="00842806"/>
    <w:rsid w:val="00843EB6"/>
    <w:rsid w:val="00845614"/>
    <w:rsid w:val="00847683"/>
    <w:rsid w:val="00856650"/>
    <w:rsid w:val="0086045B"/>
    <w:rsid w:val="00861390"/>
    <w:rsid w:val="0086142F"/>
    <w:rsid w:val="00864814"/>
    <w:rsid w:val="00866577"/>
    <w:rsid w:val="00872E94"/>
    <w:rsid w:val="008761F5"/>
    <w:rsid w:val="00876697"/>
    <w:rsid w:val="00880F35"/>
    <w:rsid w:val="00884F48"/>
    <w:rsid w:val="00885DEB"/>
    <w:rsid w:val="00886073"/>
    <w:rsid w:val="00887BE6"/>
    <w:rsid w:val="00892F58"/>
    <w:rsid w:val="00896C70"/>
    <w:rsid w:val="008978E7"/>
    <w:rsid w:val="008979C8"/>
    <w:rsid w:val="008A1174"/>
    <w:rsid w:val="008A38BE"/>
    <w:rsid w:val="008A4AD6"/>
    <w:rsid w:val="008A5CA7"/>
    <w:rsid w:val="008A602E"/>
    <w:rsid w:val="008B27A9"/>
    <w:rsid w:val="008B6737"/>
    <w:rsid w:val="008C20F2"/>
    <w:rsid w:val="008C27AA"/>
    <w:rsid w:val="008D1225"/>
    <w:rsid w:val="008D1ACA"/>
    <w:rsid w:val="008D3D38"/>
    <w:rsid w:val="008D4F77"/>
    <w:rsid w:val="008D7897"/>
    <w:rsid w:val="008E01C5"/>
    <w:rsid w:val="008E0B10"/>
    <w:rsid w:val="008E381B"/>
    <w:rsid w:val="008E3D00"/>
    <w:rsid w:val="008E5FD3"/>
    <w:rsid w:val="008E7440"/>
    <w:rsid w:val="008F0027"/>
    <w:rsid w:val="008F1D32"/>
    <w:rsid w:val="008F2335"/>
    <w:rsid w:val="008F2DF4"/>
    <w:rsid w:val="008F444A"/>
    <w:rsid w:val="008F613E"/>
    <w:rsid w:val="008F7A11"/>
    <w:rsid w:val="008F7E32"/>
    <w:rsid w:val="0090044E"/>
    <w:rsid w:val="00903768"/>
    <w:rsid w:val="00903AD4"/>
    <w:rsid w:val="009074C1"/>
    <w:rsid w:val="00910F2F"/>
    <w:rsid w:val="0091170E"/>
    <w:rsid w:val="00913C1C"/>
    <w:rsid w:val="00916F02"/>
    <w:rsid w:val="00930B38"/>
    <w:rsid w:val="00932FC9"/>
    <w:rsid w:val="009340AF"/>
    <w:rsid w:val="009352AD"/>
    <w:rsid w:val="009355EC"/>
    <w:rsid w:val="009356F0"/>
    <w:rsid w:val="00946775"/>
    <w:rsid w:val="00946C1B"/>
    <w:rsid w:val="00951EC7"/>
    <w:rsid w:val="00952D2B"/>
    <w:rsid w:val="00952E67"/>
    <w:rsid w:val="00952E79"/>
    <w:rsid w:val="00953802"/>
    <w:rsid w:val="00953AF8"/>
    <w:rsid w:val="009600C2"/>
    <w:rsid w:val="00960A29"/>
    <w:rsid w:val="00963D63"/>
    <w:rsid w:val="0096479D"/>
    <w:rsid w:val="009668EE"/>
    <w:rsid w:val="00973012"/>
    <w:rsid w:val="00975B77"/>
    <w:rsid w:val="0097797D"/>
    <w:rsid w:val="00981A11"/>
    <w:rsid w:val="009854FC"/>
    <w:rsid w:val="00985788"/>
    <w:rsid w:val="009858C5"/>
    <w:rsid w:val="00985DB5"/>
    <w:rsid w:val="00987AA3"/>
    <w:rsid w:val="00991B02"/>
    <w:rsid w:val="009937B4"/>
    <w:rsid w:val="00994134"/>
    <w:rsid w:val="00997668"/>
    <w:rsid w:val="009977FB"/>
    <w:rsid w:val="009A117E"/>
    <w:rsid w:val="009A3480"/>
    <w:rsid w:val="009A5903"/>
    <w:rsid w:val="009B54F3"/>
    <w:rsid w:val="009B566D"/>
    <w:rsid w:val="009C3644"/>
    <w:rsid w:val="009C56C5"/>
    <w:rsid w:val="009D2A4B"/>
    <w:rsid w:val="009D350D"/>
    <w:rsid w:val="009D3C53"/>
    <w:rsid w:val="009E13A1"/>
    <w:rsid w:val="009E311B"/>
    <w:rsid w:val="009E3A2A"/>
    <w:rsid w:val="009E418D"/>
    <w:rsid w:val="009E5E08"/>
    <w:rsid w:val="009E5E15"/>
    <w:rsid w:val="009F07C7"/>
    <w:rsid w:val="009F0AA6"/>
    <w:rsid w:val="009F1F15"/>
    <w:rsid w:val="009F328A"/>
    <w:rsid w:val="009F6194"/>
    <w:rsid w:val="00A00722"/>
    <w:rsid w:val="00A00D87"/>
    <w:rsid w:val="00A03306"/>
    <w:rsid w:val="00A04F33"/>
    <w:rsid w:val="00A05C2B"/>
    <w:rsid w:val="00A072CB"/>
    <w:rsid w:val="00A07ECD"/>
    <w:rsid w:val="00A11F4E"/>
    <w:rsid w:val="00A135E9"/>
    <w:rsid w:val="00A16236"/>
    <w:rsid w:val="00A16BFF"/>
    <w:rsid w:val="00A17BEE"/>
    <w:rsid w:val="00A2060A"/>
    <w:rsid w:val="00A20CCF"/>
    <w:rsid w:val="00A27403"/>
    <w:rsid w:val="00A31269"/>
    <w:rsid w:val="00A31F54"/>
    <w:rsid w:val="00A33C2E"/>
    <w:rsid w:val="00A33E06"/>
    <w:rsid w:val="00A342A5"/>
    <w:rsid w:val="00A34CF0"/>
    <w:rsid w:val="00A3681D"/>
    <w:rsid w:val="00A3701A"/>
    <w:rsid w:val="00A371D3"/>
    <w:rsid w:val="00A40BBA"/>
    <w:rsid w:val="00A45D55"/>
    <w:rsid w:val="00A45F15"/>
    <w:rsid w:val="00A46A48"/>
    <w:rsid w:val="00A4790F"/>
    <w:rsid w:val="00A504AE"/>
    <w:rsid w:val="00A50CFE"/>
    <w:rsid w:val="00A51B71"/>
    <w:rsid w:val="00A521A7"/>
    <w:rsid w:val="00A521E9"/>
    <w:rsid w:val="00A56153"/>
    <w:rsid w:val="00A56ABC"/>
    <w:rsid w:val="00A56EB7"/>
    <w:rsid w:val="00A57824"/>
    <w:rsid w:val="00A61652"/>
    <w:rsid w:val="00A6265A"/>
    <w:rsid w:val="00A628C9"/>
    <w:rsid w:val="00A64FC6"/>
    <w:rsid w:val="00A66DC7"/>
    <w:rsid w:val="00A70E14"/>
    <w:rsid w:val="00A7397F"/>
    <w:rsid w:val="00A744BF"/>
    <w:rsid w:val="00A753CD"/>
    <w:rsid w:val="00A75A2F"/>
    <w:rsid w:val="00A76E76"/>
    <w:rsid w:val="00A80B51"/>
    <w:rsid w:val="00A81E71"/>
    <w:rsid w:val="00A821A9"/>
    <w:rsid w:val="00A82650"/>
    <w:rsid w:val="00A85D5B"/>
    <w:rsid w:val="00A86578"/>
    <w:rsid w:val="00A87218"/>
    <w:rsid w:val="00A90705"/>
    <w:rsid w:val="00A91D16"/>
    <w:rsid w:val="00A91F10"/>
    <w:rsid w:val="00A9226F"/>
    <w:rsid w:val="00A93768"/>
    <w:rsid w:val="00A9463B"/>
    <w:rsid w:val="00A94F33"/>
    <w:rsid w:val="00A96C30"/>
    <w:rsid w:val="00A97408"/>
    <w:rsid w:val="00AA24C3"/>
    <w:rsid w:val="00AA28DA"/>
    <w:rsid w:val="00AA40C7"/>
    <w:rsid w:val="00AA410C"/>
    <w:rsid w:val="00AA7C0C"/>
    <w:rsid w:val="00AB356B"/>
    <w:rsid w:val="00AB3CDE"/>
    <w:rsid w:val="00AB4412"/>
    <w:rsid w:val="00AB6709"/>
    <w:rsid w:val="00AB6E49"/>
    <w:rsid w:val="00AB6E4C"/>
    <w:rsid w:val="00AC0E8C"/>
    <w:rsid w:val="00AC44A7"/>
    <w:rsid w:val="00AC56F9"/>
    <w:rsid w:val="00AD0CB2"/>
    <w:rsid w:val="00AD1DA9"/>
    <w:rsid w:val="00AD200C"/>
    <w:rsid w:val="00AD2D93"/>
    <w:rsid w:val="00AD3538"/>
    <w:rsid w:val="00AD3756"/>
    <w:rsid w:val="00AD4671"/>
    <w:rsid w:val="00AD74D6"/>
    <w:rsid w:val="00AE1B1D"/>
    <w:rsid w:val="00AE67EF"/>
    <w:rsid w:val="00AE75E6"/>
    <w:rsid w:val="00AF1704"/>
    <w:rsid w:val="00AF4BB2"/>
    <w:rsid w:val="00AF5932"/>
    <w:rsid w:val="00AF79A5"/>
    <w:rsid w:val="00B0187D"/>
    <w:rsid w:val="00B01E14"/>
    <w:rsid w:val="00B0307D"/>
    <w:rsid w:val="00B03948"/>
    <w:rsid w:val="00B1068D"/>
    <w:rsid w:val="00B111A7"/>
    <w:rsid w:val="00B12581"/>
    <w:rsid w:val="00B13269"/>
    <w:rsid w:val="00B14D96"/>
    <w:rsid w:val="00B158D7"/>
    <w:rsid w:val="00B213AF"/>
    <w:rsid w:val="00B21AF6"/>
    <w:rsid w:val="00B2548D"/>
    <w:rsid w:val="00B2689B"/>
    <w:rsid w:val="00B2787E"/>
    <w:rsid w:val="00B32061"/>
    <w:rsid w:val="00B32997"/>
    <w:rsid w:val="00B3440E"/>
    <w:rsid w:val="00B351FF"/>
    <w:rsid w:val="00B3653C"/>
    <w:rsid w:val="00B4036D"/>
    <w:rsid w:val="00B414C8"/>
    <w:rsid w:val="00B41FFC"/>
    <w:rsid w:val="00B42E88"/>
    <w:rsid w:val="00B44C40"/>
    <w:rsid w:val="00B4500C"/>
    <w:rsid w:val="00B4688A"/>
    <w:rsid w:val="00B46F41"/>
    <w:rsid w:val="00B611AC"/>
    <w:rsid w:val="00B65325"/>
    <w:rsid w:val="00B72458"/>
    <w:rsid w:val="00B72602"/>
    <w:rsid w:val="00B72BBB"/>
    <w:rsid w:val="00B72D93"/>
    <w:rsid w:val="00B736F1"/>
    <w:rsid w:val="00B73DBC"/>
    <w:rsid w:val="00B7448B"/>
    <w:rsid w:val="00B76333"/>
    <w:rsid w:val="00B76909"/>
    <w:rsid w:val="00B774A8"/>
    <w:rsid w:val="00B85B7E"/>
    <w:rsid w:val="00B85C15"/>
    <w:rsid w:val="00B86F1B"/>
    <w:rsid w:val="00B9200C"/>
    <w:rsid w:val="00B922CD"/>
    <w:rsid w:val="00B9242C"/>
    <w:rsid w:val="00B92E79"/>
    <w:rsid w:val="00B949B9"/>
    <w:rsid w:val="00B95DF9"/>
    <w:rsid w:val="00B974A2"/>
    <w:rsid w:val="00BA3305"/>
    <w:rsid w:val="00BA391D"/>
    <w:rsid w:val="00BA62E5"/>
    <w:rsid w:val="00BB314F"/>
    <w:rsid w:val="00BB376C"/>
    <w:rsid w:val="00BB46EC"/>
    <w:rsid w:val="00BB7127"/>
    <w:rsid w:val="00BC4FA8"/>
    <w:rsid w:val="00BC4FE9"/>
    <w:rsid w:val="00BC5E85"/>
    <w:rsid w:val="00BC5F18"/>
    <w:rsid w:val="00BD2481"/>
    <w:rsid w:val="00BD3471"/>
    <w:rsid w:val="00BD34BA"/>
    <w:rsid w:val="00BD48D9"/>
    <w:rsid w:val="00BD63AA"/>
    <w:rsid w:val="00BD7124"/>
    <w:rsid w:val="00BE0CD7"/>
    <w:rsid w:val="00BE1491"/>
    <w:rsid w:val="00BE4685"/>
    <w:rsid w:val="00BE71C3"/>
    <w:rsid w:val="00BF1071"/>
    <w:rsid w:val="00C001D7"/>
    <w:rsid w:val="00C00DC7"/>
    <w:rsid w:val="00C012BB"/>
    <w:rsid w:val="00C02BE7"/>
    <w:rsid w:val="00C04A86"/>
    <w:rsid w:val="00C05012"/>
    <w:rsid w:val="00C05503"/>
    <w:rsid w:val="00C07A7F"/>
    <w:rsid w:val="00C14AF7"/>
    <w:rsid w:val="00C15581"/>
    <w:rsid w:val="00C17360"/>
    <w:rsid w:val="00C2233C"/>
    <w:rsid w:val="00C257BF"/>
    <w:rsid w:val="00C25EB3"/>
    <w:rsid w:val="00C272BC"/>
    <w:rsid w:val="00C31ADD"/>
    <w:rsid w:val="00C349B6"/>
    <w:rsid w:val="00C369BD"/>
    <w:rsid w:val="00C403A7"/>
    <w:rsid w:val="00C41E20"/>
    <w:rsid w:val="00C42EF4"/>
    <w:rsid w:val="00C463E3"/>
    <w:rsid w:val="00C50CA8"/>
    <w:rsid w:val="00C512C2"/>
    <w:rsid w:val="00C54677"/>
    <w:rsid w:val="00C55463"/>
    <w:rsid w:val="00C56455"/>
    <w:rsid w:val="00C57CF1"/>
    <w:rsid w:val="00C63324"/>
    <w:rsid w:val="00C65181"/>
    <w:rsid w:val="00C663AA"/>
    <w:rsid w:val="00C72B70"/>
    <w:rsid w:val="00C733CE"/>
    <w:rsid w:val="00C74E28"/>
    <w:rsid w:val="00C850B9"/>
    <w:rsid w:val="00C906B4"/>
    <w:rsid w:val="00C9078B"/>
    <w:rsid w:val="00C9388E"/>
    <w:rsid w:val="00C96EF4"/>
    <w:rsid w:val="00CA05C8"/>
    <w:rsid w:val="00CA31DF"/>
    <w:rsid w:val="00CA3A72"/>
    <w:rsid w:val="00CA4C2E"/>
    <w:rsid w:val="00CB2F65"/>
    <w:rsid w:val="00CB471C"/>
    <w:rsid w:val="00CB7FA5"/>
    <w:rsid w:val="00CC535D"/>
    <w:rsid w:val="00CC69CE"/>
    <w:rsid w:val="00CC6D62"/>
    <w:rsid w:val="00CD01BD"/>
    <w:rsid w:val="00CD06C1"/>
    <w:rsid w:val="00CD0D79"/>
    <w:rsid w:val="00CD1E6B"/>
    <w:rsid w:val="00CD26BE"/>
    <w:rsid w:val="00CD42C8"/>
    <w:rsid w:val="00CD4542"/>
    <w:rsid w:val="00CD486B"/>
    <w:rsid w:val="00CD5B56"/>
    <w:rsid w:val="00CD6FA5"/>
    <w:rsid w:val="00CE377B"/>
    <w:rsid w:val="00CE49BE"/>
    <w:rsid w:val="00CE5526"/>
    <w:rsid w:val="00CE5B18"/>
    <w:rsid w:val="00CE7781"/>
    <w:rsid w:val="00CF1D3C"/>
    <w:rsid w:val="00CF4053"/>
    <w:rsid w:val="00CF5C9E"/>
    <w:rsid w:val="00CF7236"/>
    <w:rsid w:val="00CF7E6B"/>
    <w:rsid w:val="00D002CA"/>
    <w:rsid w:val="00D02374"/>
    <w:rsid w:val="00D05B7E"/>
    <w:rsid w:val="00D07BED"/>
    <w:rsid w:val="00D103AC"/>
    <w:rsid w:val="00D115DE"/>
    <w:rsid w:val="00D13D8B"/>
    <w:rsid w:val="00D23428"/>
    <w:rsid w:val="00D24050"/>
    <w:rsid w:val="00D243B4"/>
    <w:rsid w:val="00D253BD"/>
    <w:rsid w:val="00D260D0"/>
    <w:rsid w:val="00D26295"/>
    <w:rsid w:val="00D264F2"/>
    <w:rsid w:val="00D26E96"/>
    <w:rsid w:val="00D31AFA"/>
    <w:rsid w:val="00D32364"/>
    <w:rsid w:val="00D3391D"/>
    <w:rsid w:val="00D35F4B"/>
    <w:rsid w:val="00D36F5B"/>
    <w:rsid w:val="00D417A3"/>
    <w:rsid w:val="00D445F2"/>
    <w:rsid w:val="00D44ECF"/>
    <w:rsid w:val="00D45F5F"/>
    <w:rsid w:val="00D4645C"/>
    <w:rsid w:val="00D4688F"/>
    <w:rsid w:val="00D52C68"/>
    <w:rsid w:val="00D55B8A"/>
    <w:rsid w:val="00D6026E"/>
    <w:rsid w:val="00D6040C"/>
    <w:rsid w:val="00D616DC"/>
    <w:rsid w:val="00D62B1A"/>
    <w:rsid w:val="00D63679"/>
    <w:rsid w:val="00D64B12"/>
    <w:rsid w:val="00D6685C"/>
    <w:rsid w:val="00D72BAB"/>
    <w:rsid w:val="00D75140"/>
    <w:rsid w:val="00D7625C"/>
    <w:rsid w:val="00D7625F"/>
    <w:rsid w:val="00D765EF"/>
    <w:rsid w:val="00D80F47"/>
    <w:rsid w:val="00D873E0"/>
    <w:rsid w:val="00D90776"/>
    <w:rsid w:val="00D90FDD"/>
    <w:rsid w:val="00D92A01"/>
    <w:rsid w:val="00DA1928"/>
    <w:rsid w:val="00DA2AB6"/>
    <w:rsid w:val="00DA3E10"/>
    <w:rsid w:val="00DA6034"/>
    <w:rsid w:val="00DA66E9"/>
    <w:rsid w:val="00DA6C26"/>
    <w:rsid w:val="00DB59B8"/>
    <w:rsid w:val="00DB622B"/>
    <w:rsid w:val="00DB637A"/>
    <w:rsid w:val="00DC2F9F"/>
    <w:rsid w:val="00DD06FD"/>
    <w:rsid w:val="00DD2311"/>
    <w:rsid w:val="00DD3909"/>
    <w:rsid w:val="00DD4414"/>
    <w:rsid w:val="00DD4432"/>
    <w:rsid w:val="00DD4A2D"/>
    <w:rsid w:val="00DD4A9A"/>
    <w:rsid w:val="00DE48E0"/>
    <w:rsid w:val="00DE6D62"/>
    <w:rsid w:val="00DF1441"/>
    <w:rsid w:val="00DF1617"/>
    <w:rsid w:val="00DF3907"/>
    <w:rsid w:val="00DF4A12"/>
    <w:rsid w:val="00DF5226"/>
    <w:rsid w:val="00E00200"/>
    <w:rsid w:val="00E00A62"/>
    <w:rsid w:val="00E03AD8"/>
    <w:rsid w:val="00E062B3"/>
    <w:rsid w:val="00E0674F"/>
    <w:rsid w:val="00E11685"/>
    <w:rsid w:val="00E11EC4"/>
    <w:rsid w:val="00E12BD1"/>
    <w:rsid w:val="00E12E0B"/>
    <w:rsid w:val="00E13219"/>
    <w:rsid w:val="00E13A08"/>
    <w:rsid w:val="00E13F9B"/>
    <w:rsid w:val="00E24295"/>
    <w:rsid w:val="00E255A1"/>
    <w:rsid w:val="00E26989"/>
    <w:rsid w:val="00E27B0A"/>
    <w:rsid w:val="00E27FE2"/>
    <w:rsid w:val="00E344EE"/>
    <w:rsid w:val="00E35AC8"/>
    <w:rsid w:val="00E36EA4"/>
    <w:rsid w:val="00E405AC"/>
    <w:rsid w:val="00E40D6C"/>
    <w:rsid w:val="00E41A4E"/>
    <w:rsid w:val="00E41C02"/>
    <w:rsid w:val="00E45467"/>
    <w:rsid w:val="00E5042D"/>
    <w:rsid w:val="00E52A77"/>
    <w:rsid w:val="00E53773"/>
    <w:rsid w:val="00E541D4"/>
    <w:rsid w:val="00E54F31"/>
    <w:rsid w:val="00E5623B"/>
    <w:rsid w:val="00E569F5"/>
    <w:rsid w:val="00E71D96"/>
    <w:rsid w:val="00E73613"/>
    <w:rsid w:val="00E736D4"/>
    <w:rsid w:val="00E739BE"/>
    <w:rsid w:val="00E74875"/>
    <w:rsid w:val="00E771C9"/>
    <w:rsid w:val="00E85563"/>
    <w:rsid w:val="00E86A37"/>
    <w:rsid w:val="00E87776"/>
    <w:rsid w:val="00E940B9"/>
    <w:rsid w:val="00EA1000"/>
    <w:rsid w:val="00EA2AD5"/>
    <w:rsid w:val="00EA323D"/>
    <w:rsid w:val="00EA495D"/>
    <w:rsid w:val="00EA5631"/>
    <w:rsid w:val="00EA78E6"/>
    <w:rsid w:val="00EA7920"/>
    <w:rsid w:val="00EA7CE9"/>
    <w:rsid w:val="00EB059B"/>
    <w:rsid w:val="00EB0F7D"/>
    <w:rsid w:val="00EB22D7"/>
    <w:rsid w:val="00EB2996"/>
    <w:rsid w:val="00EB2FDE"/>
    <w:rsid w:val="00EB3F80"/>
    <w:rsid w:val="00EB4B16"/>
    <w:rsid w:val="00EB65B8"/>
    <w:rsid w:val="00EC0D81"/>
    <w:rsid w:val="00ED05D1"/>
    <w:rsid w:val="00ED0F8B"/>
    <w:rsid w:val="00ED11CE"/>
    <w:rsid w:val="00ED355E"/>
    <w:rsid w:val="00ED3CF4"/>
    <w:rsid w:val="00ED4B1A"/>
    <w:rsid w:val="00ED7267"/>
    <w:rsid w:val="00EE32AC"/>
    <w:rsid w:val="00EE3ADF"/>
    <w:rsid w:val="00EE4C79"/>
    <w:rsid w:val="00EE5B39"/>
    <w:rsid w:val="00EE6A7F"/>
    <w:rsid w:val="00EE79C2"/>
    <w:rsid w:val="00EE7FD0"/>
    <w:rsid w:val="00EF0A03"/>
    <w:rsid w:val="00EF1A0E"/>
    <w:rsid w:val="00EF25BB"/>
    <w:rsid w:val="00EF38F4"/>
    <w:rsid w:val="00EF3A8E"/>
    <w:rsid w:val="00EF54B2"/>
    <w:rsid w:val="00EF727C"/>
    <w:rsid w:val="00F011D8"/>
    <w:rsid w:val="00F01E29"/>
    <w:rsid w:val="00F04791"/>
    <w:rsid w:val="00F07FC2"/>
    <w:rsid w:val="00F1041C"/>
    <w:rsid w:val="00F11C23"/>
    <w:rsid w:val="00F16FB0"/>
    <w:rsid w:val="00F179AE"/>
    <w:rsid w:val="00F20BAF"/>
    <w:rsid w:val="00F2222B"/>
    <w:rsid w:val="00F261BF"/>
    <w:rsid w:val="00F309E5"/>
    <w:rsid w:val="00F30E9F"/>
    <w:rsid w:val="00F311C9"/>
    <w:rsid w:val="00F32244"/>
    <w:rsid w:val="00F34757"/>
    <w:rsid w:val="00F40197"/>
    <w:rsid w:val="00F426DD"/>
    <w:rsid w:val="00F502B6"/>
    <w:rsid w:val="00F50B73"/>
    <w:rsid w:val="00F5310B"/>
    <w:rsid w:val="00F53E2F"/>
    <w:rsid w:val="00F56731"/>
    <w:rsid w:val="00F606B4"/>
    <w:rsid w:val="00F618FC"/>
    <w:rsid w:val="00F66716"/>
    <w:rsid w:val="00F66CFA"/>
    <w:rsid w:val="00F67E56"/>
    <w:rsid w:val="00F7046C"/>
    <w:rsid w:val="00F705F1"/>
    <w:rsid w:val="00F72BBE"/>
    <w:rsid w:val="00F73B75"/>
    <w:rsid w:val="00F7635B"/>
    <w:rsid w:val="00F808D8"/>
    <w:rsid w:val="00F82681"/>
    <w:rsid w:val="00F83975"/>
    <w:rsid w:val="00F904C6"/>
    <w:rsid w:val="00F92BD9"/>
    <w:rsid w:val="00F93256"/>
    <w:rsid w:val="00F94762"/>
    <w:rsid w:val="00FA1B00"/>
    <w:rsid w:val="00FA1D7D"/>
    <w:rsid w:val="00FA3933"/>
    <w:rsid w:val="00FA7DF9"/>
    <w:rsid w:val="00FB013E"/>
    <w:rsid w:val="00FB1BA4"/>
    <w:rsid w:val="00FB22BF"/>
    <w:rsid w:val="00FB47CE"/>
    <w:rsid w:val="00FB684E"/>
    <w:rsid w:val="00FB7273"/>
    <w:rsid w:val="00FB7356"/>
    <w:rsid w:val="00FC143B"/>
    <w:rsid w:val="00FC27E9"/>
    <w:rsid w:val="00FC34CF"/>
    <w:rsid w:val="00FC4621"/>
    <w:rsid w:val="00FC6589"/>
    <w:rsid w:val="00FC658E"/>
    <w:rsid w:val="00FC7140"/>
    <w:rsid w:val="00FD08A3"/>
    <w:rsid w:val="00FD1FCF"/>
    <w:rsid w:val="00FD4A82"/>
    <w:rsid w:val="00FD5373"/>
    <w:rsid w:val="00FD640E"/>
    <w:rsid w:val="00FD6776"/>
    <w:rsid w:val="00FE0920"/>
    <w:rsid w:val="00FE0D0A"/>
    <w:rsid w:val="00FE3503"/>
    <w:rsid w:val="00FE6579"/>
    <w:rsid w:val="00FF1C88"/>
    <w:rsid w:val="00FF22A9"/>
    <w:rsid w:val="00F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85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85563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5563"/>
    <w:pPr>
      <w:keepNext/>
      <w:spacing w:before="60" w:after="60"/>
      <w:outlineLvl w:val="2"/>
    </w:pPr>
    <w:rPr>
      <w:rFonts w:cs="Arial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47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47A9"/>
  </w:style>
  <w:style w:type="table" w:styleId="TableGrid">
    <w:name w:val="Table Grid"/>
    <w:basedOn w:val="TableNormal"/>
    <w:rsid w:val="009A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C04A86"/>
  </w:style>
  <w:style w:type="character" w:styleId="Hyperlink">
    <w:name w:val="Hyperlink"/>
    <w:rsid w:val="00C04A86"/>
    <w:rPr>
      <w:color w:val="0000FF"/>
      <w:u w:val="single"/>
    </w:rPr>
  </w:style>
  <w:style w:type="paragraph" w:customStyle="1" w:styleId="Default">
    <w:name w:val="Default"/>
    <w:rsid w:val="00AD2D9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semiHidden/>
    <w:rsid w:val="005A6D2C"/>
    <w:rPr>
      <w:sz w:val="20"/>
      <w:szCs w:val="20"/>
    </w:rPr>
  </w:style>
  <w:style w:type="character" w:styleId="FootnoteReference">
    <w:name w:val="footnote reference"/>
    <w:semiHidden/>
    <w:rsid w:val="005A6D2C"/>
    <w:rPr>
      <w:vertAlign w:val="superscript"/>
    </w:rPr>
  </w:style>
  <w:style w:type="character" w:styleId="CommentReference">
    <w:name w:val="annotation reference"/>
    <w:semiHidden/>
    <w:rsid w:val="005F5E6B"/>
    <w:rPr>
      <w:sz w:val="16"/>
      <w:szCs w:val="16"/>
    </w:rPr>
  </w:style>
  <w:style w:type="paragraph" w:styleId="CommentText">
    <w:name w:val="annotation text"/>
    <w:basedOn w:val="Normal"/>
    <w:semiHidden/>
    <w:rsid w:val="005F5E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6B"/>
    <w:rPr>
      <w:b/>
      <w:bCs/>
    </w:rPr>
  </w:style>
  <w:style w:type="paragraph" w:styleId="BalloonText">
    <w:name w:val="Balloon Text"/>
    <w:basedOn w:val="Normal"/>
    <w:semiHidden/>
    <w:rsid w:val="005F5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Resilience of ecotourism in Annapurna</vt:lpstr>
    </vt:vector>
  </TitlesOfParts>
  <Company>Toshiba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Resilience of ecotourism in Annapurna</dc:title>
  <dc:creator>Nabin</dc:creator>
  <cp:lastModifiedBy>Nabin</cp:lastModifiedBy>
  <cp:revision>2</cp:revision>
  <cp:lastPrinted>2013-07-19T10:38:00Z</cp:lastPrinted>
  <dcterms:created xsi:type="dcterms:W3CDTF">2013-08-15T17:13:00Z</dcterms:created>
  <dcterms:modified xsi:type="dcterms:W3CDTF">2013-08-15T17:13:00Z</dcterms:modified>
</cp:coreProperties>
</file>