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47" w:rsidRPr="00ED6FAE" w:rsidRDefault="00B95847" w:rsidP="00B9584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AE">
        <w:rPr>
          <w:rFonts w:ascii="Times New Roman" w:hAnsi="Times New Roman" w:cs="Times New Roman"/>
          <w:b/>
          <w:sz w:val="24"/>
          <w:szCs w:val="24"/>
        </w:rPr>
        <w:t>Large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D6FAE">
        <w:rPr>
          <w:rFonts w:ascii="Times New Roman" w:hAnsi="Times New Roman" w:cs="Times New Roman"/>
          <w:b/>
          <w:sz w:val="24"/>
          <w:szCs w:val="24"/>
        </w:rPr>
        <w:t>scale oil spills and flag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D6FAE">
        <w:rPr>
          <w:rFonts w:ascii="Times New Roman" w:hAnsi="Times New Roman" w:cs="Times New Roman"/>
          <w:b/>
          <w:sz w:val="24"/>
          <w:szCs w:val="24"/>
        </w:rPr>
        <w:t>use within the global tanker fleet</w:t>
      </w:r>
    </w:p>
    <w:p w:rsidR="00B95847" w:rsidRPr="00ED6FAE" w:rsidRDefault="00B95847" w:rsidP="00B95847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ED6FAE">
        <w:rPr>
          <w:rFonts w:ascii="Times New Roman" w:hAnsi="Times New Roman" w:cs="Times New Roman"/>
        </w:rPr>
        <w:t>DANA D. MILLER, KATHRYN TOOLEY, U. RASHID SUMAILA</w:t>
      </w:r>
    </w:p>
    <w:p w:rsidR="00B95847" w:rsidRDefault="00B95847"/>
    <w:p w:rsidR="00B95847" w:rsidRPr="00B95847" w:rsidRDefault="00B95847">
      <w:pPr>
        <w:rPr>
          <w:rFonts w:ascii="Times New Roman" w:hAnsi="Times New Roman" w:cs="Times New Roman"/>
          <w:b/>
        </w:rPr>
      </w:pPr>
      <w:r w:rsidRPr="00B95847">
        <w:rPr>
          <w:rFonts w:ascii="Times New Roman" w:hAnsi="Times New Roman" w:cs="Times New Roman"/>
          <w:b/>
        </w:rPr>
        <w:t>APPENDIX 1</w:t>
      </w:r>
    </w:p>
    <w:p w:rsidR="00B95847" w:rsidRDefault="00B95847"/>
    <w:tbl>
      <w:tblPr>
        <w:tblW w:w="5000" w:type="pct"/>
        <w:tblLook w:val="04A0" w:firstRow="1" w:lastRow="0" w:firstColumn="1" w:lastColumn="0" w:noHBand="0" w:noVBand="1"/>
      </w:tblPr>
      <w:tblGrid>
        <w:gridCol w:w="2081"/>
        <w:gridCol w:w="1063"/>
        <w:gridCol w:w="1464"/>
        <w:gridCol w:w="2200"/>
        <w:gridCol w:w="2461"/>
        <w:gridCol w:w="1064"/>
        <w:gridCol w:w="1742"/>
        <w:gridCol w:w="2481"/>
        <w:gridCol w:w="1058"/>
      </w:tblGrid>
      <w:tr w:rsidR="00DD2C5A" w:rsidRPr="00DD2C5A" w:rsidTr="00DD2C5A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C5A" w:rsidRPr="00F83580" w:rsidRDefault="00DD2C5A" w:rsidP="00F8358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</w:pPr>
            <w:bookmarkStart w:id="0" w:name="_GoBack" w:colFirst="7" w:colLast="7"/>
            <w:r w:rsidRPr="00F83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 xml:space="preserve">Table </w:t>
            </w:r>
            <w:r w:rsidR="00F83580" w:rsidRPr="00F83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>S</w:t>
            </w:r>
            <w:r w:rsidRPr="00F83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 xml:space="preserve">1 </w:t>
            </w:r>
            <w:r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Oil tankers involved in the 100 largest recorded accidental oil spill incidents involving tankers since 1967  (</w:t>
            </w:r>
            <w:r w:rsidR="00B95847" w:rsidRPr="00B95847">
              <w:rPr>
                <w:rFonts w:ascii="Times New Roman" w:eastAsia="Times New Roman" w:hAnsi="Times New Roman" w:cs="Times New Roman"/>
                <w:i/>
                <w:color w:val="000000"/>
                <w:lang w:val="en-CA" w:eastAsia="en-CA"/>
              </w:rPr>
              <w:t>n =</w:t>
            </w:r>
            <w:r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104).</w:t>
            </w:r>
            <w:r w:rsidR="004F5A37"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</w:t>
            </w:r>
            <w:proofErr w:type="spellStart"/>
            <w:r w:rsidR="004F5A37"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FoNC</w:t>
            </w:r>
            <w:proofErr w:type="spellEnd"/>
            <w:r w:rsidR="004F5A37"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= flag of non</w:t>
            </w:r>
            <w:r w:rsidR="00B95847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–</w:t>
            </w:r>
            <w:r w:rsidR="004F5A37"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compliance; </w:t>
            </w:r>
            <w:proofErr w:type="spellStart"/>
            <w:r w:rsidR="004F5A37"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FoPC</w:t>
            </w:r>
            <w:proofErr w:type="spellEnd"/>
            <w:r w:rsidR="004F5A37"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= flag of partial compliance; and </w:t>
            </w:r>
            <w:proofErr w:type="spellStart"/>
            <w:r w:rsidR="004F5A37"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FoI</w:t>
            </w:r>
            <w:proofErr w:type="spellEnd"/>
            <w:r w:rsidR="004F5A37" w:rsidRPr="00F83580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= flag of integrity.</w:t>
            </w:r>
          </w:p>
        </w:tc>
      </w:tr>
      <w:tr w:rsidR="004F5A37" w:rsidRPr="00DD2C5A" w:rsidTr="00B95847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Quantity spilt (tonnes)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Fatalities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Date of incident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Country of incident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Ship name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Built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Deadweight (tonnes)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Flag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Flag type</w:t>
            </w:r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19/07/1979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Lesser Antilles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ATLANTIC EMPRESS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361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260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28/05/1991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Atlantic Ocean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ABT SUMMER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267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801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06/08/1983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South Africa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CASTILLO DE BELLVER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540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16/03/1978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France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AMOCO CADIZ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439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144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11/04/1991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Italy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HAVEN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Cyprus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10/11/1988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Canada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ODYSSEY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392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18/03/1967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Kingdom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TORREY CANYON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115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19/12/1972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Oman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SEA STAR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South Korea (Republic of Korea)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100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23/02/1980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IRENES SERENADE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105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460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100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12/05/1976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URQUIOLA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106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476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23/02/1977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HAWAIIAN PATRIOT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102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632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15/11/1979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Turkey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INDEPENDENTA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152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408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Romania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29/01/1975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Portugal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JAKOB MAERSK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412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Denmark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05/01/1993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Kingdom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BRAER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730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18/12/1989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Morocco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KHARK 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632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Iran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03/12/1992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AEGEAN SEA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114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036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15/02/1996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Kingdom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SEA EMPRESS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1993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144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06/12/1985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Iran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NOVA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435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Norway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16/04/1992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Mozambique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KATINA P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992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Malta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13/11/2002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PRESTIGE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564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Bahamas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20/03/1970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Sweden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OTELLO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B95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4225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13/05/1975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Lesser Antilles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EPIC COLOCOTRONIS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673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lastRenderedPageBreak/>
              <w:t>53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31/01/1975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CORINTHOS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988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07/01/1983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Oman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ASSIMI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032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40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09/08/1974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Chile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METULA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035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Netherlands Antilles (dissolved in 2010)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31/12/1978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ANDROS PATRIA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173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13/06/1968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South Africa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WORLD GLORY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179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09/12/1983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Qatar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PERICLES G. C.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044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13/01/1975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BRITISH AMBASSADOR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672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Kingdom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01/06/1970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Indian Ocean Islands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ENNERDALE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Kingdom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29/02/1968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MANDOIL II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074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27/02/1971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South Africa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WAFRA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560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28/12/1980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Algeria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JUAN A. LAVALLEJA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664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11/06/1972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TRADER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545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21/10/1994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Philippines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THANASSIS 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877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Malta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24/03/1989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EXXON VALDEZ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1986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855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01/11/1979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BURMAH AGATE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663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09/06/1973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Chile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NAPIER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03/03/1970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Australia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OCEANIC GRANDEUR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171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18/01/1977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Pacific Islands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IRENES CHALLENGE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04/02/1976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Colombia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ST. PETER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26/12/1970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Bermuda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CHRYSSI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717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Panama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13/03/1994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Turkey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NASSIA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517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Cyprus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27/03/1971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TEXACO OKLAHOMA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635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28/01/1972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Bermuda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GOLDEN DRAKE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18/02/1976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Mexico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SCORPIO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813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25/04/1976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Algeria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ELLEN CONWAY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330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28/04/1979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France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GINO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16/08/1979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Angola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IOANNIS ANGELICOUSSIS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106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19/01/1978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Iran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JAPAN GALANTHUS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902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Japan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05/11/1969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USA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KEO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1949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487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21/04/1988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Canada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ATHENIAN VENTURE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016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Cyprus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08/01/1979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Irish Republic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BETELGEUSE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123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378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France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27/07/2003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Pakistan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TASMAN SPIRIT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584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Malta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16/12/1977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South Africa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VENOIL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330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954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25/11/1969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Chinese Taipei (Taiwan)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PACOCEAN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1949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28/07/1976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India 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CRETAN STAR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372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lastRenderedPageBreak/>
              <w:t>29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15/10/1997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Singapore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EVOIKOS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140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Cyprus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15/12/1976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ARGO MERCHANT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151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30/12/1976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Canada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GRAND ZENITH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Panama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27/05/1977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El Salvador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CARIBBEAN SEA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153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Panama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24/07/1971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ALKIS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047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29/12/1989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Portugal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ARAGON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959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21/01/1993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Indonesia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MAERSK NAVIGATOR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1989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028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Singapore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40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13/11/1990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Canada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BERGE BROKER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357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345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Norwegian International Ship Register (Nis) (NO)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24/01/1994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Philippines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COSMAS 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643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Malta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03/03/1968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Puerto Rico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OCEAN EAGLE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821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14/01/1970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Portugal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ALBACRUZ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693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11/05/1972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Argentina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TIEN CHEE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051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19/02/1973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Bermuda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NELSON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073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Cyprus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22/07/1974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Italy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THEODOROS V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908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12/01/1975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South Africa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MASTER STATHIOS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564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04/04/1975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SPARTAN LADY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056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16/02/1976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Hong Kong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NANYANG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Somalia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Not listed</w:t>
            </w:r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27/01/1978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IKUYO MARU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984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No flag</w:t>
            </w:r>
          </w:p>
        </w:tc>
      </w:tr>
      <w:tr w:rsidR="004F5A37" w:rsidRPr="00DD2C5A" w:rsidTr="00B95847">
        <w:trPr>
          <w:trHeight w:val="40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08/06/1980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ZAVETY ILYICHA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986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Union of Soviet Socialist Republics (USSR) (dissolved in 1991)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25/10/1967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GIORGIO FASSIO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734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Italy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01/11/1968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SPYROS LEMOS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418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06/05/1968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Argentina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FRAY LUIS BELTRAN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395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Argentina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Not listed</w:t>
            </w:r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05/01/1970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SOFIA P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919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17/04/1970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South Africa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SILVER OCEAN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594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12/12/1999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France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ERIKA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283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Malta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01/04/1972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Cape Verde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GIUSEPPE GIULIETTI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241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Italy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17/06/1973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India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COSMOS PIONEER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India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26/12/1970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RAGNY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588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Finland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07/10/1970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ANASTASIA J. L.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797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02/09/1971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AARON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Panama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29/03/1981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KAVO KAMBANOS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418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21/07/1991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Australia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KIRKI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083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31/01/1970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GEZINA BROVIG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612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Norway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18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02/01/1997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Japan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NAKHODKA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471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Russia (Russian Federation)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08/05/1968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Namibia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ANDRON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lastRenderedPageBreak/>
              <w:t>17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02/03/1968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Algeria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EASTLAND TRADER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1948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14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Panama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40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29/04/1968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ESSO ESSEN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50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907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West Germany (reunification with East Germany in 1990)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14/07/1970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Arab Emirates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WARWICK TRADER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17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496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05/12/1974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Oman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 CHERRY VINSTRA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21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Singapore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13/07/1975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Australia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PRINCESS ANNE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–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MARIE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636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04/10/1976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LSCO PETROCHEM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347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Philippines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Unknown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01/01/1977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AL DAMMAM I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Italy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FoPC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07/02/1977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Chinese Taipei (Taiwan)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BORAG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1958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35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918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05/10/1979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Venezuela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CYS DIGNITY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89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935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40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27/10/1979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Brazil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GUNVOR MAERSK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1973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32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Norwegian International Ship Register (Nis) (NO)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FoI</w:t>
            </w:r>
            <w:proofErr w:type="spellEnd"/>
          </w:p>
        </w:tc>
      </w:tr>
      <w:tr w:rsidR="004F5A37" w:rsidRPr="00DD2C5A" w:rsidTr="00B95847">
        <w:trPr>
          <w:trHeight w:val="288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22/11/1981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Russia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 xml:space="preserve">GLOBE ASIMI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945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Gibraltar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Not listed</w:t>
            </w:r>
          </w:p>
        </w:tc>
      </w:tr>
      <w:tr w:rsidR="004F5A37" w:rsidRPr="00DD2C5A" w:rsidTr="00B95847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16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000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30/03/1994</w:t>
            </w:r>
          </w:p>
        </w:tc>
        <w:tc>
          <w:tcPr>
            <w:tcW w:w="70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United Arab Emirates</w:t>
            </w:r>
          </w:p>
        </w:tc>
        <w:tc>
          <w:tcPr>
            <w:tcW w:w="79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SEKI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1993</w:t>
            </w:r>
          </w:p>
        </w:tc>
        <w:tc>
          <w:tcPr>
            <w:tcW w:w="5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293</w:t>
            </w:r>
            <w:r w:rsidR="00B95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239</w:t>
            </w:r>
          </w:p>
        </w:tc>
        <w:tc>
          <w:tcPr>
            <w:tcW w:w="8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Panama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D2C5A" w:rsidRPr="00DD2C5A" w:rsidRDefault="00DD2C5A" w:rsidP="00DD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DD2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FoNC</w:t>
            </w:r>
            <w:proofErr w:type="spellEnd"/>
          </w:p>
        </w:tc>
      </w:tr>
      <w:bookmarkEnd w:id="0"/>
    </w:tbl>
    <w:p w:rsidR="00F05325" w:rsidRDefault="00F05325"/>
    <w:p w:rsidR="009512BD" w:rsidRDefault="009512BD"/>
    <w:tbl>
      <w:tblPr>
        <w:tblW w:w="5000" w:type="pct"/>
        <w:tblLook w:val="04A0" w:firstRow="1" w:lastRow="0" w:firstColumn="1" w:lastColumn="0" w:noHBand="0" w:noVBand="1"/>
      </w:tblPr>
      <w:tblGrid>
        <w:gridCol w:w="2565"/>
        <w:gridCol w:w="1509"/>
        <w:gridCol w:w="1462"/>
        <w:gridCol w:w="1461"/>
        <w:gridCol w:w="1461"/>
        <w:gridCol w:w="1461"/>
        <w:gridCol w:w="1461"/>
        <w:gridCol w:w="1461"/>
        <w:gridCol w:w="1461"/>
        <w:gridCol w:w="1312"/>
      </w:tblGrid>
      <w:tr w:rsidR="009512BD" w:rsidRPr="00865D35" w:rsidTr="00851647">
        <w:trPr>
          <w:trHeight w:val="984"/>
        </w:trPr>
        <w:tc>
          <w:tcPr>
            <w:tcW w:w="5000" w:type="pct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F83580" w:rsidRDefault="009512BD" w:rsidP="00B9584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F83580">
              <w:rPr>
                <w:rFonts w:ascii="Times New Roman" w:eastAsia="Times New Roman" w:hAnsi="Times New Roman" w:cs="Times New Roman"/>
                <w:b/>
                <w:bCs/>
                <w:lang w:val="en-CA" w:eastAsia="en-CA"/>
              </w:rPr>
              <w:t xml:space="preserve">Table </w:t>
            </w:r>
            <w:r w:rsidR="00F83580" w:rsidRPr="00F83580">
              <w:rPr>
                <w:rFonts w:ascii="Times New Roman" w:eastAsia="Times New Roman" w:hAnsi="Times New Roman" w:cs="Times New Roman"/>
                <w:b/>
                <w:bCs/>
                <w:lang w:val="en-CA" w:eastAsia="en-CA"/>
              </w:rPr>
              <w:t>S</w:t>
            </w:r>
            <w:r w:rsidRPr="00F83580">
              <w:rPr>
                <w:rFonts w:ascii="Times New Roman" w:eastAsia="Times New Roman" w:hAnsi="Times New Roman" w:cs="Times New Roman"/>
                <w:b/>
                <w:bCs/>
                <w:lang w:val="en-CA" w:eastAsia="en-CA"/>
              </w:rPr>
              <w:t>2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List of flag 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s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tates that are either on the US Coast Guard’s Annual Targeted Flag List with 2 or 7 points (see USCG 2012 for an explanation of the points system) or, following the Paris and Tokyo </w:t>
            </w:r>
            <w:proofErr w:type="spellStart"/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>MoU’s</w:t>
            </w:r>
            <w:proofErr w:type="spellEnd"/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calculations for 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‘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>White, Grey and Black List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’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designation, qualified as white, grey or black listed flag 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state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s (see Paris PSC </w:t>
            </w:r>
            <w:proofErr w:type="spellStart"/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>MoU</w:t>
            </w:r>
            <w:proofErr w:type="spellEnd"/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2012 for an explanation of the calculations applied) when the most recent inspections data (from 2010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–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2012) from any of seven regional port 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state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</w:t>
            </w:r>
            <w:proofErr w:type="spellStart"/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>MoU</w:t>
            </w:r>
            <w:proofErr w:type="spellEnd"/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were considered. Only flag 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state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>s that currently have oil tankers listed on their register as indicated by the Sea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–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>web database, are included in this list. Where listing designations are absent, flags have not been encountered the minimum number of times (30 inspections) to allow for designation on a targeted flag list.</w:t>
            </w:r>
          </w:p>
        </w:tc>
      </w:tr>
      <w:tr w:rsidR="009512BD" w:rsidRPr="00865D35" w:rsidTr="00851647">
        <w:trPr>
          <w:trHeight w:val="300"/>
        </w:trPr>
        <w:tc>
          <w:tcPr>
            <w:tcW w:w="5000" w:type="pct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Flags of non</w:t>
            </w:r>
            <w:r w:rsidR="00B958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compliance (</w:t>
            </w:r>
            <w:proofErr w:type="spellStart"/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FoNCs</w:t>
            </w:r>
            <w:proofErr w:type="spellEnd"/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)</w:t>
            </w:r>
          </w:p>
        </w:tc>
      </w:tr>
      <w:tr w:rsidR="009512BD" w:rsidRPr="00865D35" w:rsidTr="00851647">
        <w:trPr>
          <w:trHeight w:val="408"/>
        </w:trPr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  <w:t>Flag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B95847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US</w:t>
            </w:r>
            <w:r w:rsidR="009512BD"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 Coast Guard   2010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="009512BD"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Paris          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Tokyo           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Vina</w:t>
            </w:r>
            <w:proofErr w:type="spellEnd"/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 del Mar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Indian Ocean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Black Sea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Caribbean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Abuja      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  <w:t>National ownership (%)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Bangladesh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Belize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6.90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Bolivia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Cambodia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Comoros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Cyprus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23.40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Dominica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Egypt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82.14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Honduras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27.69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Indonesia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91.52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Kiribati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lastRenderedPageBreak/>
              <w:t>Korea, North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92.86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Korea, South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93.65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Lebanon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Libya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93.33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Malaysia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87.41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Mexico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78.95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Moldova, Republic of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Mongolia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New Zealand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Panama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7.74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Papua New Guinea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Peru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63.64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Saint Kitts and Nevis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Saint Vincent and the Grenadines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Sierra Leone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2.38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Tanzania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35.71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Tanzania (Zanzibar)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Thailand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99.50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Togo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3.33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Tonga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50.00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Tuvalu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7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United Arab Emirates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77.27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Viet Nam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16"/>
        </w:trPr>
        <w:tc>
          <w:tcPr>
            <w:tcW w:w="82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 xml:space="preserve">Average  </w:t>
            </w:r>
          </w:p>
        </w:tc>
        <w:tc>
          <w:tcPr>
            <w:tcW w:w="4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41.69</w:t>
            </w:r>
          </w:p>
        </w:tc>
      </w:tr>
      <w:tr w:rsidR="009512BD" w:rsidRPr="00865D35" w:rsidTr="00851647">
        <w:trPr>
          <w:trHeight w:val="300"/>
        </w:trPr>
        <w:tc>
          <w:tcPr>
            <w:tcW w:w="5000" w:type="pct"/>
            <w:gridSpan w:val="10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512BD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</w:tc>
      </w:tr>
      <w:tr w:rsidR="009512BD" w:rsidRPr="00865D35" w:rsidTr="00851647">
        <w:trPr>
          <w:trHeight w:val="300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512BD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  <w:p w:rsidR="009512BD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  <w:p w:rsidR="009512BD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  <w:p w:rsidR="009512BD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  <w:p w:rsidR="009512BD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  <w:p w:rsidR="009512BD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  <w:p w:rsidR="009512BD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</w:tc>
      </w:tr>
      <w:tr w:rsidR="009512BD" w:rsidRPr="00865D35" w:rsidTr="00851647">
        <w:trPr>
          <w:trHeight w:val="300"/>
        </w:trPr>
        <w:tc>
          <w:tcPr>
            <w:tcW w:w="5000" w:type="pct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Flags of partial compliance (</w:t>
            </w:r>
            <w:proofErr w:type="spellStart"/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FoPC</w:t>
            </w:r>
            <w:proofErr w:type="spellEnd"/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)</w:t>
            </w:r>
          </w:p>
        </w:tc>
      </w:tr>
      <w:tr w:rsidR="009512BD" w:rsidRPr="00865D35" w:rsidTr="00851647">
        <w:trPr>
          <w:trHeight w:val="408"/>
        </w:trPr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  <w:t>Flag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B95847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US</w:t>
            </w:r>
            <w:r w:rsidR="009512BD"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 Coast Guard   2010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="009512BD"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Paris          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Tokyo           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Vina</w:t>
            </w:r>
            <w:proofErr w:type="spellEnd"/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 del Mar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Indian Ocean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Black Sea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Caribbean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Abuja      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  <w:t>National ownership (%)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Algeria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44.44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Bahamas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Belgium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88.89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Bermuda, UK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30.00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Bulgaria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85.71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Cayman Islands, UK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China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95.78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Cook Islands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Croatia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Curacao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Denmark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Denmark (Dis)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94.29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Ecuador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France (</w:t>
            </w:r>
            <w:proofErr w:type="spellStart"/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Fis</w:t>
            </w:r>
            <w:proofErr w:type="spellEnd"/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25.00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Germany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lastRenderedPageBreak/>
              <w:t>Gibraltar, UK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34.78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91.39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Hong Kong, China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81.43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India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97.96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Iran, Islamic Republic of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85.71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Isle of Man, UK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56.19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Italy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93.06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Kazakhstan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90.91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Kuwait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0.18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Luxembourg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Malta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2 points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5.05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Marshall Islands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0.26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Morocco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Myanmar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60.00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Netherlands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50.00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Norway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80.00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Norway (Nis)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62.71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Philippines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97.56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Saudi Arabia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96.55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Singapore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63.08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Sweden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Switzerland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Taiwan, China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96.15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Turkey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97.20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United Kingdom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72.97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Ukraine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United States of America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79.17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Venezuela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76.32</w:t>
            </w:r>
          </w:p>
        </w:tc>
      </w:tr>
      <w:tr w:rsidR="009512BD" w:rsidRPr="00865D35" w:rsidTr="00851647">
        <w:trPr>
          <w:trHeight w:val="216"/>
        </w:trPr>
        <w:tc>
          <w:tcPr>
            <w:tcW w:w="82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 xml:space="preserve">Average  </w:t>
            </w:r>
          </w:p>
        </w:tc>
        <w:tc>
          <w:tcPr>
            <w:tcW w:w="4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66.65</w:t>
            </w:r>
          </w:p>
        </w:tc>
      </w:tr>
      <w:tr w:rsidR="009512BD" w:rsidRPr="00865D35" w:rsidTr="00851647">
        <w:trPr>
          <w:trHeight w:val="300"/>
        </w:trPr>
        <w:tc>
          <w:tcPr>
            <w:tcW w:w="5000" w:type="pct"/>
            <w:gridSpan w:val="10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</w:tc>
      </w:tr>
      <w:tr w:rsidR="009512BD" w:rsidRPr="00865D35" w:rsidTr="00851647">
        <w:trPr>
          <w:trHeight w:val="300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</w:p>
        </w:tc>
      </w:tr>
      <w:tr w:rsidR="009512BD" w:rsidRPr="00865D35" w:rsidTr="00851647">
        <w:trPr>
          <w:trHeight w:val="300"/>
        </w:trPr>
        <w:tc>
          <w:tcPr>
            <w:tcW w:w="5000" w:type="pct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Flags of integrity (</w:t>
            </w:r>
            <w:proofErr w:type="spellStart"/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FoIs</w:t>
            </w:r>
            <w:proofErr w:type="spellEnd"/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)</w:t>
            </w:r>
          </w:p>
        </w:tc>
      </w:tr>
      <w:tr w:rsidR="009512BD" w:rsidRPr="00865D35" w:rsidTr="00851647">
        <w:trPr>
          <w:trHeight w:val="408"/>
        </w:trPr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  <w:t>Flag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B95847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US</w:t>
            </w:r>
            <w:r w:rsidR="009512BD"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 Coast Guard   2010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="009512BD"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Paris          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Tokyo           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Vina</w:t>
            </w:r>
            <w:proofErr w:type="spellEnd"/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 del Mar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Indian Ocean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Black Sea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Caribbean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Abuja      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865D3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CA" w:eastAsia="en-CA"/>
              </w:rPr>
              <w:t>National ownership (%)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Brazil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Chile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Estonia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33.33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Faroe Islands, DK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Finland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66.67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Japan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99.36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Latvia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Maldives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75.00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Poland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Portugal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100.00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Portugal (Mar)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0.00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Russian Federation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80.73</w:t>
            </w:r>
          </w:p>
        </w:tc>
      </w:tr>
      <w:tr w:rsidR="009512BD" w:rsidRPr="00865D35" w:rsidTr="00851647">
        <w:trPr>
          <w:trHeight w:val="204"/>
        </w:trPr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Spain (</w:t>
            </w:r>
            <w:proofErr w:type="spellStart"/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Csr</w:t>
            </w:r>
            <w:proofErr w:type="spellEnd"/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BFBFB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84.21</w:t>
            </w:r>
          </w:p>
        </w:tc>
      </w:tr>
      <w:tr w:rsidR="009512BD" w:rsidRPr="00865D35" w:rsidTr="00851647">
        <w:trPr>
          <w:trHeight w:val="216"/>
        </w:trPr>
        <w:tc>
          <w:tcPr>
            <w:tcW w:w="82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lastRenderedPageBreak/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 xml:space="preserve">Average  </w:t>
            </w:r>
          </w:p>
        </w:tc>
        <w:tc>
          <w:tcPr>
            <w:tcW w:w="4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865D35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</w:pPr>
            <w:r w:rsidRPr="00865D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CA" w:eastAsia="en-CA"/>
              </w:rPr>
              <w:t>78.44</w:t>
            </w:r>
          </w:p>
        </w:tc>
      </w:tr>
    </w:tbl>
    <w:p w:rsidR="009512BD" w:rsidRDefault="009512BD" w:rsidP="009512BD"/>
    <w:tbl>
      <w:tblPr>
        <w:tblW w:w="5000" w:type="pct"/>
        <w:tblLook w:val="04A0" w:firstRow="1" w:lastRow="0" w:firstColumn="1" w:lastColumn="0" w:noHBand="0" w:noVBand="1"/>
      </w:tblPr>
      <w:tblGrid>
        <w:gridCol w:w="1662"/>
        <w:gridCol w:w="872"/>
        <w:gridCol w:w="872"/>
        <w:gridCol w:w="872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84"/>
      </w:tblGrid>
      <w:tr w:rsidR="009512BD" w:rsidRPr="00BA4A6C" w:rsidTr="00851647">
        <w:trPr>
          <w:trHeight w:val="516"/>
        </w:trPr>
        <w:tc>
          <w:tcPr>
            <w:tcW w:w="5000" w:type="pct"/>
            <w:gridSpan w:val="1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F83580" w:rsidRDefault="009512BD" w:rsidP="00B95847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F83580">
              <w:rPr>
                <w:rFonts w:ascii="Times New Roman" w:eastAsia="Times New Roman" w:hAnsi="Times New Roman" w:cs="Times New Roman"/>
                <w:b/>
                <w:bCs/>
                <w:lang w:val="en-CA" w:eastAsia="en-CA"/>
              </w:rPr>
              <w:t xml:space="preserve">Table </w:t>
            </w:r>
            <w:r w:rsidR="00F83580" w:rsidRPr="00F83580">
              <w:rPr>
                <w:rFonts w:ascii="Times New Roman" w:eastAsia="Times New Roman" w:hAnsi="Times New Roman" w:cs="Times New Roman"/>
                <w:b/>
                <w:bCs/>
                <w:lang w:val="en-CA" w:eastAsia="en-CA"/>
              </w:rPr>
              <w:t>S</w:t>
            </w:r>
            <w:r w:rsidRPr="00F83580">
              <w:rPr>
                <w:rFonts w:ascii="Times New Roman" w:eastAsia="Times New Roman" w:hAnsi="Times New Roman" w:cs="Times New Roman"/>
                <w:b/>
                <w:bCs/>
                <w:lang w:val="en-CA" w:eastAsia="en-CA"/>
              </w:rPr>
              <w:t>3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List of flag 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s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tates that have qualified for 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‘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>White, Grey and Black List</w:t>
            </w:r>
            <w:r w:rsidR="00B95847">
              <w:rPr>
                <w:rFonts w:ascii="Times New Roman" w:eastAsia="Times New Roman" w:hAnsi="Times New Roman" w:cs="Times New Roman"/>
                <w:lang w:val="en-CA" w:eastAsia="en-CA"/>
              </w:rPr>
              <w:t>’</w:t>
            </w:r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designation based on Inspections made by through the Paris Memorandum of Understanding (</w:t>
            </w:r>
            <w:proofErr w:type="spellStart"/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>MoU</w:t>
            </w:r>
            <w:proofErr w:type="spellEnd"/>
            <w:r w:rsidRPr="00F83580">
              <w:rPr>
                <w:rFonts w:ascii="Times New Roman" w:eastAsia="Times New Roman" w:hAnsi="Times New Roman" w:cs="Times New Roman"/>
                <w:lang w:val="en-CA" w:eastAsia="en-CA"/>
              </w:rPr>
              <w:t>) on Port State Control. Where listing designations are absent, flags have not been encountered the minimum number of times (30 inspections) to allow for designation on a targeted flag list.</w:t>
            </w:r>
          </w:p>
        </w:tc>
      </w:tr>
      <w:tr w:rsidR="009512BD" w:rsidRPr="00BA4A6C" w:rsidTr="00851647">
        <w:trPr>
          <w:trHeight w:val="420"/>
        </w:trPr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F83580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CA" w:eastAsia="en-CA"/>
              </w:rPr>
            </w:pPr>
            <w:r w:rsidRPr="00F83580">
              <w:rPr>
                <w:rFonts w:ascii="Times New Roman" w:eastAsia="Times New Roman" w:hAnsi="Times New Roman" w:cs="Times New Roman"/>
                <w:i/>
                <w:iCs/>
                <w:lang w:val="en-CA" w:eastAsia="en-CA"/>
              </w:rPr>
              <w:t>Flag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1995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1997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1996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1998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1997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1999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1998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1999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2000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2001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2002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2003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2004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2005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2006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 2007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2008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2009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List       2010</w:t>
            </w:r>
            <w:r w:rsidR="00B958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–</w:t>
            </w:r>
            <w:r w:rsidRPr="00BA4A6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Albania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Algeria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Antigua and Barbuda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Antilles, Netherlands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Austria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Azerbaijan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Bahamas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Bangladesh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Barbados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Belgium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Belize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Bermuda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Bolivia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Brazil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Bulgaria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Cambodia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Cayman Islands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China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Comoros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Cook Islands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Croatia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Cuba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Curacao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Cyprus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Denmark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Dominica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Dominican Republic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Egypt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Estonia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Ethiopia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Faroe Islands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Finland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France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Georgia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Germany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Gibraltar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Greece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lastRenderedPageBreak/>
              <w:t>Honduras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Hong Kong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India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Iran, Islamic Republic of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Ireland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Isle of Man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Israel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Italy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Jamaica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Japan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Kazakhstan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408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Korea, Democratic People's Republic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Korea, Republic of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Kuwait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Latvia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Lebanon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Liberia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Libya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Lithuania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Luxembourg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Malaysia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Malta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Marshall Islands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Mauritius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Moldova, Republic of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Mongolia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Montenegro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Morocco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Myanmar, Union of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Netherlands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Norway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Pakistan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Panama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Philippines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Poland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Portugal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Qatar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Romania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Russian Federation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Saint Kitts &amp; Nevis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408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Saint Vincent &amp; the Grenadines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Sao Tome &amp; Principe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Saudi Arabia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Sierra Leone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Singapore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Slovakia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Spain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Sri Lanka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lastRenderedPageBreak/>
              <w:t>Sweden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Switzerland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Syrian Arab Republic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Taiwan, China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408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 xml:space="preserve">Tanzania, United Republic of 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Thailand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Togo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Tonga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Tunisia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Turkey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Tuvalu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UK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Ukraine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United Arab Emirates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USA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04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Vanuatu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White</w:t>
            </w:r>
          </w:p>
        </w:tc>
      </w:tr>
      <w:tr w:rsidR="009512BD" w:rsidRPr="00BA4A6C" w:rsidTr="00851647">
        <w:trPr>
          <w:trHeight w:val="216"/>
        </w:trPr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sz w:val="16"/>
                <w:szCs w:val="16"/>
                <w:lang w:val="en-CA" w:eastAsia="en-CA"/>
              </w:rPr>
              <w:t>Viet Nam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A6A6A6"/>
                <w:sz w:val="16"/>
                <w:szCs w:val="16"/>
                <w:lang w:val="en-CA" w:eastAsia="en-CA"/>
              </w:rPr>
              <w:t>N/A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en-CA" w:eastAsia="en-CA"/>
              </w:rPr>
              <w:t>Black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  <w:tc>
          <w:tcPr>
            <w:tcW w:w="2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512BD" w:rsidRPr="00BA4A6C" w:rsidRDefault="009512BD" w:rsidP="0085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A4A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 w:eastAsia="en-CA"/>
              </w:rPr>
              <w:t>Grey</w:t>
            </w:r>
          </w:p>
        </w:tc>
      </w:tr>
    </w:tbl>
    <w:p w:rsidR="009512BD" w:rsidRDefault="009512BD" w:rsidP="009512BD"/>
    <w:p w:rsidR="009512BD" w:rsidRDefault="009512BD"/>
    <w:sectPr w:rsidR="009512BD" w:rsidSect="00CB67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62"/>
    <w:rsid w:val="000001AD"/>
    <w:rsid w:val="000570AD"/>
    <w:rsid w:val="00266E1A"/>
    <w:rsid w:val="002A3D11"/>
    <w:rsid w:val="00447F2E"/>
    <w:rsid w:val="004F5A37"/>
    <w:rsid w:val="005548C8"/>
    <w:rsid w:val="00595328"/>
    <w:rsid w:val="00742459"/>
    <w:rsid w:val="0076419D"/>
    <w:rsid w:val="008D3723"/>
    <w:rsid w:val="009512BD"/>
    <w:rsid w:val="009F5EAB"/>
    <w:rsid w:val="00A25919"/>
    <w:rsid w:val="00A53FC3"/>
    <w:rsid w:val="00B95847"/>
    <w:rsid w:val="00CB6762"/>
    <w:rsid w:val="00DD2C5A"/>
    <w:rsid w:val="00F05325"/>
    <w:rsid w:val="00F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536BA-A3A1-4375-ACDD-FAA99E1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6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C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C5A"/>
    <w:rPr>
      <w:color w:val="800080"/>
      <w:u w:val="single"/>
    </w:rPr>
  </w:style>
  <w:style w:type="paragraph" w:customStyle="1" w:styleId="font5">
    <w:name w:val="font5"/>
    <w:basedOn w:val="Normal"/>
    <w:rsid w:val="00DD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CA" w:eastAsia="en-CA"/>
    </w:rPr>
  </w:style>
  <w:style w:type="paragraph" w:customStyle="1" w:styleId="xl65">
    <w:name w:val="xl65"/>
    <w:basedOn w:val="Normal"/>
    <w:rsid w:val="00DD2C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CA" w:eastAsia="en-CA"/>
    </w:rPr>
  </w:style>
  <w:style w:type="paragraph" w:customStyle="1" w:styleId="xl66">
    <w:name w:val="xl66"/>
    <w:basedOn w:val="Normal"/>
    <w:rsid w:val="00DD2C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67">
    <w:name w:val="xl67"/>
    <w:basedOn w:val="Normal"/>
    <w:rsid w:val="00DD2C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CA" w:eastAsia="en-CA"/>
    </w:rPr>
  </w:style>
  <w:style w:type="paragraph" w:customStyle="1" w:styleId="xl68">
    <w:name w:val="xl68"/>
    <w:basedOn w:val="Normal"/>
    <w:rsid w:val="00DD2C5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CA" w:eastAsia="en-CA"/>
    </w:rPr>
  </w:style>
  <w:style w:type="paragraph" w:customStyle="1" w:styleId="xl69">
    <w:name w:val="xl69"/>
    <w:basedOn w:val="Normal"/>
    <w:rsid w:val="00DD2C5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70">
    <w:name w:val="xl70"/>
    <w:basedOn w:val="Normal"/>
    <w:rsid w:val="00DD2C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CA" w:eastAsia="en-CA"/>
    </w:rPr>
  </w:style>
  <w:style w:type="paragraph" w:customStyle="1" w:styleId="xl71">
    <w:name w:val="xl71"/>
    <w:basedOn w:val="Normal"/>
    <w:rsid w:val="00DD2C5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CA" w:eastAsia="en-CA"/>
    </w:rPr>
  </w:style>
  <w:style w:type="paragraph" w:customStyle="1" w:styleId="xl72">
    <w:name w:val="xl72"/>
    <w:basedOn w:val="Normal"/>
    <w:rsid w:val="00DD2C5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val="en-CA" w:eastAsia="en-CA"/>
    </w:rPr>
  </w:style>
  <w:style w:type="paragraph" w:customStyle="1" w:styleId="xl73">
    <w:name w:val="xl73"/>
    <w:basedOn w:val="Normal"/>
    <w:rsid w:val="00DD2C5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n-CA" w:eastAsia="en-CA"/>
    </w:rPr>
  </w:style>
  <w:style w:type="paragraph" w:customStyle="1" w:styleId="xl74">
    <w:name w:val="xl74"/>
    <w:basedOn w:val="Normal"/>
    <w:rsid w:val="00DD2C5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CA" w:eastAsia="en-CA"/>
    </w:rPr>
  </w:style>
  <w:style w:type="paragraph" w:customStyle="1" w:styleId="xl75">
    <w:name w:val="xl75"/>
    <w:basedOn w:val="Normal"/>
    <w:rsid w:val="00DD2C5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CA" w:eastAsia="en-CA"/>
    </w:rPr>
  </w:style>
  <w:style w:type="paragraph" w:customStyle="1" w:styleId="xl76">
    <w:name w:val="xl76"/>
    <w:basedOn w:val="Normal"/>
    <w:rsid w:val="00DD2C5A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CA" w:eastAsia="en-CA"/>
    </w:rPr>
  </w:style>
  <w:style w:type="paragraph" w:customStyle="1" w:styleId="xl77">
    <w:name w:val="xl77"/>
    <w:basedOn w:val="Normal"/>
    <w:rsid w:val="009512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BFBFBF"/>
      <w:sz w:val="16"/>
      <w:szCs w:val="16"/>
      <w:lang w:val="en-CA" w:eastAsia="en-CA"/>
    </w:rPr>
  </w:style>
  <w:style w:type="paragraph" w:customStyle="1" w:styleId="xl78">
    <w:name w:val="xl78"/>
    <w:basedOn w:val="Normal"/>
    <w:rsid w:val="009512B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CA" w:eastAsia="en-CA"/>
    </w:rPr>
  </w:style>
  <w:style w:type="paragraph" w:customStyle="1" w:styleId="xl79">
    <w:name w:val="xl79"/>
    <w:basedOn w:val="Normal"/>
    <w:rsid w:val="009512B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BFBFBF"/>
      <w:sz w:val="16"/>
      <w:szCs w:val="16"/>
      <w:lang w:val="en-CA" w:eastAsia="en-CA"/>
    </w:rPr>
  </w:style>
  <w:style w:type="paragraph" w:customStyle="1" w:styleId="xl80">
    <w:name w:val="xl80"/>
    <w:basedOn w:val="Normal"/>
    <w:rsid w:val="009512B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CA" w:eastAsia="en-CA"/>
    </w:rPr>
  </w:style>
  <w:style w:type="paragraph" w:customStyle="1" w:styleId="xl81">
    <w:name w:val="xl81"/>
    <w:basedOn w:val="Normal"/>
    <w:rsid w:val="009512BD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CA" w:eastAsia="en-CA"/>
    </w:rPr>
  </w:style>
  <w:style w:type="paragraph" w:customStyle="1" w:styleId="xl82">
    <w:name w:val="xl82"/>
    <w:basedOn w:val="Normal"/>
    <w:rsid w:val="009512BD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BFBFBF"/>
      <w:sz w:val="16"/>
      <w:szCs w:val="16"/>
      <w:lang w:val="en-CA" w:eastAsia="en-CA"/>
    </w:rPr>
  </w:style>
  <w:style w:type="paragraph" w:customStyle="1" w:styleId="xl83">
    <w:name w:val="xl83"/>
    <w:basedOn w:val="Normal"/>
    <w:rsid w:val="009512BD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n-CA" w:eastAsia="en-CA"/>
    </w:rPr>
  </w:style>
  <w:style w:type="paragraph" w:customStyle="1" w:styleId="xl84">
    <w:name w:val="xl84"/>
    <w:basedOn w:val="Normal"/>
    <w:rsid w:val="009512BD"/>
    <w:pPr>
      <w:pBdr>
        <w:bottom w:val="double" w:sz="6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CA" w:eastAsia="en-CA"/>
    </w:rPr>
  </w:style>
  <w:style w:type="paragraph" w:customStyle="1" w:styleId="xl85">
    <w:name w:val="xl85"/>
    <w:basedOn w:val="Normal"/>
    <w:rsid w:val="009512B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CA" w:eastAsia="en-CA"/>
    </w:rPr>
  </w:style>
  <w:style w:type="paragraph" w:customStyle="1" w:styleId="xl86">
    <w:name w:val="xl86"/>
    <w:basedOn w:val="Normal"/>
    <w:rsid w:val="009512BD"/>
    <w:pPr>
      <w:pBdr>
        <w:bottom w:val="double" w:sz="6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n-CA" w:eastAsia="en-CA"/>
    </w:rPr>
  </w:style>
  <w:style w:type="paragraph" w:customStyle="1" w:styleId="xl87">
    <w:name w:val="xl87"/>
    <w:basedOn w:val="Normal"/>
    <w:rsid w:val="009512B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CA" w:eastAsia="en-CA"/>
    </w:rPr>
  </w:style>
  <w:style w:type="paragraph" w:customStyle="1" w:styleId="xl88">
    <w:name w:val="xl88"/>
    <w:basedOn w:val="Normal"/>
    <w:rsid w:val="00951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CA" w:eastAsia="en-CA"/>
    </w:rPr>
  </w:style>
  <w:style w:type="paragraph" w:customStyle="1" w:styleId="xl89">
    <w:name w:val="xl89"/>
    <w:basedOn w:val="Normal"/>
    <w:rsid w:val="009512B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CA" w:eastAsia="en-CA"/>
    </w:rPr>
  </w:style>
  <w:style w:type="paragraph" w:customStyle="1" w:styleId="xl90">
    <w:name w:val="xl90"/>
    <w:basedOn w:val="Normal"/>
    <w:rsid w:val="009512BD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CA" w:eastAsia="en-CA"/>
    </w:rPr>
  </w:style>
  <w:style w:type="paragraph" w:customStyle="1" w:styleId="xl91">
    <w:name w:val="xl91"/>
    <w:basedOn w:val="Normal"/>
    <w:rsid w:val="009512BD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CA" w:eastAsia="en-CA"/>
    </w:rPr>
  </w:style>
  <w:style w:type="paragraph" w:customStyle="1" w:styleId="xl92">
    <w:name w:val="xl92"/>
    <w:basedOn w:val="Normal"/>
    <w:rsid w:val="009512BD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CA" w:eastAsia="en-CA"/>
    </w:rPr>
  </w:style>
  <w:style w:type="paragraph" w:customStyle="1" w:styleId="xl93">
    <w:name w:val="xl93"/>
    <w:basedOn w:val="Normal"/>
    <w:rsid w:val="009512BD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CA" w:eastAsia="en-CA"/>
    </w:rPr>
  </w:style>
  <w:style w:type="paragraph" w:customStyle="1" w:styleId="xl94">
    <w:name w:val="xl94"/>
    <w:basedOn w:val="Normal"/>
    <w:rsid w:val="009512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6A6A6"/>
      <w:sz w:val="16"/>
      <w:szCs w:val="16"/>
      <w:lang w:val="en-CA" w:eastAsia="en-CA"/>
    </w:rPr>
  </w:style>
  <w:style w:type="paragraph" w:customStyle="1" w:styleId="xl95">
    <w:name w:val="xl95"/>
    <w:basedOn w:val="Normal"/>
    <w:rsid w:val="009512BD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CA" w:eastAsia="en-CA"/>
    </w:rPr>
  </w:style>
  <w:style w:type="paragraph" w:customStyle="1" w:styleId="font6">
    <w:name w:val="font6"/>
    <w:basedOn w:val="Normal"/>
    <w:rsid w:val="0095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Dana2</dc:creator>
  <cp:lastModifiedBy>Gill Wilson</cp:lastModifiedBy>
  <cp:revision>5</cp:revision>
  <dcterms:created xsi:type="dcterms:W3CDTF">2014-06-24T08:32:00Z</dcterms:created>
  <dcterms:modified xsi:type="dcterms:W3CDTF">2014-07-01T12:54:00Z</dcterms:modified>
</cp:coreProperties>
</file>