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A5" w:rsidRPr="00164FEE" w:rsidRDefault="00277CA5" w:rsidP="00277CA5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164FEE">
        <w:rPr>
          <w:rFonts w:ascii="Arial" w:hAnsi="Arial" w:cs="Arial"/>
          <w:b/>
          <w:sz w:val="20"/>
          <w:szCs w:val="20"/>
          <w:lang w:val="en-US"/>
        </w:rPr>
        <w:t>Balancing effective conservation with sustainable resource use in protected areas: precluded by knowledge gaps</w:t>
      </w:r>
    </w:p>
    <w:p w:rsidR="00277CA5" w:rsidRPr="00164FEE" w:rsidRDefault="00277CA5" w:rsidP="00277CA5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164FEE">
        <w:rPr>
          <w:rFonts w:ascii="Arial" w:hAnsi="Arial" w:cs="Arial"/>
          <w:sz w:val="20"/>
          <w:szCs w:val="20"/>
          <w:lang w:val="en-US"/>
        </w:rPr>
        <w:t>NICOLA J. VAN WILGEN AND MELODIE A. MCGEOCH</w:t>
      </w:r>
    </w:p>
    <w:p w:rsidR="00277CA5" w:rsidRDefault="00277CA5" w:rsidP="00277CA5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277CA5" w:rsidRDefault="00FF6A86" w:rsidP="00FF6A86">
      <w:pPr>
        <w:spacing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4423F">
        <w:rPr>
          <w:rFonts w:ascii="Arial" w:hAnsi="Arial" w:cs="Arial"/>
          <w:b/>
          <w:sz w:val="20"/>
          <w:szCs w:val="20"/>
          <w:lang w:val="en-US"/>
        </w:rPr>
        <w:t xml:space="preserve">Appendix </w:t>
      </w:r>
      <w:r w:rsidR="00277CA5">
        <w:rPr>
          <w:rFonts w:ascii="Arial" w:hAnsi="Arial" w:cs="Arial"/>
          <w:b/>
          <w:sz w:val="20"/>
          <w:szCs w:val="20"/>
          <w:lang w:val="en-US"/>
        </w:rPr>
        <w:t>3</w:t>
      </w:r>
      <w:r w:rsidRPr="0094423F">
        <w:rPr>
          <w:rFonts w:ascii="Arial" w:hAnsi="Arial" w:cs="Arial"/>
          <w:b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FF6A86" w:rsidRPr="0094423F" w:rsidRDefault="009A56D9" w:rsidP="00FF6A8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A56D9">
        <w:rPr>
          <w:rFonts w:ascii="Arial" w:hAnsi="Arial" w:cs="Arial"/>
          <w:b/>
          <w:sz w:val="20"/>
          <w:szCs w:val="20"/>
          <w:lang w:val="en-US"/>
        </w:rPr>
        <w:t xml:space="preserve">Table S2 </w:t>
      </w:r>
      <w:r w:rsidR="00FF6A86" w:rsidRPr="0094423F">
        <w:rPr>
          <w:rFonts w:ascii="Arial" w:hAnsi="Arial" w:cs="Arial"/>
          <w:sz w:val="20"/>
          <w:szCs w:val="20"/>
          <w:lang w:val="en-US"/>
        </w:rPr>
        <w:t xml:space="preserve">The estimated number of marine, terrestrial and freshwater plant and animal resources harvested with </w:t>
      </w:r>
      <w:r w:rsidR="00FF6A86">
        <w:rPr>
          <w:rFonts w:ascii="Arial" w:hAnsi="Arial" w:cs="Arial"/>
          <w:sz w:val="20"/>
          <w:szCs w:val="20"/>
          <w:lang w:val="en-US"/>
        </w:rPr>
        <w:t>versus</w:t>
      </w:r>
      <w:r w:rsidR="00FF6A86" w:rsidRPr="0094423F">
        <w:rPr>
          <w:rFonts w:ascii="Arial" w:hAnsi="Arial" w:cs="Arial"/>
          <w:sz w:val="20"/>
          <w:szCs w:val="20"/>
          <w:lang w:val="en-US"/>
        </w:rPr>
        <w:t xml:space="preserve"> without authorization from relevant management authorities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850"/>
        <w:gridCol w:w="992"/>
        <w:gridCol w:w="851"/>
        <w:gridCol w:w="850"/>
        <w:gridCol w:w="1560"/>
        <w:gridCol w:w="814"/>
      </w:tblGrid>
      <w:tr w:rsidR="00FF6A86" w:rsidRPr="0094423F" w:rsidTr="002447DC">
        <w:trPr>
          <w:trHeight w:val="2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423F">
              <w:rPr>
                <w:rFonts w:ascii="Arial" w:hAnsi="Arial" w:cs="Arial"/>
                <w:bCs/>
                <w:sz w:val="20"/>
                <w:szCs w:val="20"/>
              </w:rPr>
              <w:t>Marine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423F">
              <w:rPr>
                <w:rFonts w:ascii="Arial" w:hAnsi="Arial" w:cs="Arial"/>
                <w:bCs/>
                <w:sz w:val="20"/>
                <w:szCs w:val="20"/>
              </w:rPr>
              <w:t>Terrestrial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423F">
              <w:rPr>
                <w:rFonts w:ascii="Arial" w:hAnsi="Arial" w:cs="Arial"/>
                <w:bCs/>
                <w:sz w:val="20"/>
                <w:szCs w:val="20"/>
              </w:rPr>
              <w:t>Freshwater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423F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</w:tr>
      <w:tr w:rsidR="00FF6A86" w:rsidRPr="0094423F" w:rsidTr="002447DC">
        <w:trPr>
          <w:trHeight w:val="2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Harvest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Animal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Plant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Animal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Plant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Animal</w:t>
            </w:r>
          </w:p>
        </w:tc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A86" w:rsidRPr="0094423F" w:rsidTr="002447DC">
        <w:trPr>
          <w:trHeight w:val="255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Always authorised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FF6A86" w:rsidRPr="0094423F" w:rsidTr="002447DC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Authorised some of the time*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FF6A86" w:rsidRPr="0094423F" w:rsidTr="002447DC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Never authorised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FF6A86" w:rsidRPr="0094423F" w:rsidTr="002447DC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" w:type="dxa"/>
          </w:tcPr>
          <w:p w:rsidR="00FF6A86" w:rsidRPr="0094423F" w:rsidRDefault="00FF6A86" w:rsidP="002447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3F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</w:tbl>
    <w:p w:rsidR="00FF6A86" w:rsidRPr="0094423F" w:rsidRDefault="00FF6A86" w:rsidP="00FF6A8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4423F">
        <w:rPr>
          <w:rFonts w:ascii="Arial" w:hAnsi="Arial" w:cs="Arial"/>
          <w:sz w:val="20"/>
          <w:szCs w:val="20"/>
        </w:rPr>
        <w:t xml:space="preserve">* i.e. harvest that is authorised only in certain instances, in some parks but not others, or is authorised with strict harvest limits where restrictions are known to be exceeded </w:t>
      </w:r>
      <w:r>
        <w:rPr>
          <w:rFonts w:ascii="Arial" w:hAnsi="Arial" w:cs="Arial"/>
          <w:sz w:val="20"/>
          <w:szCs w:val="20"/>
        </w:rPr>
        <w:t>(</w:t>
      </w:r>
      <w:r w:rsidRPr="0094423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terms of quantities, season or application for authorization)</w:t>
      </w:r>
    </w:p>
    <w:p w:rsidR="00FF6A86" w:rsidRPr="00B032E8" w:rsidRDefault="00FF6A86" w:rsidP="00FF6A86">
      <w:pPr>
        <w:rPr>
          <w:rFonts w:ascii="Times New Roman" w:hAnsi="Times New Roman"/>
          <w:b/>
          <w:sz w:val="24"/>
          <w:lang w:val="en-US"/>
        </w:rPr>
      </w:pPr>
    </w:p>
    <w:p w:rsidR="008E0736" w:rsidRDefault="008E0736"/>
    <w:sectPr w:rsidR="008E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86"/>
    <w:rsid w:val="00277CA5"/>
    <w:rsid w:val="008E0736"/>
    <w:rsid w:val="009A56D9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C3163-9C88-4E67-9E3F-A9658D2D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Van Wilgen</dc:creator>
  <cp:lastModifiedBy>Gill Wilson</cp:lastModifiedBy>
  <cp:revision>3</cp:revision>
  <dcterms:created xsi:type="dcterms:W3CDTF">2014-05-09T10:48:00Z</dcterms:created>
  <dcterms:modified xsi:type="dcterms:W3CDTF">2014-09-01T14:15:00Z</dcterms:modified>
</cp:coreProperties>
</file>