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64" w:rsidRPr="00D7555B" w:rsidRDefault="008C5064" w:rsidP="008C5064">
      <w:pPr>
        <w:spacing w:line="480" w:lineRule="auto"/>
        <w:jc w:val="center"/>
        <w:rPr>
          <w:b/>
          <w:sz w:val="24"/>
          <w:lang w:val="en-GB"/>
        </w:rPr>
      </w:pPr>
      <w:r w:rsidRPr="00D7555B">
        <w:rPr>
          <w:b/>
          <w:sz w:val="24"/>
          <w:lang w:val="en-GB"/>
        </w:rPr>
        <w:t>Collateral benefits from public and private conservation lands: a comparison of ecosystem service capacities</w:t>
      </w:r>
    </w:p>
    <w:p w:rsidR="008C5064" w:rsidRPr="00D7555B" w:rsidRDefault="008C5064" w:rsidP="008C5064">
      <w:pPr>
        <w:spacing w:line="480" w:lineRule="auto"/>
        <w:jc w:val="center"/>
        <w:rPr>
          <w:sz w:val="22"/>
          <w:szCs w:val="22"/>
          <w:vertAlign w:val="superscript"/>
          <w:lang w:val="en-GB"/>
        </w:rPr>
      </w:pPr>
      <w:r w:rsidRPr="00D7555B">
        <w:rPr>
          <w:sz w:val="22"/>
          <w:szCs w:val="22"/>
          <w:lang w:val="en-GB"/>
        </w:rPr>
        <w:t xml:space="preserve">A. VILLAMAGNA, </w:t>
      </w:r>
      <w:r w:rsidRPr="0004561E">
        <w:rPr>
          <w:sz w:val="22"/>
          <w:szCs w:val="22"/>
          <w:lang w:val="en-GB"/>
        </w:rPr>
        <w:t>L. SCOTT</w:t>
      </w:r>
      <w:r>
        <w:rPr>
          <w:sz w:val="22"/>
          <w:szCs w:val="22"/>
          <w:vertAlign w:val="superscript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AND </w:t>
      </w:r>
      <w:r w:rsidRPr="0004561E">
        <w:rPr>
          <w:sz w:val="22"/>
          <w:szCs w:val="22"/>
          <w:lang w:val="en-GB"/>
        </w:rPr>
        <w:t>J. GILLESPIE</w:t>
      </w:r>
    </w:p>
    <w:p w:rsidR="008B18FA" w:rsidRPr="008C5064" w:rsidRDefault="00577A21" w:rsidP="008C5064">
      <w:pPr>
        <w:pStyle w:val="Caption"/>
        <w:keepNext/>
        <w:spacing w:after="0" w:line="480" w:lineRule="auto"/>
        <w:rPr>
          <w:b/>
          <w:i w:val="0"/>
          <w:color w:val="auto"/>
          <w:sz w:val="22"/>
          <w:szCs w:val="22"/>
        </w:rPr>
      </w:pPr>
      <w:r>
        <w:rPr>
          <w:b/>
          <w:i w:val="0"/>
          <w:color w:val="auto"/>
          <w:sz w:val="22"/>
          <w:szCs w:val="22"/>
        </w:rPr>
        <w:t>SUPPLEMENTARY</w:t>
      </w:r>
      <w:r w:rsidR="008C5064" w:rsidRPr="008C5064">
        <w:rPr>
          <w:b/>
          <w:i w:val="0"/>
          <w:color w:val="auto"/>
          <w:sz w:val="22"/>
          <w:szCs w:val="22"/>
        </w:rPr>
        <w:t xml:space="preserve"> MATERIAL </w:t>
      </w:r>
    </w:p>
    <w:p w:rsidR="008B18FA" w:rsidRPr="008C5064" w:rsidRDefault="008B18FA" w:rsidP="008C5064">
      <w:pPr>
        <w:pStyle w:val="Caption"/>
        <w:keepNext/>
        <w:spacing w:after="0" w:line="480" w:lineRule="auto"/>
        <w:rPr>
          <w:i w:val="0"/>
          <w:color w:val="auto"/>
          <w:sz w:val="22"/>
          <w:szCs w:val="22"/>
        </w:rPr>
      </w:pPr>
      <w:r w:rsidRPr="008C5064">
        <w:rPr>
          <w:b/>
          <w:i w:val="0"/>
          <w:color w:val="auto"/>
          <w:sz w:val="22"/>
          <w:szCs w:val="22"/>
        </w:rPr>
        <w:t xml:space="preserve">Table </w:t>
      </w:r>
      <w:r w:rsidR="00E63DB8" w:rsidRPr="008C5064">
        <w:rPr>
          <w:b/>
          <w:i w:val="0"/>
          <w:color w:val="auto"/>
          <w:sz w:val="22"/>
          <w:szCs w:val="22"/>
        </w:rPr>
        <w:t>S</w:t>
      </w:r>
      <w:r w:rsidRPr="008C5064">
        <w:rPr>
          <w:b/>
          <w:i w:val="0"/>
          <w:color w:val="auto"/>
          <w:sz w:val="22"/>
          <w:szCs w:val="22"/>
        </w:rPr>
        <w:fldChar w:fldCharType="begin"/>
      </w:r>
      <w:r w:rsidRPr="008C5064">
        <w:rPr>
          <w:b/>
          <w:i w:val="0"/>
          <w:color w:val="auto"/>
          <w:sz w:val="22"/>
          <w:szCs w:val="22"/>
        </w:rPr>
        <w:instrText xml:space="preserve"> SEQ Table \* ARABIC </w:instrText>
      </w:r>
      <w:r w:rsidRPr="008C5064">
        <w:rPr>
          <w:b/>
          <w:i w:val="0"/>
          <w:color w:val="auto"/>
          <w:sz w:val="22"/>
          <w:szCs w:val="22"/>
        </w:rPr>
        <w:fldChar w:fldCharType="separate"/>
      </w:r>
      <w:r w:rsidRPr="008C5064">
        <w:rPr>
          <w:b/>
          <w:i w:val="0"/>
          <w:noProof/>
          <w:color w:val="auto"/>
          <w:sz w:val="22"/>
          <w:szCs w:val="22"/>
        </w:rPr>
        <w:t>1</w:t>
      </w:r>
      <w:r w:rsidRPr="008C5064">
        <w:rPr>
          <w:b/>
          <w:i w:val="0"/>
          <w:color w:val="auto"/>
          <w:sz w:val="22"/>
          <w:szCs w:val="22"/>
        </w:rPr>
        <w:fldChar w:fldCharType="end"/>
      </w:r>
      <w:r w:rsidRPr="008C5064">
        <w:rPr>
          <w:i w:val="0"/>
          <w:color w:val="auto"/>
          <w:sz w:val="22"/>
          <w:szCs w:val="22"/>
        </w:rPr>
        <w:t xml:space="preserve"> Unstandardized values of ecosystem service models. Text below the table describes the relationship of these values to Table 3 in main text.</w:t>
      </w:r>
    </w:p>
    <w:tbl>
      <w:tblPr>
        <w:tblW w:w="12762" w:type="dxa"/>
        <w:tblInd w:w="108" w:type="dxa"/>
        <w:tblBorders>
          <w:top w:val="single" w:sz="12" w:space="0" w:color="auto"/>
          <w:bottom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6"/>
        <w:gridCol w:w="1595"/>
        <w:gridCol w:w="1595"/>
        <w:gridCol w:w="1595"/>
        <w:gridCol w:w="1596"/>
      </w:tblGrid>
      <w:tr w:rsidR="00AB20B0" w:rsidRPr="00AB7081" w:rsidTr="008C5064">
        <w:trPr>
          <w:cantSplit/>
          <w:trHeight w:val="546"/>
        </w:trPr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C4763F" w:rsidP="00C4763F">
            <w:pPr>
              <w:pStyle w:val="TableGri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222222"/>
                <w:sz w:val="18"/>
                <w:szCs w:val="18"/>
              </w:rPr>
              <w:t>C</w:t>
            </w:r>
            <w:r w:rsidRPr="00C4763F">
              <w:rPr>
                <w:i/>
                <w:color w:val="222222"/>
                <w:sz w:val="18"/>
                <w:szCs w:val="18"/>
              </w:rPr>
              <w:t>onservation area</w:t>
            </w:r>
            <w:r>
              <w:rPr>
                <w:color w:val="222222"/>
                <w:sz w:val="24"/>
              </w:rPr>
              <w:t xml:space="preserve"> </w:t>
            </w:r>
            <w:r>
              <w:rPr>
                <w:i/>
                <w:sz w:val="18"/>
                <w:szCs w:val="18"/>
              </w:rPr>
              <w:t>Manager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 xml:space="preserve">RAW-Surface water </w:t>
            </w:r>
            <w:r w:rsidR="008C5064" w:rsidRPr="00AB7081">
              <w:rPr>
                <w:i/>
                <w:sz w:val="18"/>
                <w:szCs w:val="18"/>
              </w:rPr>
              <w:t>run-off</w:t>
            </w:r>
            <w:r w:rsidRPr="00AB708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>RAW- leaching</w:t>
            </w:r>
            <w:r w:rsidRPr="00AB7081"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>Riparian filtration</w:t>
            </w:r>
            <w:r w:rsidRPr="00AB7081">
              <w:rPr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>RAW-Soil Loss</w:t>
            </w:r>
            <w:r w:rsidRPr="00AB7081">
              <w:rPr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>Caron storage</w:t>
            </w:r>
            <w:r w:rsidRPr="00AB7081">
              <w:rPr>
                <w:i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>Biodiversity support</w:t>
            </w:r>
            <w:r w:rsidRPr="00AB7081">
              <w:rPr>
                <w:i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AB7081" w:rsidRDefault="00AB20B0" w:rsidP="008C5064">
            <w:pPr>
              <w:pStyle w:val="TableGri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AB7081">
              <w:rPr>
                <w:i/>
                <w:sz w:val="18"/>
                <w:szCs w:val="18"/>
              </w:rPr>
              <w:t>Recreational fishing</w:t>
            </w:r>
            <w:r w:rsidRPr="00AB7081">
              <w:rPr>
                <w:i/>
                <w:sz w:val="18"/>
                <w:szCs w:val="18"/>
                <w:vertAlign w:val="superscript"/>
              </w:rPr>
              <w:t>7</w:t>
            </w:r>
          </w:p>
        </w:tc>
      </w:tr>
      <w:tr w:rsidR="00AB20B0" w:rsidRPr="008C5064" w:rsidTr="001158FA">
        <w:trPr>
          <w:cantSplit/>
          <w:trHeight w:val="241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tabs>
                <w:tab w:val="left" w:pos="965"/>
              </w:tabs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State</w:t>
            </w:r>
            <w:r w:rsidR="001158FA" w:rsidRPr="008C5064">
              <w:rPr>
                <w:sz w:val="18"/>
                <w:szCs w:val="18"/>
              </w:rPr>
              <w:tab/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 xml:space="preserve">VADCR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1.12 ± 0.3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9.46 ± 0.4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63.1 ± 1.4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35.67 ±  14.2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289.8 ± 8.3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222.0 ± 2.2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0.23 ± 0.009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VDGIF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0.54 ± 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11.49 ± 0.4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70.5 ± 1.2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17.06 ± 2.9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355.1 ± 9.5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193.2 ± 3.0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0.17 ± 0.007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NCDPR (SNAs)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2.41 ± 1.0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8.55 ± 0.4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72.1 ± 1.5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1.25 ± 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289.3 ± 27.4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150.6 ± 8.3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0.19 ± 0.02</w:t>
            </w:r>
            <w:r w:rsidR="00E63DB8" w:rsidRPr="008C5064">
              <w:rPr>
                <w:sz w:val="18"/>
                <w:szCs w:val="18"/>
              </w:rPr>
              <w:t>0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NCDENR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0.32 ± 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15.87 ± 1.3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60.5 ± 3.1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8.35 ± 7.3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332.2 ± 23.2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112.5 ± 5.9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0.02 ± 0.002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Gap Status 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0.72 ± 0.3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9.88 ± 0.6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66.4 ± 2.5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34.96 ± 15.5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287.4 ± 16.2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222.1 ± 3.8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0.20 ± 0.01</w:t>
            </w:r>
            <w:r w:rsidR="00E63DB8" w:rsidRPr="008C5064">
              <w:rPr>
                <w:sz w:val="18"/>
                <w:szCs w:val="18"/>
              </w:rPr>
              <w:t>0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Gap Status 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0.91 ± 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10.73 ± 0.3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66.4 ± 0.9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19.4 ± 5.0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331 ± 6.6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185.9 ± 2.5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0.17 ± 0.006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Federal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USFWS-NWR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1.87 ± 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19.02 ± 0.6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64.9 ± 0.8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238.40 ± 62.8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360.5 ± 8.2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211.3 ± 3.0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0.18 ± 0.006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USFS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1.63 ± 0.5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21.99 ± 1.0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68.0 ± 0.6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1.67 ± 0.3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230.8 ± 5.5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212.1 ± 1.5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0.27 ± 0.005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NPS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0.98 ± 0.9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24.36 ± 2.5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70.7 ± 1.0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1.83 ± 0.7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254.5 ± 34.6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184 ± 21.1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0.23 ± 0.01</w:t>
            </w:r>
            <w:r w:rsidR="00E63DB8" w:rsidRPr="008C5064">
              <w:rPr>
                <w:sz w:val="18"/>
                <w:szCs w:val="18"/>
              </w:rPr>
              <w:t>0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Gap Status 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1.61 ± 0.5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19.51 ± 0.9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66.7 ± 0.9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1.3 ± 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269.5 ± 8.5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201.1 ± 2.7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0.22 ± 0.008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Gap Status 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1.83 ± 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20.17 ± 0.6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65.6 ± 0.7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236.25 ± 62.2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334.7 ± 8.1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215.8 ± 2.8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0.21 ± 0.005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Easement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Federal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3.19 ± 1.0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8.85 ± 0.4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63.4 ± 2.7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119.6 ± 33.9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296.8</w:t>
            </w:r>
            <w:r w:rsidR="00C4763F">
              <w:rPr>
                <w:sz w:val="18"/>
                <w:szCs w:val="18"/>
              </w:rPr>
              <w:t xml:space="preserve"> </w:t>
            </w:r>
            <w:r w:rsidR="00C4763F" w:rsidRPr="008C5064">
              <w:rPr>
                <w:sz w:val="18"/>
                <w:szCs w:val="18"/>
              </w:rPr>
              <w:t xml:space="preserve">± </w:t>
            </w:r>
            <w:r w:rsidRPr="008C5064">
              <w:rPr>
                <w:sz w:val="18"/>
                <w:szCs w:val="18"/>
              </w:rPr>
              <w:t>36.2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209.1 ± 3.7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0.17 ± 0.007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State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0.51 ± 0.3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15.66 ± 1.5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66.0 ± 4.5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19.69 ± 18.2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 xml:space="preserve">282.1 </w:t>
            </w:r>
            <w:r w:rsidR="00C4763F" w:rsidRPr="008C5064">
              <w:rPr>
                <w:sz w:val="18"/>
                <w:szCs w:val="18"/>
              </w:rPr>
              <w:t xml:space="preserve">± </w:t>
            </w:r>
            <w:r w:rsidRPr="008C5064">
              <w:rPr>
                <w:sz w:val="18"/>
                <w:szCs w:val="18"/>
              </w:rPr>
              <w:t>27.4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210.5 ± 7.9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0.22 ± 0.1</w:t>
            </w:r>
            <w:r w:rsidR="00E63DB8" w:rsidRPr="008C5064">
              <w:rPr>
                <w:sz w:val="18"/>
                <w:szCs w:val="18"/>
              </w:rPr>
              <w:t>00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NGO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0.48 ± 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19.33 ± 1.5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E63DB8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68.5 ± 3.5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7.75 ± 2.7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 xml:space="preserve">379.1 </w:t>
            </w:r>
            <w:r w:rsidR="00C4763F" w:rsidRPr="008C5064">
              <w:rPr>
                <w:sz w:val="18"/>
                <w:szCs w:val="18"/>
              </w:rPr>
              <w:t xml:space="preserve">± </w:t>
            </w:r>
            <w:r w:rsidRPr="008C5064">
              <w:rPr>
                <w:sz w:val="18"/>
                <w:szCs w:val="18"/>
              </w:rPr>
              <w:t>24.9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156.3 ± 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8C5064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0.22 ± 0.004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Gap Status 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0.85 ± 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12.84 ± 1.6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64.5 ± 4.75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26.77 ± 17.9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315.9 24.6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197.8 ± 10.0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0.18 ± 0.02</w:t>
            </w:r>
          </w:p>
        </w:tc>
      </w:tr>
      <w:tr w:rsidR="00AB20B0" w:rsidRPr="008C5064" w:rsidTr="00C4763F">
        <w:trPr>
          <w:cantSplit/>
          <w:trHeight w:val="28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right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Gap Status 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1.74 ± 0.7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13.44 ± 0.7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67.0 ± 2.25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75.58 ± 25.9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302.5 9.1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185.4 ± 3.3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0B0" w:rsidRPr="008C5064" w:rsidRDefault="00AB20B0" w:rsidP="00C4763F">
            <w:pPr>
              <w:pStyle w:val="TableGrid1"/>
              <w:jc w:val="center"/>
              <w:rPr>
                <w:sz w:val="18"/>
                <w:szCs w:val="18"/>
              </w:rPr>
            </w:pPr>
            <w:r w:rsidRPr="008C5064">
              <w:rPr>
                <w:sz w:val="18"/>
                <w:szCs w:val="18"/>
              </w:rPr>
              <w:t>0.19 ± 0.005</w:t>
            </w:r>
          </w:p>
        </w:tc>
      </w:tr>
    </w:tbl>
    <w:p w:rsidR="00AB20B0" w:rsidRDefault="00AB20B0">
      <w:r w:rsidRPr="00710A7B">
        <w:rPr>
          <w:vertAlign w:val="superscript"/>
        </w:rPr>
        <w:t>1</w:t>
      </w:r>
      <w:r w:rsidR="00710A7B">
        <w:t xml:space="preserve"> </w:t>
      </w:r>
      <w:r>
        <w:t xml:space="preserve">Surface water </w:t>
      </w:r>
      <w:r w:rsidR="008C5064">
        <w:t>run-off</w:t>
      </w:r>
      <w:r>
        <w:t xml:space="preserve"> volume was standardized within conservation area type and then subtracted from 1 to obtain capacity of surface water regulation.</w:t>
      </w:r>
    </w:p>
    <w:p w:rsidR="008B18FA" w:rsidRDefault="00AB20B0">
      <w:r w:rsidRPr="00710A7B">
        <w:rPr>
          <w:vertAlign w:val="superscript"/>
        </w:rPr>
        <w:t>2</w:t>
      </w:r>
      <w:r>
        <w:t xml:space="preserve"> The New York Leaching Index was standardized within conservation area type and then subtracted from 1 to obtain cap</w:t>
      </w:r>
      <w:r w:rsidR="008B18FA">
        <w:t>acity of groundwater protection</w:t>
      </w:r>
    </w:p>
    <w:p w:rsidR="00AB20B0" w:rsidRDefault="00AB20B0">
      <w:r w:rsidRPr="00710A7B">
        <w:rPr>
          <w:vertAlign w:val="superscript"/>
        </w:rPr>
        <w:lastRenderedPageBreak/>
        <w:t>3</w:t>
      </w:r>
      <w:r w:rsidR="00710A7B">
        <w:t xml:space="preserve"> </w:t>
      </w:r>
      <w:r>
        <w:t xml:space="preserve">Riparian filtration was calculated as the mean </w:t>
      </w:r>
      <w:r w:rsidR="00C4763F">
        <w:t>percent</w:t>
      </w:r>
      <w:r>
        <w:t xml:space="preserve"> effectiveness of nitrogen removal derived from Mayer (2007) estimates by riparian land cover.</w:t>
      </w:r>
      <w:r>
        <w:br/>
      </w:r>
      <w:r w:rsidRPr="00710A7B">
        <w:rPr>
          <w:vertAlign w:val="superscript"/>
        </w:rPr>
        <w:t>4</w:t>
      </w:r>
      <w:r>
        <w:t xml:space="preserve"> Estimated soil loss (based on the RUSLE equation </w:t>
      </w:r>
      <w:r w:rsidR="00710A7B">
        <w:t>assuming</w:t>
      </w:r>
      <w:r>
        <w:t xml:space="preserve"> P factor = </w:t>
      </w:r>
      <w:r w:rsidR="00C4763F">
        <w:t>1</w:t>
      </w:r>
      <w:r>
        <w:t>)</w:t>
      </w:r>
      <w:r w:rsidRPr="00AB20B0">
        <w:t xml:space="preserve"> </w:t>
      </w:r>
      <w:r>
        <w:t>was standardized within conservation area type and then subtracted from 1 to obtain capacity of erosion control.</w:t>
      </w:r>
    </w:p>
    <w:p w:rsidR="00AB20B0" w:rsidRDefault="00AB20B0">
      <w:r w:rsidRPr="00710A7B">
        <w:rPr>
          <w:vertAlign w:val="superscript"/>
        </w:rPr>
        <w:t>5</w:t>
      </w:r>
      <w:r>
        <w:t xml:space="preserve"> Carbon storage was calculated by adding </w:t>
      </w:r>
      <w:r w:rsidR="00C4763F">
        <w:t>values of soil organic carbon</w:t>
      </w:r>
      <w:r>
        <w:t xml:space="preserve"> to above and below ground biomass carbon storage.</w:t>
      </w:r>
    </w:p>
    <w:p w:rsidR="00AB20B0" w:rsidRDefault="00AB20B0">
      <w:r w:rsidRPr="00710A7B">
        <w:rPr>
          <w:vertAlign w:val="superscript"/>
        </w:rPr>
        <w:t>6</w:t>
      </w:r>
      <w:r>
        <w:t xml:space="preserve"> Biodiversity support was calculated as the sum of the maximum species </w:t>
      </w:r>
      <w:r w:rsidR="00710A7B">
        <w:t>richness</w:t>
      </w:r>
      <w:r>
        <w:t xml:space="preserve"> of </w:t>
      </w:r>
      <w:r w:rsidR="00710A7B">
        <w:t>birds,</w:t>
      </w:r>
      <w:r>
        <w:t xml:space="preserve"> amphibians</w:t>
      </w:r>
      <w:r w:rsidR="00710A7B">
        <w:t>,</w:t>
      </w:r>
      <w:r>
        <w:t xml:space="preserve"> reptile</w:t>
      </w:r>
      <w:r w:rsidR="00710A7B">
        <w:t>,</w:t>
      </w:r>
      <w:r>
        <w:t xml:space="preserve"> and mammals within each conservation area.</w:t>
      </w:r>
    </w:p>
    <w:p w:rsidR="008B18FA" w:rsidRDefault="00AB20B0" w:rsidP="008B18FA">
      <w:r w:rsidRPr="00710A7B">
        <w:rPr>
          <w:vertAlign w:val="superscript"/>
        </w:rPr>
        <w:t>7</w:t>
      </w:r>
      <w:r>
        <w:t xml:space="preserve"> Freshwater recreational fishing was calculated as </w:t>
      </w:r>
      <w:r w:rsidR="00C4763F">
        <w:t>a</w:t>
      </w:r>
      <w:r>
        <w:t xml:space="preserve"> </w:t>
      </w:r>
      <w:r w:rsidR="00710A7B">
        <w:t>unit less</w:t>
      </w:r>
      <w:r>
        <w:t xml:space="preserve"> metric de</w:t>
      </w:r>
      <w:r w:rsidRPr="008B18FA">
        <w:rPr>
          <w:szCs w:val="20"/>
        </w:rPr>
        <w:t>riv</w:t>
      </w:r>
      <w:r w:rsidR="008B18FA" w:rsidRPr="008B18FA">
        <w:rPr>
          <w:color w:val="222222"/>
          <w:szCs w:val="20"/>
        </w:rPr>
        <w:t>e</w:t>
      </w:r>
      <w:r w:rsidRPr="008B18FA">
        <w:rPr>
          <w:szCs w:val="20"/>
        </w:rPr>
        <w:t>d</w:t>
      </w:r>
      <w:r>
        <w:t xml:space="preserve"> from the spatial combination of 8 factors (see Villamagna </w:t>
      </w:r>
      <w:r w:rsidRPr="00C4763F">
        <w:rPr>
          <w:i/>
        </w:rPr>
        <w:t>et al.</w:t>
      </w:r>
      <w:r>
        <w:t xml:space="preserve"> 2014) </w:t>
      </w:r>
    </w:p>
    <w:p w:rsidR="008B18FA" w:rsidRDefault="008B18FA" w:rsidP="008B18FA"/>
    <w:p w:rsidR="008B18FA" w:rsidRDefault="008B18FA" w:rsidP="008B18FA"/>
    <w:p w:rsidR="008B18FA" w:rsidRPr="008C5064" w:rsidRDefault="008B18FA" w:rsidP="008B18FA">
      <w:pPr>
        <w:rPr>
          <w:b/>
          <w:color w:val="222222"/>
          <w:sz w:val="24"/>
        </w:rPr>
      </w:pPr>
      <w:r w:rsidRPr="008C5064">
        <w:rPr>
          <w:b/>
          <w:color w:val="222222"/>
          <w:sz w:val="24"/>
        </w:rPr>
        <w:t xml:space="preserve">Standardization </w:t>
      </w:r>
      <w:r w:rsidR="008C5064">
        <w:rPr>
          <w:b/>
          <w:color w:val="222222"/>
          <w:sz w:val="24"/>
        </w:rPr>
        <w:t>e</w:t>
      </w:r>
      <w:r w:rsidRPr="008C5064">
        <w:rPr>
          <w:b/>
          <w:color w:val="222222"/>
          <w:sz w:val="24"/>
        </w:rPr>
        <w:t xml:space="preserve">quation </w:t>
      </w:r>
    </w:p>
    <w:p w:rsidR="008B18FA" w:rsidRDefault="008B18FA" w:rsidP="008B18FA">
      <w:pPr>
        <w:rPr>
          <w:color w:val="222222"/>
          <w:sz w:val="24"/>
        </w:rPr>
      </w:pPr>
    </w:p>
    <w:p w:rsidR="008B18FA" w:rsidRDefault="008B18FA" w:rsidP="008B18FA">
      <w:pPr>
        <w:rPr>
          <w:color w:val="222222"/>
          <w:sz w:val="24"/>
        </w:rPr>
      </w:pPr>
      <w:r>
        <w:rPr>
          <w:color w:val="222222"/>
          <w:sz w:val="24"/>
        </w:rPr>
        <w:t>W</w:t>
      </w:r>
      <w:r w:rsidRPr="00A079A2">
        <w:rPr>
          <w:color w:val="222222"/>
          <w:sz w:val="24"/>
        </w:rPr>
        <w:t xml:space="preserve">e standardized capacity metrics to range from 0 for the lowest relative capacity </w:t>
      </w:r>
      <w:r>
        <w:rPr>
          <w:color w:val="222222"/>
          <w:sz w:val="24"/>
        </w:rPr>
        <w:t xml:space="preserve">observed for all conservation areas </w:t>
      </w:r>
      <w:r w:rsidRPr="00A079A2">
        <w:rPr>
          <w:color w:val="222222"/>
          <w:sz w:val="24"/>
        </w:rPr>
        <w:t>to 1 for the highest relative capacity</w:t>
      </w:r>
      <w:r>
        <w:rPr>
          <w:color w:val="222222"/>
          <w:sz w:val="24"/>
        </w:rPr>
        <w:t xml:space="preserve">. This enables us to compare relative capacity among all </w:t>
      </w:r>
      <w:r w:rsidR="00C4763F">
        <w:rPr>
          <w:color w:val="222222"/>
          <w:sz w:val="24"/>
        </w:rPr>
        <w:t>conservation areas</w:t>
      </w:r>
      <w:r>
        <w:rPr>
          <w:color w:val="222222"/>
          <w:sz w:val="24"/>
        </w:rPr>
        <w:t xml:space="preserve">, regardless of type, owner, or gap status and it weighted each ES equally in the composite ES measures for each </w:t>
      </w:r>
      <w:r w:rsidR="00C4763F">
        <w:rPr>
          <w:color w:val="222222"/>
          <w:sz w:val="24"/>
        </w:rPr>
        <w:t>conservation areas</w:t>
      </w:r>
      <w:r>
        <w:rPr>
          <w:color w:val="222222"/>
          <w:sz w:val="24"/>
        </w:rPr>
        <w:t xml:space="preserve">. </w:t>
      </w:r>
    </w:p>
    <w:p w:rsidR="00E63DB8" w:rsidRDefault="00E63DB8" w:rsidP="008B18FA">
      <w:pPr>
        <w:rPr>
          <w:color w:val="222222"/>
          <w:sz w:val="24"/>
        </w:rPr>
      </w:pPr>
    </w:p>
    <w:bookmarkStart w:id="0" w:name="_GoBack"/>
    <w:p w:rsidR="008B18FA" w:rsidRDefault="006A4711" w:rsidP="008B18F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(observed capacity-minimum capacity)</m:t>
              </m:r>
            </m:num>
            <m:den>
              <m:r>
                <w:rPr>
                  <w:rFonts w:ascii="Cambria Math" w:hAnsi="Cambria Math"/>
                </w:rPr>
                <m:t>(maximum capacity-minimum capacity)</m:t>
              </m:r>
            </m:den>
          </m:f>
        </m:oMath>
      </m:oMathPara>
      <w:bookmarkEnd w:id="0"/>
    </w:p>
    <w:p w:rsidR="00AB20B0" w:rsidRDefault="00AB20B0"/>
    <w:sectPr w:rsidR="00AB20B0" w:rsidSect="00684F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42"/>
    <w:rsid w:val="001158FA"/>
    <w:rsid w:val="00562C64"/>
    <w:rsid w:val="00577A21"/>
    <w:rsid w:val="006714FB"/>
    <w:rsid w:val="00684F42"/>
    <w:rsid w:val="006A4711"/>
    <w:rsid w:val="00710A7B"/>
    <w:rsid w:val="008B18FA"/>
    <w:rsid w:val="008C5064"/>
    <w:rsid w:val="00950E22"/>
    <w:rsid w:val="00AB20B0"/>
    <w:rsid w:val="00AB7081"/>
    <w:rsid w:val="00B25E8E"/>
    <w:rsid w:val="00C4763F"/>
    <w:rsid w:val="00D352C4"/>
    <w:rsid w:val="00E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3E91-DAB4-486F-A048-8229443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4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sid w:val="00684F42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FA"/>
    <w:rPr>
      <w:rFonts w:ascii="Segoe UI" w:eastAsia="ヒラギノ角ゴ Pro W3" w:hAnsi="Segoe UI" w:cs="Segoe UI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B18F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Villamagna</dc:creator>
  <cp:keywords/>
  <dc:description/>
  <cp:lastModifiedBy>Gill Wilson</cp:lastModifiedBy>
  <cp:revision>2</cp:revision>
  <dcterms:created xsi:type="dcterms:W3CDTF">2014-11-11T20:28:00Z</dcterms:created>
  <dcterms:modified xsi:type="dcterms:W3CDTF">2014-11-11T20:28:00Z</dcterms:modified>
</cp:coreProperties>
</file>