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1B9" w:rsidRPr="008B3243" w:rsidRDefault="007301B9" w:rsidP="003E5765">
      <w:pPr>
        <w:pStyle w:val="Corpsdetexte"/>
        <w:spacing w:line="276" w:lineRule="auto"/>
        <w:jc w:val="left"/>
        <w:rPr>
          <w:b/>
          <w:bCs/>
        </w:rPr>
      </w:pPr>
    </w:p>
    <w:p w:rsidR="003A3B3A" w:rsidRDefault="003A3B3A" w:rsidP="003A3B3A">
      <w:pPr>
        <w:pStyle w:val="Corpsdetexte"/>
        <w:spacing w:line="276" w:lineRule="auto"/>
        <w:jc w:val="center"/>
        <w:rPr>
          <w:b/>
          <w:bCs/>
          <w:sz w:val="48"/>
          <w:szCs w:val="48"/>
        </w:rPr>
      </w:pPr>
      <w:r>
        <w:rPr>
          <w:b/>
          <w:bCs/>
          <w:sz w:val="48"/>
          <w:szCs w:val="48"/>
        </w:rPr>
        <w:t>Coffee monoculture trend in tropical agroforested landscapes of Western Ghats (India)</w:t>
      </w:r>
    </w:p>
    <w:p w:rsidR="002B1F54" w:rsidRPr="008B3243" w:rsidRDefault="002B1F54" w:rsidP="003E5765">
      <w:pPr>
        <w:pStyle w:val="Corpsdetexte"/>
        <w:spacing w:line="276" w:lineRule="auto"/>
        <w:jc w:val="center"/>
      </w:pPr>
    </w:p>
    <w:p w:rsidR="007229B3" w:rsidRPr="008B3243" w:rsidRDefault="007229B3" w:rsidP="003E5765">
      <w:pPr>
        <w:pStyle w:val="Corpsdetexte"/>
        <w:spacing w:line="276" w:lineRule="auto"/>
        <w:jc w:val="center"/>
        <w:rPr>
          <w:lang w:val="en-US"/>
        </w:rPr>
      </w:pPr>
    </w:p>
    <w:p w:rsidR="00DA4C74" w:rsidRPr="000B5BED" w:rsidRDefault="00122B4C" w:rsidP="003E5765">
      <w:pPr>
        <w:spacing w:line="276" w:lineRule="auto"/>
        <w:jc w:val="center"/>
        <w:rPr>
          <w:b/>
          <w:i/>
          <w:lang w:val="fr-FR" w:eastAsia="fr-FR"/>
        </w:rPr>
      </w:pPr>
      <w:r w:rsidRPr="000B5BED">
        <w:rPr>
          <w:b/>
          <w:i/>
          <w:lang w:val="fr-FR"/>
        </w:rPr>
        <w:t xml:space="preserve">Cédric </w:t>
      </w:r>
      <w:r w:rsidR="00260754">
        <w:rPr>
          <w:b/>
          <w:i/>
          <w:lang w:val="fr-FR"/>
        </w:rPr>
        <w:t>GAUCHEREL</w:t>
      </w:r>
      <w:r w:rsidRPr="000B5BED">
        <w:rPr>
          <w:b/>
          <w:i/>
          <w:lang w:val="fr-FR"/>
        </w:rPr>
        <w:t xml:space="preserve"> *(1, 2), Julie A</w:t>
      </w:r>
      <w:r w:rsidR="00260754">
        <w:rPr>
          <w:b/>
          <w:i/>
          <w:lang w:val="fr-FR"/>
        </w:rPr>
        <w:t>LET</w:t>
      </w:r>
      <w:r w:rsidRPr="000B5BED">
        <w:rPr>
          <w:b/>
          <w:i/>
          <w:lang w:val="fr-FR"/>
        </w:rPr>
        <w:t xml:space="preserve"> (1), Claude G</w:t>
      </w:r>
      <w:r w:rsidR="00260754">
        <w:rPr>
          <w:b/>
          <w:i/>
          <w:lang w:val="fr-FR"/>
        </w:rPr>
        <w:t>ARCIA</w:t>
      </w:r>
      <w:r w:rsidRPr="000B5BED">
        <w:rPr>
          <w:b/>
          <w:i/>
          <w:lang w:val="fr-FR"/>
        </w:rPr>
        <w:t xml:space="preserve"> (3, 4) </w:t>
      </w:r>
    </w:p>
    <w:p w:rsidR="00DA4C74" w:rsidRDefault="00DA4C74" w:rsidP="003E5765">
      <w:pPr>
        <w:spacing w:line="276" w:lineRule="auto"/>
        <w:jc w:val="center"/>
        <w:rPr>
          <w:lang w:val="fr-FR"/>
        </w:rPr>
      </w:pPr>
    </w:p>
    <w:p w:rsidR="000B5BED" w:rsidRDefault="000B5BED" w:rsidP="003E5765">
      <w:pPr>
        <w:spacing w:line="276" w:lineRule="auto"/>
        <w:jc w:val="center"/>
        <w:rPr>
          <w:lang w:val="fr-FR"/>
        </w:rPr>
      </w:pPr>
    </w:p>
    <w:p w:rsidR="000B5BED" w:rsidRPr="008B3243" w:rsidRDefault="000B5BED" w:rsidP="003E5765">
      <w:pPr>
        <w:spacing w:line="276" w:lineRule="auto"/>
        <w:jc w:val="center"/>
        <w:rPr>
          <w:lang w:val="fr-FR"/>
        </w:rPr>
      </w:pPr>
    </w:p>
    <w:p w:rsidR="009F34A2" w:rsidRPr="000B5BED" w:rsidRDefault="000B5BED" w:rsidP="003E5765">
      <w:pPr>
        <w:spacing w:line="276" w:lineRule="auto"/>
        <w:jc w:val="center"/>
        <w:rPr>
          <w:b/>
          <w:bCs/>
          <w:sz w:val="44"/>
          <w:szCs w:val="44"/>
          <w:lang w:val="en-US"/>
        </w:rPr>
      </w:pPr>
      <w:r w:rsidRPr="000B5BED">
        <w:rPr>
          <w:b/>
          <w:bCs/>
          <w:sz w:val="44"/>
          <w:szCs w:val="44"/>
          <w:lang w:val="en-US"/>
        </w:rPr>
        <w:t>Supplementary material</w:t>
      </w:r>
    </w:p>
    <w:p w:rsidR="000B5BED" w:rsidRPr="008B3243" w:rsidRDefault="000B5BED" w:rsidP="003E5765">
      <w:pPr>
        <w:spacing w:line="276" w:lineRule="auto"/>
        <w:jc w:val="center"/>
        <w:rPr>
          <w:noProof/>
        </w:rPr>
      </w:pPr>
    </w:p>
    <w:p w:rsidR="008B0798" w:rsidRPr="008B3243" w:rsidRDefault="008B0798" w:rsidP="003E5765">
      <w:pPr>
        <w:spacing w:line="240" w:lineRule="auto"/>
        <w:jc w:val="left"/>
        <w:rPr>
          <w:b/>
          <w:bCs/>
          <w:iCs/>
          <w:lang w:val="en-US"/>
        </w:rPr>
      </w:pPr>
      <w:r w:rsidRPr="008B3243">
        <w:rPr>
          <w:lang w:val="en-US"/>
        </w:rPr>
        <w:br w:type="page"/>
      </w:r>
    </w:p>
    <w:p w:rsidR="009F34A2" w:rsidRPr="008B3243" w:rsidRDefault="00ED3246" w:rsidP="000B5BED">
      <w:pPr>
        <w:pStyle w:val="Titre2"/>
        <w:numPr>
          <w:ilvl w:val="0"/>
          <w:numId w:val="0"/>
        </w:numPr>
        <w:spacing w:line="276" w:lineRule="auto"/>
        <w:jc w:val="left"/>
        <w:rPr>
          <w:rFonts w:cs="Times New Roman"/>
          <w:szCs w:val="24"/>
          <w:lang w:val="en-US"/>
        </w:rPr>
      </w:pPr>
      <w:proofErr w:type="gramStart"/>
      <w:r w:rsidRPr="008B3243">
        <w:rPr>
          <w:rFonts w:cs="Times New Roman"/>
          <w:szCs w:val="24"/>
          <w:lang w:val="en-US"/>
        </w:rPr>
        <w:lastRenderedPageBreak/>
        <w:t>Appendix S1.</w:t>
      </w:r>
      <w:proofErr w:type="gramEnd"/>
      <w:r w:rsidRPr="008B3243">
        <w:rPr>
          <w:rFonts w:cs="Times New Roman"/>
          <w:szCs w:val="24"/>
          <w:lang w:val="en-US"/>
        </w:rPr>
        <w:t xml:space="preserve"> </w:t>
      </w:r>
      <w:proofErr w:type="gramStart"/>
      <w:r w:rsidRPr="008B3243">
        <w:rPr>
          <w:rFonts w:cs="Times New Roman"/>
          <w:szCs w:val="24"/>
          <w:lang w:val="en-US"/>
        </w:rPr>
        <w:t>Kottoli village</w:t>
      </w:r>
      <w:r w:rsidR="003E5765" w:rsidRPr="008B3243">
        <w:rPr>
          <w:rFonts w:cs="Times New Roman"/>
          <w:szCs w:val="24"/>
          <w:lang w:val="en-US"/>
        </w:rPr>
        <w:t xml:space="preserve"> and the farm typology</w:t>
      </w:r>
      <w:r w:rsidRPr="008B3243">
        <w:rPr>
          <w:rFonts w:cs="Times New Roman"/>
          <w:szCs w:val="24"/>
          <w:lang w:val="en-US"/>
        </w:rPr>
        <w:t>.</w:t>
      </w:r>
      <w:proofErr w:type="gramEnd"/>
      <w:r w:rsidRPr="008B3243">
        <w:rPr>
          <w:rFonts w:cs="Times New Roman"/>
          <w:szCs w:val="24"/>
          <w:lang w:val="en-US"/>
        </w:rPr>
        <w:t xml:space="preserve"> </w:t>
      </w:r>
    </w:p>
    <w:p w:rsidR="009F34A2" w:rsidRPr="008B3243" w:rsidRDefault="009F34A2" w:rsidP="003E5765">
      <w:pPr>
        <w:pStyle w:val="Titre2"/>
        <w:numPr>
          <w:ilvl w:val="0"/>
          <w:numId w:val="0"/>
        </w:numPr>
        <w:spacing w:line="276" w:lineRule="auto"/>
        <w:ind w:left="360"/>
        <w:jc w:val="left"/>
        <w:rPr>
          <w:rFonts w:cs="Times New Roman"/>
          <w:szCs w:val="24"/>
          <w:lang w:val="en-US"/>
        </w:rPr>
      </w:pPr>
    </w:p>
    <w:p w:rsidR="009F34A2" w:rsidRPr="008B3243" w:rsidRDefault="00ED3246" w:rsidP="003E5765">
      <w:pPr>
        <w:spacing w:line="276" w:lineRule="auto"/>
        <w:jc w:val="left"/>
      </w:pPr>
      <w:r w:rsidRPr="008B3243">
        <w:t>The project “Connecting Environmental Services and Market Values of Coffee Agroforestry” (CAFNET), funded by the European Union from 2007 to 2011, was designed to assess and link the provision of environmental services to the market value of the coffee produced under complex agroforestry systems</w:t>
      </w:r>
      <w:r w:rsidR="00996CB9" w:rsidRPr="008B3243">
        <w:t xml:space="preserve"> </w:t>
      </w:r>
      <w:r w:rsidR="00996CB9" w:rsidRPr="008B3243">
        <w:rPr>
          <w:rStyle w:val="StyleAqua"/>
          <w:color w:val="auto"/>
        </w:rPr>
        <w:t>(</w:t>
      </w:r>
      <w:proofErr w:type="spellStart"/>
      <w:r w:rsidR="00996CB9" w:rsidRPr="008B3243">
        <w:rPr>
          <w:rStyle w:val="StyleAqua"/>
          <w:color w:val="auto"/>
        </w:rPr>
        <w:t>Ambinakudige</w:t>
      </w:r>
      <w:proofErr w:type="spellEnd"/>
      <w:r w:rsidR="00996CB9" w:rsidRPr="008B3243">
        <w:rPr>
          <w:rStyle w:val="StyleAqua"/>
          <w:color w:val="auto"/>
        </w:rPr>
        <w:t xml:space="preserve"> and Choi, 2009)</w:t>
      </w:r>
      <w:r w:rsidRPr="008B3243">
        <w:t xml:space="preserve">. CAFNET specifically targeted 126 villages in the central watershed of the district for its research. One of such villages was </w:t>
      </w:r>
      <w:proofErr w:type="gramStart"/>
      <w:r w:rsidRPr="008B3243">
        <w:t>Kottoli,</w:t>
      </w:r>
      <w:proofErr w:type="gramEnd"/>
      <w:r w:rsidRPr="008B3243">
        <w:t xml:space="preserve"> with circa 2000 inhabitants distributed over 5 km². </w:t>
      </w:r>
      <w:r w:rsidR="007C0F7D" w:rsidRPr="008B3243">
        <w:t>Its</w:t>
      </w:r>
      <w:r w:rsidRPr="008B3243">
        <w:t xml:space="preserve"> elevation ranges between 850 and 1000 </w:t>
      </w:r>
      <w:r w:rsidR="007C0F7D" w:rsidRPr="008B3243">
        <w:t>metres</w:t>
      </w:r>
      <w:r w:rsidRPr="008B3243">
        <w:t xml:space="preserve">, and a river crosses the </w:t>
      </w:r>
      <w:r w:rsidR="007C0F7D" w:rsidRPr="008B3243">
        <w:t>north-western</w:t>
      </w:r>
      <w:r w:rsidRPr="008B3243">
        <w:t xml:space="preserve"> part of the village (Fig. </w:t>
      </w:r>
      <w:r w:rsidR="004B4375">
        <w:t>S</w:t>
      </w:r>
      <w:r w:rsidRPr="008B3243">
        <w:t>1).</w:t>
      </w:r>
    </w:p>
    <w:p w:rsidR="009F34A2" w:rsidRPr="008B3243" w:rsidRDefault="009F34A2" w:rsidP="003E5765">
      <w:pPr>
        <w:spacing w:line="276" w:lineRule="auto"/>
        <w:jc w:val="left"/>
      </w:pPr>
    </w:p>
    <w:p w:rsidR="009F34A2" w:rsidRPr="008B3243" w:rsidRDefault="00ED3246" w:rsidP="003E5765">
      <w:pPr>
        <w:spacing w:line="276" w:lineRule="auto"/>
        <w:jc w:val="left"/>
      </w:pPr>
      <w:r w:rsidRPr="008B3243">
        <w:t>We mapped the village using survey maps obtained from the Revenue Department, Google Earth® visual interpretation</w:t>
      </w:r>
      <w:r w:rsidR="007C0F7D" w:rsidRPr="008B3243">
        <w:t>,</w:t>
      </w:r>
      <w:r w:rsidRPr="008B3243">
        <w:t xml:space="preserve"> and GPS </w:t>
      </w:r>
      <w:proofErr w:type="spellStart"/>
      <w:r w:rsidRPr="008B3243">
        <w:t>groundtruthing</w:t>
      </w:r>
      <w:proofErr w:type="spellEnd"/>
      <w:r w:rsidRPr="008B3243">
        <w:t xml:space="preserve">. Terraced rice fields were classified into three </w:t>
      </w:r>
      <w:r w:rsidR="00F05262" w:rsidRPr="008B3243">
        <w:t>land-cover types</w:t>
      </w:r>
      <w:r w:rsidRPr="008B3243">
        <w:t>: cultivated field, fallow</w:t>
      </w:r>
      <w:r w:rsidR="007C0F7D" w:rsidRPr="008B3243">
        <w:t>,</w:t>
      </w:r>
      <w:r w:rsidRPr="008B3243">
        <w:t xml:space="preserve"> and converted terrace. Half of the </w:t>
      </w:r>
      <w:r w:rsidR="007C0F7D" w:rsidRPr="008B3243">
        <w:t>terraced</w:t>
      </w:r>
      <w:r w:rsidRPr="008B3243">
        <w:t xml:space="preserve"> fields were still cultivated, one</w:t>
      </w:r>
      <w:r w:rsidR="007C0F7D" w:rsidRPr="008B3243">
        <w:t>-</w:t>
      </w:r>
      <w:r w:rsidRPr="008B3243">
        <w:t>third left as fallow, and the rest converted to other crops. Wooded patches were classified according to (1) their nature: forest or agroforest, (2) the percentage of silver oak</w:t>
      </w:r>
      <w:r w:rsidR="007C0F7D" w:rsidRPr="008B3243">
        <w:t>,</w:t>
      </w:r>
      <w:r w:rsidRPr="008B3243">
        <w:t xml:space="preserve"> and (3) their tree canopy cover (in </w:t>
      </w:r>
      <w:r w:rsidR="00F05262" w:rsidRPr="008B3243">
        <w:t>percentages</w:t>
      </w:r>
      <w:r w:rsidRPr="008B3243">
        <w:t xml:space="preserve">), and were mapped along 15 transects crossing the village. We </w:t>
      </w:r>
      <w:r w:rsidR="002101DD" w:rsidRPr="008B3243">
        <w:t>pooled</w:t>
      </w:r>
      <w:r w:rsidR="00A36DD7" w:rsidRPr="008B3243">
        <w:t xml:space="preserve"> </w:t>
      </w:r>
      <w:r w:rsidRPr="008B3243">
        <w:t xml:space="preserve">the habitations and water bodies </w:t>
      </w:r>
      <w:r w:rsidR="00A36DD7" w:rsidRPr="008B3243">
        <w:t>with</w:t>
      </w:r>
      <w:r w:rsidRPr="008B3243">
        <w:t xml:space="preserve"> the major surrounding soil </w:t>
      </w:r>
      <w:r w:rsidR="00235A1E" w:rsidRPr="008B3243">
        <w:t>constituent</w:t>
      </w:r>
      <w:r w:rsidR="00B1283B" w:rsidRPr="008B3243">
        <w:t>s</w:t>
      </w:r>
      <w:r w:rsidRPr="008B3243">
        <w:t xml:space="preserve"> (rice or forest), as they were small enough to not interfere in the land cover distribution. The wooded patches covered </w:t>
      </w:r>
    </w:p>
    <w:p w:rsidR="009F34A2" w:rsidRPr="008B3243" w:rsidRDefault="00ED3246" w:rsidP="003E5765">
      <w:pPr>
        <w:spacing w:line="276" w:lineRule="auto"/>
        <w:jc w:val="left"/>
      </w:pPr>
      <w:proofErr w:type="gramStart"/>
      <w:r w:rsidRPr="008B3243">
        <w:t xml:space="preserve">68% and the terraces 32% of the total surface of Kottoli (Table </w:t>
      </w:r>
      <w:r w:rsidR="00670ED3" w:rsidRPr="008B3243">
        <w:t>S</w:t>
      </w:r>
      <w:r w:rsidRPr="008B3243">
        <w:t>1).</w:t>
      </w:r>
      <w:proofErr w:type="gramEnd"/>
      <w:r w:rsidRPr="008B3243">
        <w:t xml:space="preserve"> Coffee plantations with native tree cover were the dominant land cover (21%), while </w:t>
      </w:r>
      <w:r w:rsidR="007C0F7D" w:rsidRPr="008B3243">
        <w:t>forest</w:t>
      </w:r>
      <w:r w:rsidRPr="008B3243">
        <w:t xml:space="preserve"> remnants (patches of forests not converted to coffee, either because </w:t>
      </w:r>
      <w:r w:rsidR="007C0F7D" w:rsidRPr="008B3243">
        <w:t xml:space="preserve">of their being held </w:t>
      </w:r>
      <w:r w:rsidRPr="008B3243">
        <w:t>sacred and community</w:t>
      </w:r>
      <w:r w:rsidR="00F05262" w:rsidRPr="008B3243">
        <w:t>-</w:t>
      </w:r>
      <w:r w:rsidRPr="008B3243">
        <w:t>controlled</w:t>
      </w:r>
      <w:r w:rsidR="007C0F7D" w:rsidRPr="008B3243">
        <w:t>,</w:t>
      </w:r>
      <w:r w:rsidRPr="008B3243">
        <w:t xml:space="preserve"> or because the private owner had not made the conversion) covered 9%. Silver</w:t>
      </w:r>
      <w:r w:rsidR="007C0F7D" w:rsidRPr="008B3243">
        <w:t>-oak-</w:t>
      </w:r>
      <w:r w:rsidRPr="008B3243">
        <w:t>dominated coffee plantations covered 25% of the total village surface, more than one</w:t>
      </w:r>
      <w:r w:rsidR="007C0F7D" w:rsidRPr="008B3243">
        <w:t>-</w:t>
      </w:r>
      <w:r w:rsidRPr="008B3243">
        <w:t xml:space="preserve">third of the wooded area.  </w:t>
      </w:r>
    </w:p>
    <w:p w:rsidR="009F34A2" w:rsidRPr="008B3243" w:rsidRDefault="009F34A2" w:rsidP="003E5765">
      <w:pPr>
        <w:spacing w:line="276" w:lineRule="auto"/>
        <w:jc w:val="left"/>
        <w:rPr>
          <w:lang w:val="en-US"/>
        </w:rPr>
      </w:pPr>
    </w:p>
    <w:p w:rsidR="009F34A2" w:rsidRPr="008B3243" w:rsidRDefault="00F72983" w:rsidP="003E5765">
      <w:pPr>
        <w:spacing w:line="276" w:lineRule="auto"/>
        <w:jc w:val="left"/>
      </w:pPr>
      <w:r w:rsidRPr="008B3243">
        <w:t>We used</w:t>
      </w:r>
      <w:r w:rsidR="00ED3246" w:rsidRPr="008B3243">
        <w:t xml:space="preserve"> the Wilcoxon rank-sum test. The samples here were the projected coordinates of the polygon centres of each land cover on an axis linking </w:t>
      </w:r>
      <w:proofErr w:type="spellStart"/>
      <w:r w:rsidR="006C11E8" w:rsidRPr="008B3243">
        <w:t>Kottoli’s</w:t>
      </w:r>
      <w:proofErr w:type="spellEnd"/>
      <w:r w:rsidR="00ED3246" w:rsidRPr="008B3243">
        <w:t xml:space="preserve"> </w:t>
      </w:r>
      <w:r w:rsidR="006C11E8" w:rsidRPr="008B3243">
        <w:t>south-western and</w:t>
      </w:r>
      <w:r w:rsidR="00ED3246" w:rsidRPr="008B3243">
        <w:t xml:space="preserve"> </w:t>
      </w:r>
      <w:r w:rsidR="006C11E8" w:rsidRPr="008B3243">
        <w:t>north-eastern parts</w:t>
      </w:r>
      <w:r w:rsidR="00ED3246" w:rsidRPr="008B3243">
        <w:t>. With the null hypothesis of a uniform distribution of the land cover, a low p-value (below 10</w:t>
      </w:r>
      <w:r w:rsidR="00ED3246" w:rsidRPr="008B3243">
        <w:rPr>
          <w:vertAlign w:val="superscript"/>
        </w:rPr>
        <w:t>-2</w:t>
      </w:r>
      <w:r w:rsidR="00ED3246" w:rsidRPr="008B3243">
        <w:t xml:space="preserve">) indicated a significant gradient of this land cover across the village. The main gradients observed in the 2011 Kottoli map </w:t>
      </w:r>
      <w:r w:rsidR="006C11E8" w:rsidRPr="008B3243">
        <w:t>were</w:t>
      </w:r>
      <w:r w:rsidR="00ED3246" w:rsidRPr="008B3243">
        <w:t>: a positive fallow paddy gradient (Wilcoxon p-value = 2.2 10</w:t>
      </w:r>
      <w:r w:rsidR="00ED3246" w:rsidRPr="008B3243">
        <w:rPr>
          <w:vertAlign w:val="superscript"/>
        </w:rPr>
        <w:t>-16</w:t>
      </w:r>
      <w:r w:rsidR="00ED3246" w:rsidRPr="008B3243">
        <w:t>), a positive silver oak coffee plantation gradient (1.14 10</w:t>
      </w:r>
      <w:r w:rsidR="00ED3246" w:rsidRPr="008B3243">
        <w:rPr>
          <w:vertAlign w:val="superscript"/>
        </w:rPr>
        <w:t>-5</w:t>
      </w:r>
      <w:r w:rsidR="00ED3246" w:rsidRPr="008B3243">
        <w:t>), and a weak and positive private forest gradient (1.9 10</w:t>
      </w:r>
      <w:r w:rsidR="00ED3246" w:rsidRPr="008B3243">
        <w:rPr>
          <w:vertAlign w:val="superscript"/>
        </w:rPr>
        <w:t>-3</w:t>
      </w:r>
      <w:r w:rsidR="00ED3246" w:rsidRPr="008B3243">
        <w:t xml:space="preserve">). </w:t>
      </w:r>
    </w:p>
    <w:p w:rsidR="00A02CB8" w:rsidRDefault="00A02CB8">
      <w:pPr>
        <w:spacing w:line="240" w:lineRule="auto"/>
        <w:jc w:val="left"/>
      </w:pPr>
      <w:r>
        <w:br w:type="page"/>
      </w:r>
    </w:p>
    <w:p w:rsidR="00C75281" w:rsidRDefault="00BA46A9">
      <w:pPr>
        <w:spacing w:line="240" w:lineRule="auto"/>
        <w:jc w:val="left"/>
      </w:pPr>
      <w:r>
        <w:rPr>
          <w:noProof/>
          <w:lang w:val="fr-FR" w:eastAsia="fr-FR"/>
        </w:rPr>
        <w:lastRenderedPageBreak/>
        <w:drawing>
          <wp:inline distT="0" distB="0" distL="0" distR="0">
            <wp:extent cx="5731510" cy="8109585"/>
            <wp:effectExtent l="19050" t="0" r="2540" b="0"/>
            <wp:docPr id="5" name="Image 4" descr="DiapositiveS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eS1.TIF"/>
                    <pic:cNvPicPr/>
                  </pic:nvPicPr>
                  <pic:blipFill>
                    <a:blip r:embed="rId9"/>
                    <a:stretch>
                      <a:fillRect/>
                    </a:stretch>
                  </pic:blipFill>
                  <pic:spPr>
                    <a:xfrm>
                      <a:off x="0" y="0"/>
                      <a:ext cx="5731510" cy="8109585"/>
                    </a:xfrm>
                    <a:prstGeom prst="rect">
                      <a:avLst/>
                    </a:prstGeom>
                  </pic:spPr>
                </pic:pic>
              </a:graphicData>
            </a:graphic>
          </wp:inline>
        </w:drawing>
      </w:r>
    </w:p>
    <w:p w:rsidR="00A02CB8" w:rsidRDefault="00C75281" w:rsidP="00C75281">
      <w:pPr>
        <w:spacing w:line="276" w:lineRule="auto"/>
      </w:pPr>
      <w:r w:rsidRPr="00C75281">
        <w:rPr>
          <w:noProof/>
          <w:u w:val="single"/>
          <w:lang w:val="en-US"/>
        </w:rPr>
        <w:t>Figure S1.</w:t>
      </w:r>
      <w:r w:rsidRPr="00C75281">
        <w:rPr>
          <w:noProof/>
          <w:lang w:val="en-US"/>
        </w:rPr>
        <w:t xml:space="preserve"> </w:t>
      </w:r>
      <w:r w:rsidRPr="00C75281">
        <w:rPr>
          <w:lang w:val="en-US"/>
        </w:rPr>
        <w:t xml:space="preserve">Location maps of Kottoli village. </w:t>
      </w:r>
      <w:r w:rsidRPr="005015DE">
        <w:t xml:space="preserve">The 2007 land-cover map is based on IRS P6 LISS III images and was reclassified by manual digitization. </w:t>
      </w:r>
      <w:r w:rsidR="00A02CB8">
        <w:br w:type="page"/>
      </w:r>
    </w:p>
    <w:p w:rsidR="00A02CB8" w:rsidRPr="008B3243" w:rsidRDefault="00A02CB8" w:rsidP="00140492">
      <w:pPr>
        <w:spacing w:line="276" w:lineRule="auto"/>
        <w:jc w:val="left"/>
      </w:pPr>
    </w:p>
    <w:tbl>
      <w:tblPr>
        <w:tblStyle w:val="Tableauclassique1"/>
        <w:tblW w:w="8849" w:type="dxa"/>
        <w:tblLook w:val="00A0" w:firstRow="1" w:lastRow="0" w:firstColumn="1" w:lastColumn="0" w:noHBand="0" w:noVBand="0"/>
      </w:tblPr>
      <w:tblGrid>
        <w:gridCol w:w="2376"/>
        <w:gridCol w:w="996"/>
        <w:gridCol w:w="569"/>
        <w:gridCol w:w="230"/>
        <w:gridCol w:w="816"/>
        <w:gridCol w:w="967"/>
        <w:gridCol w:w="202"/>
        <w:gridCol w:w="816"/>
        <w:gridCol w:w="1691"/>
        <w:gridCol w:w="186"/>
      </w:tblGrid>
      <w:tr w:rsidR="00DB4853" w:rsidRPr="008B3243" w:rsidTr="00DB4853">
        <w:trPr>
          <w:gridAfter w:val="1"/>
          <w:cnfStyle w:val="100000000000" w:firstRow="1" w:lastRow="0" w:firstColumn="0" w:lastColumn="0" w:oddVBand="0" w:evenVBand="0" w:oddHBand="0" w:evenHBand="0" w:firstRowFirstColumn="0" w:firstRowLastColumn="0" w:lastRowFirstColumn="0" w:lastRowLastColumn="0"/>
          <w:wAfter w:w="186" w:type="dxa"/>
        </w:trPr>
        <w:tc>
          <w:tcPr>
            <w:cnfStyle w:val="001000000000" w:firstRow="0" w:lastRow="0" w:firstColumn="1" w:lastColumn="0" w:oddVBand="0" w:evenVBand="0" w:oddHBand="0" w:evenHBand="0" w:firstRowFirstColumn="0" w:firstRowLastColumn="0" w:lastRowFirstColumn="0" w:lastRowLastColumn="0"/>
            <w:tcW w:w="2376" w:type="dxa"/>
            <w:vMerge w:val="restart"/>
          </w:tcPr>
          <w:p w:rsidR="00140492" w:rsidRPr="008B3243" w:rsidRDefault="00140492" w:rsidP="00F05262">
            <w:pPr>
              <w:spacing w:line="276" w:lineRule="auto"/>
              <w:jc w:val="left"/>
              <w:rPr>
                <w:i w:val="0"/>
                <w:iCs w:val="0"/>
              </w:rPr>
            </w:pPr>
          </w:p>
        </w:tc>
        <w:tc>
          <w:tcPr>
            <w:tcW w:w="1565" w:type="dxa"/>
            <w:gridSpan w:val="2"/>
            <w:tcBorders>
              <w:top w:val="single" w:sz="12" w:space="0" w:color="000000"/>
              <w:bottom w:val="nil"/>
            </w:tcBorders>
          </w:tcPr>
          <w:p w:rsidR="00140492" w:rsidRPr="008B3243" w:rsidRDefault="00140492" w:rsidP="00F05262">
            <w:pPr>
              <w:spacing w:line="276" w:lineRule="auto"/>
              <w:jc w:val="left"/>
              <w:cnfStyle w:val="100000000000" w:firstRow="1" w:lastRow="0" w:firstColumn="0" w:lastColumn="0" w:oddVBand="0" w:evenVBand="0" w:oddHBand="0" w:evenHBand="0" w:firstRowFirstColumn="0" w:firstRowLastColumn="0" w:lastRowFirstColumn="0" w:lastRowLastColumn="0"/>
              <w:rPr>
                <w:b/>
                <w:i w:val="0"/>
                <w:iCs w:val="0"/>
              </w:rPr>
            </w:pPr>
            <w:r w:rsidRPr="008B3243">
              <w:rPr>
                <w:b/>
                <w:i w:val="0"/>
              </w:rPr>
              <w:t xml:space="preserve">Initial – 1950 </w:t>
            </w:r>
          </w:p>
        </w:tc>
        <w:tc>
          <w:tcPr>
            <w:tcW w:w="2013" w:type="dxa"/>
            <w:gridSpan w:val="3"/>
            <w:tcBorders>
              <w:top w:val="single" w:sz="12" w:space="0" w:color="000000"/>
              <w:bottom w:val="nil"/>
            </w:tcBorders>
          </w:tcPr>
          <w:p w:rsidR="00140492" w:rsidRPr="008B3243" w:rsidRDefault="00140492" w:rsidP="00F05262">
            <w:pPr>
              <w:spacing w:line="276" w:lineRule="auto"/>
              <w:jc w:val="left"/>
              <w:cnfStyle w:val="100000000000" w:firstRow="1" w:lastRow="0" w:firstColumn="0" w:lastColumn="0" w:oddVBand="0" w:evenVBand="0" w:oddHBand="0" w:evenHBand="0" w:firstRowFirstColumn="0" w:firstRowLastColumn="0" w:lastRowFirstColumn="0" w:lastRowLastColumn="0"/>
              <w:rPr>
                <w:b/>
                <w:i w:val="0"/>
                <w:iCs w:val="0"/>
              </w:rPr>
            </w:pPr>
            <w:r w:rsidRPr="008B3243">
              <w:rPr>
                <w:b/>
                <w:i w:val="0"/>
              </w:rPr>
              <w:t xml:space="preserve">Observation – 2011 </w:t>
            </w:r>
          </w:p>
        </w:tc>
        <w:tc>
          <w:tcPr>
            <w:tcW w:w="2709" w:type="dxa"/>
            <w:gridSpan w:val="3"/>
            <w:tcBorders>
              <w:top w:val="single" w:sz="12" w:space="0" w:color="000000"/>
              <w:bottom w:val="nil"/>
            </w:tcBorders>
          </w:tcPr>
          <w:p w:rsidR="00140492" w:rsidRPr="008B3243" w:rsidRDefault="00140492" w:rsidP="00F05262">
            <w:pPr>
              <w:spacing w:line="276" w:lineRule="auto"/>
              <w:jc w:val="left"/>
              <w:cnfStyle w:val="100000000000" w:firstRow="1" w:lastRow="0" w:firstColumn="0" w:lastColumn="0" w:oddVBand="0" w:evenVBand="0" w:oddHBand="0" w:evenHBand="0" w:firstRowFirstColumn="0" w:firstRowLastColumn="0" w:lastRowFirstColumn="0" w:lastRowLastColumn="0"/>
              <w:rPr>
                <w:b/>
                <w:i w:val="0"/>
                <w:iCs w:val="0"/>
              </w:rPr>
            </w:pPr>
            <w:r w:rsidRPr="008B3243">
              <w:rPr>
                <w:b/>
                <w:i w:val="0"/>
              </w:rPr>
              <w:t>Simulation – 2010</w:t>
            </w:r>
          </w:p>
        </w:tc>
      </w:tr>
      <w:tr w:rsidR="00DB4853" w:rsidRPr="008B3243" w:rsidTr="00DB4853">
        <w:tc>
          <w:tcPr>
            <w:cnfStyle w:val="001000000000" w:firstRow="0" w:lastRow="0" w:firstColumn="1" w:lastColumn="0" w:oddVBand="0" w:evenVBand="0" w:oddHBand="0" w:evenHBand="0" w:firstRowFirstColumn="0" w:firstRowLastColumn="0" w:lastRowFirstColumn="0" w:lastRowLastColumn="0"/>
            <w:tcW w:w="2376" w:type="dxa"/>
            <w:vMerge/>
          </w:tcPr>
          <w:p w:rsidR="00140492" w:rsidRPr="008B3243" w:rsidRDefault="00140492" w:rsidP="00F05262">
            <w:pPr>
              <w:spacing w:line="276" w:lineRule="auto"/>
              <w:jc w:val="left"/>
            </w:pPr>
          </w:p>
        </w:tc>
        <w:tc>
          <w:tcPr>
            <w:tcW w:w="996" w:type="dxa"/>
            <w:tcBorders>
              <w:top w:val="nil"/>
              <w:bottom w:val="single" w:sz="6" w:space="0" w:color="000000"/>
            </w:tcBorders>
            <w:vAlign w:val="center"/>
          </w:tcPr>
          <w:p w:rsidR="00140492" w:rsidRPr="008B3243" w:rsidRDefault="00F05262" w:rsidP="00F05262">
            <w:pPr>
              <w:spacing w:line="276" w:lineRule="auto"/>
              <w:ind w:left="240"/>
              <w:jc w:val="left"/>
              <w:cnfStyle w:val="000000000000" w:firstRow="0" w:lastRow="0" w:firstColumn="0" w:lastColumn="0" w:oddVBand="0" w:evenVBand="0" w:oddHBand="0" w:evenHBand="0" w:firstRowFirstColumn="0" w:firstRowLastColumn="0" w:lastRowFirstColumn="0" w:lastRowLastColumn="0"/>
              <w:rPr>
                <w:i/>
                <w:iCs/>
                <w:vertAlign w:val="superscript"/>
              </w:rPr>
            </w:pPr>
            <w:r w:rsidRPr="008B3243">
              <w:rPr>
                <w:i/>
              </w:rPr>
              <w:t>km</w:t>
            </w:r>
            <w:r w:rsidRPr="008B3243">
              <w:rPr>
                <w:i/>
                <w:iCs/>
                <w:vertAlign w:val="superscript"/>
              </w:rPr>
              <w:t>2</w:t>
            </w:r>
          </w:p>
        </w:tc>
        <w:tc>
          <w:tcPr>
            <w:tcW w:w="799" w:type="dxa"/>
            <w:gridSpan w:val="2"/>
            <w:tcBorders>
              <w:top w:val="nil"/>
              <w:bottom w:val="single" w:sz="6" w:space="0" w:color="000000"/>
            </w:tcBorders>
            <w:vAlign w:val="center"/>
          </w:tcPr>
          <w:p w:rsidR="00140492" w:rsidRPr="008B3243" w:rsidRDefault="00140492" w:rsidP="00DB4853">
            <w:pPr>
              <w:spacing w:line="276" w:lineRule="auto"/>
              <w:jc w:val="left"/>
              <w:cnfStyle w:val="000000000000" w:firstRow="0" w:lastRow="0" w:firstColumn="0" w:lastColumn="0" w:oddVBand="0" w:evenVBand="0" w:oddHBand="0" w:evenHBand="0" w:firstRowFirstColumn="0" w:firstRowLastColumn="0" w:lastRowFirstColumn="0" w:lastRowLastColumn="0"/>
              <w:rPr>
                <w:i/>
              </w:rPr>
            </w:pPr>
            <w:r w:rsidRPr="008B3243">
              <w:rPr>
                <w:i/>
              </w:rPr>
              <w:t>%</w:t>
            </w:r>
          </w:p>
        </w:tc>
        <w:tc>
          <w:tcPr>
            <w:tcW w:w="816" w:type="dxa"/>
            <w:tcBorders>
              <w:top w:val="nil"/>
              <w:bottom w:val="single" w:sz="6" w:space="0" w:color="000000"/>
            </w:tcBorders>
            <w:vAlign w:val="center"/>
          </w:tcPr>
          <w:p w:rsidR="00140492" w:rsidRPr="008B3243" w:rsidRDefault="00985937" w:rsidP="00F05262">
            <w:pPr>
              <w:spacing w:line="276" w:lineRule="auto"/>
              <w:ind w:left="240"/>
              <w:jc w:val="left"/>
              <w:cnfStyle w:val="000000000000" w:firstRow="0" w:lastRow="0" w:firstColumn="0" w:lastColumn="0" w:oddVBand="0" w:evenVBand="0" w:oddHBand="0" w:evenHBand="0" w:firstRowFirstColumn="0" w:firstRowLastColumn="0" w:lastRowFirstColumn="0" w:lastRowLastColumn="0"/>
              <w:rPr>
                <w:i/>
                <w:iCs/>
                <w:vertAlign w:val="superscript"/>
              </w:rPr>
            </w:pPr>
            <w:r w:rsidRPr="008B3243">
              <w:rPr>
                <w:i/>
              </w:rPr>
              <w:t>km</w:t>
            </w:r>
            <w:r w:rsidRPr="008B3243">
              <w:rPr>
                <w:i/>
                <w:iCs/>
                <w:vertAlign w:val="superscript"/>
              </w:rPr>
              <w:t>2</w:t>
            </w:r>
          </w:p>
        </w:tc>
        <w:tc>
          <w:tcPr>
            <w:tcW w:w="1169" w:type="dxa"/>
            <w:gridSpan w:val="2"/>
            <w:tcBorders>
              <w:top w:val="nil"/>
              <w:bottom w:val="single" w:sz="6" w:space="0" w:color="000000"/>
            </w:tcBorders>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rPr>
                <w:i/>
              </w:rPr>
            </w:pPr>
            <w:r w:rsidRPr="008B3243">
              <w:rPr>
                <w:i/>
              </w:rPr>
              <w:t>%</w:t>
            </w:r>
          </w:p>
        </w:tc>
        <w:tc>
          <w:tcPr>
            <w:tcW w:w="816" w:type="dxa"/>
            <w:tcBorders>
              <w:top w:val="nil"/>
              <w:bottom w:val="single" w:sz="6" w:space="0" w:color="000000"/>
            </w:tcBorders>
            <w:vAlign w:val="center"/>
          </w:tcPr>
          <w:p w:rsidR="00140492" w:rsidRPr="008B3243" w:rsidRDefault="00985937" w:rsidP="00F05262">
            <w:pPr>
              <w:spacing w:line="276" w:lineRule="auto"/>
              <w:ind w:left="240"/>
              <w:jc w:val="left"/>
              <w:cnfStyle w:val="000000000000" w:firstRow="0" w:lastRow="0" w:firstColumn="0" w:lastColumn="0" w:oddVBand="0" w:evenVBand="0" w:oddHBand="0" w:evenHBand="0" w:firstRowFirstColumn="0" w:firstRowLastColumn="0" w:lastRowFirstColumn="0" w:lastRowLastColumn="0"/>
              <w:rPr>
                <w:i/>
                <w:iCs/>
                <w:vertAlign w:val="superscript"/>
              </w:rPr>
            </w:pPr>
            <w:r w:rsidRPr="008B3243">
              <w:rPr>
                <w:i/>
              </w:rPr>
              <w:t>km</w:t>
            </w:r>
            <w:r w:rsidRPr="008B3243">
              <w:rPr>
                <w:i/>
                <w:iCs/>
                <w:vertAlign w:val="superscript"/>
              </w:rPr>
              <w:t>2</w:t>
            </w:r>
          </w:p>
        </w:tc>
        <w:tc>
          <w:tcPr>
            <w:tcW w:w="1877" w:type="dxa"/>
            <w:gridSpan w:val="2"/>
            <w:tcBorders>
              <w:top w:val="nil"/>
              <w:bottom w:val="single" w:sz="6" w:space="0" w:color="000000"/>
            </w:tcBorders>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rPr>
                <w:i/>
              </w:rPr>
            </w:pPr>
            <w:r w:rsidRPr="008B3243">
              <w:rPr>
                <w:i/>
              </w:rPr>
              <w:t>%</w:t>
            </w:r>
          </w:p>
        </w:tc>
      </w:tr>
      <w:tr w:rsidR="00DB4853" w:rsidRPr="008B3243" w:rsidTr="00DB4853">
        <w:tc>
          <w:tcPr>
            <w:cnfStyle w:val="001000000000" w:firstRow="0" w:lastRow="0" w:firstColumn="1" w:lastColumn="0" w:oddVBand="0" w:evenVBand="0" w:oddHBand="0" w:evenHBand="0" w:firstRowFirstColumn="0" w:firstRowLastColumn="0" w:lastRowFirstColumn="0" w:lastRowLastColumn="0"/>
            <w:tcW w:w="2376" w:type="dxa"/>
          </w:tcPr>
          <w:p w:rsidR="00140492" w:rsidRPr="008B3243" w:rsidRDefault="00140492" w:rsidP="00F05262">
            <w:pPr>
              <w:spacing w:line="276" w:lineRule="auto"/>
              <w:jc w:val="left"/>
            </w:pPr>
            <w:r w:rsidRPr="008B3243">
              <w:t>5 - Jungle coffee</w:t>
            </w:r>
          </w:p>
        </w:tc>
        <w:tc>
          <w:tcPr>
            <w:tcW w:w="996" w:type="dxa"/>
            <w:tcBorders>
              <w:top w:val="single" w:sz="6" w:space="0" w:color="000000"/>
            </w:tcBorders>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w:t>
            </w:r>
          </w:p>
        </w:tc>
        <w:tc>
          <w:tcPr>
            <w:tcW w:w="799" w:type="dxa"/>
            <w:gridSpan w:val="2"/>
            <w:tcBorders>
              <w:top w:val="single" w:sz="6" w:space="0" w:color="000000"/>
            </w:tcBorders>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w:t>
            </w:r>
          </w:p>
        </w:tc>
        <w:tc>
          <w:tcPr>
            <w:tcW w:w="816" w:type="dxa"/>
            <w:tcBorders>
              <w:top w:val="single" w:sz="6" w:space="0" w:color="000000"/>
            </w:tcBorders>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1</w:t>
            </w:r>
          </w:p>
        </w:tc>
        <w:tc>
          <w:tcPr>
            <w:tcW w:w="1169" w:type="dxa"/>
            <w:gridSpan w:val="2"/>
            <w:tcBorders>
              <w:top w:val="single" w:sz="6" w:space="0" w:color="000000"/>
            </w:tcBorders>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20</w:t>
            </w:r>
          </w:p>
        </w:tc>
        <w:tc>
          <w:tcPr>
            <w:tcW w:w="816" w:type="dxa"/>
            <w:tcBorders>
              <w:top w:val="single" w:sz="6" w:space="0" w:color="000000"/>
            </w:tcBorders>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1.05</w:t>
            </w:r>
          </w:p>
        </w:tc>
        <w:tc>
          <w:tcPr>
            <w:tcW w:w="1877" w:type="dxa"/>
            <w:gridSpan w:val="2"/>
            <w:tcBorders>
              <w:top w:val="single" w:sz="6" w:space="0" w:color="000000"/>
            </w:tcBorders>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21</w:t>
            </w:r>
          </w:p>
        </w:tc>
      </w:tr>
      <w:tr w:rsidR="00DB4853" w:rsidRPr="008B3243" w:rsidTr="00DB4853">
        <w:tc>
          <w:tcPr>
            <w:cnfStyle w:val="001000000000" w:firstRow="0" w:lastRow="0" w:firstColumn="1" w:lastColumn="0" w:oddVBand="0" w:evenVBand="0" w:oddHBand="0" w:evenHBand="0" w:firstRowFirstColumn="0" w:firstRowLastColumn="0" w:lastRowFirstColumn="0" w:lastRowLastColumn="0"/>
            <w:tcW w:w="2376" w:type="dxa"/>
          </w:tcPr>
          <w:p w:rsidR="00140492" w:rsidRPr="008B3243" w:rsidRDefault="00140492" w:rsidP="00F05262">
            <w:pPr>
              <w:spacing w:line="276" w:lineRule="auto"/>
              <w:jc w:val="left"/>
            </w:pPr>
            <w:r w:rsidRPr="008B3243">
              <w:t>7 - Mix SO-jungle coffee</w:t>
            </w:r>
          </w:p>
        </w:tc>
        <w:tc>
          <w:tcPr>
            <w:tcW w:w="99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w:t>
            </w:r>
          </w:p>
        </w:tc>
        <w:tc>
          <w:tcPr>
            <w:tcW w:w="799" w:type="dxa"/>
            <w:gridSpan w:val="2"/>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w:t>
            </w:r>
          </w:p>
        </w:tc>
        <w:tc>
          <w:tcPr>
            <w:tcW w:w="81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0.83</w:t>
            </w:r>
          </w:p>
        </w:tc>
        <w:tc>
          <w:tcPr>
            <w:tcW w:w="1169" w:type="dxa"/>
            <w:gridSpan w:val="2"/>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17</w:t>
            </w:r>
          </w:p>
        </w:tc>
        <w:tc>
          <w:tcPr>
            <w:tcW w:w="81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0.83</w:t>
            </w:r>
          </w:p>
        </w:tc>
        <w:tc>
          <w:tcPr>
            <w:tcW w:w="1877" w:type="dxa"/>
            <w:gridSpan w:val="2"/>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17</w:t>
            </w:r>
          </w:p>
        </w:tc>
      </w:tr>
      <w:tr w:rsidR="00DB4853" w:rsidRPr="008B3243" w:rsidTr="00DB4853">
        <w:tc>
          <w:tcPr>
            <w:cnfStyle w:val="001000000000" w:firstRow="0" w:lastRow="0" w:firstColumn="1" w:lastColumn="0" w:oddVBand="0" w:evenVBand="0" w:oddHBand="0" w:evenHBand="0" w:firstRowFirstColumn="0" w:firstRowLastColumn="0" w:lastRowFirstColumn="0" w:lastRowLastColumn="0"/>
            <w:tcW w:w="2376" w:type="dxa"/>
          </w:tcPr>
          <w:p w:rsidR="00140492" w:rsidRPr="008B3243" w:rsidRDefault="00140492" w:rsidP="00F05262">
            <w:pPr>
              <w:spacing w:line="276" w:lineRule="auto"/>
              <w:jc w:val="left"/>
            </w:pPr>
            <w:r w:rsidRPr="008B3243">
              <w:t>1 - Cultivated paddy</w:t>
            </w:r>
          </w:p>
        </w:tc>
        <w:tc>
          <w:tcPr>
            <w:tcW w:w="99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1.59</w:t>
            </w:r>
          </w:p>
        </w:tc>
        <w:tc>
          <w:tcPr>
            <w:tcW w:w="799" w:type="dxa"/>
            <w:gridSpan w:val="2"/>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32</w:t>
            </w:r>
          </w:p>
        </w:tc>
        <w:tc>
          <w:tcPr>
            <w:tcW w:w="81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0.76</w:t>
            </w:r>
          </w:p>
        </w:tc>
        <w:tc>
          <w:tcPr>
            <w:tcW w:w="1169" w:type="dxa"/>
            <w:gridSpan w:val="2"/>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15</w:t>
            </w:r>
          </w:p>
        </w:tc>
        <w:tc>
          <w:tcPr>
            <w:tcW w:w="81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0.81</w:t>
            </w:r>
          </w:p>
        </w:tc>
        <w:tc>
          <w:tcPr>
            <w:tcW w:w="1877" w:type="dxa"/>
            <w:gridSpan w:val="2"/>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16</w:t>
            </w:r>
          </w:p>
        </w:tc>
      </w:tr>
      <w:tr w:rsidR="00DB4853" w:rsidRPr="008B3243" w:rsidTr="00DB4853">
        <w:tc>
          <w:tcPr>
            <w:cnfStyle w:val="001000000000" w:firstRow="0" w:lastRow="0" w:firstColumn="1" w:lastColumn="0" w:oddVBand="0" w:evenVBand="0" w:oddHBand="0" w:evenHBand="0" w:firstRowFirstColumn="0" w:firstRowLastColumn="0" w:lastRowFirstColumn="0" w:lastRowLastColumn="0"/>
            <w:tcW w:w="2376" w:type="dxa"/>
          </w:tcPr>
          <w:p w:rsidR="00140492" w:rsidRPr="008B3243" w:rsidRDefault="00140492" w:rsidP="00F05262">
            <w:pPr>
              <w:spacing w:line="276" w:lineRule="auto"/>
              <w:jc w:val="left"/>
            </w:pPr>
            <w:r w:rsidRPr="008B3243">
              <w:t>6 - Open jungle coffee</w:t>
            </w:r>
          </w:p>
        </w:tc>
        <w:tc>
          <w:tcPr>
            <w:tcW w:w="99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w:t>
            </w:r>
          </w:p>
        </w:tc>
        <w:tc>
          <w:tcPr>
            <w:tcW w:w="799" w:type="dxa"/>
            <w:gridSpan w:val="2"/>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w:t>
            </w:r>
          </w:p>
        </w:tc>
        <w:tc>
          <w:tcPr>
            <w:tcW w:w="81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0.71</w:t>
            </w:r>
          </w:p>
        </w:tc>
        <w:tc>
          <w:tcPr>
            <w:tcW w:w="1169" w:type="dxa"/>
            <w:gridSpan w:val="2"/>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14</w:t>
            </w:r>
          </w:p>
        </w:tc>
        <w:tc>
          <w:tcPr>
            <w:tcW w:w="81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0.71</w:t>
            </w:r>
          </w:p>
        </w:tc>
        <w:tc>
          <w:tcPr>
            <w:tcW w:w="1877" w:type="dxa"/>
            <w:gridSpan w:val="2"/>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14</w:t>
            </w:r>
          </w:p>
        </w:tc>
      </w:tr>
      <w:tr w:rsidR="00DB4853" w:rsidRPr="008B3243" w:rsidTr="00DB4853">
        <w:tc>
          <w:tcPr>
            <w:cnfStyle w:val="001000000000" w:firstRow="0" w:lastRow="0" w:firstColumn="1" w:lastColumn="0" w:oddVBand="0" w:evenVBand="0" w:oddHBand="0" w:evenHBand="0" w:firstRowFirstColumn="0" w:firstRowLastColumn="0" w:lastRowFirstColumn="0" w:lastRowLastColumn="0"/>
            <w:tcW w:w="2376" w:type="dxa"/>
          </w:tcPr>
          <w:p w:rsidR="00140492" w:rsidRPr="008B3243" w:rsidRDefault="00140492" w:rsidP="00F05262">
            <w:pPr>
              <w:spacing w:line="276" w:lineRule="auto"/>
              <w:jc w:val="left"/>
            </w:pPr>
            <w:r w:rsidRPr="008B3243">
              <w:t>2 - Fallow land</w:t>
            </w:r>
          </w:p>
        </w:tc>
        <w:tc>
          <w:tcPr>
            <w:tcW w:w="99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w:t>
            </w:r>
          </w:p>
        </w:tc>
        <w:tc>
          <w:tcPr>
            <w:tcW w:w="799" w:type="dxa"/>
            <w:gridSpan w:val="2"/>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w:t>
            </w:r>
          </w:p>
        </w:tc>
        <w:tc>
          <w:tcPr>
            <w:tcW w:w="81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0.58</w:t>
            </w:r>
          </w:p>
        </w:tc>
        <w:tc>
          <w:tcPr>
            <w:tcW w:w="1169" w:type="dxa"/>
            <w:gridSpan w:val="2"/>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12</w:t>
            </w:r>
          </w:p>
        </w:tc>
        <w:tc>
          <w:tcPr>
            <w:tcW w:w="81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0.6</w:t>
            </w:r>
          </w:p>
        </w:tc>
        <w:tc>
          <w:tcPr>
            <w:tcW w:w="1877" w:type="dxa"/>
            <w:gridSpan w:val="2"/>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12</w:t>
            </w:r>
          </w:p>
        </w:tc>
      </w:tr>
      <w:tr w:rsidR="00DB4853" w:rsidRPr="008B3243" w:rsidTr="00DB4853">
        <w:tc>
          <w:tcPr>
            <w:cnfStyle w:val="001000000000" w:firstRow="0" w:lastRow="0" w:firstColumn="1" w:lastColumn="0" w:oddVBand="0" w:evenVBand="0" w:oddHBand="0" w:evenHBand="0" w:firstRowFirstColumn="0" w:firstRowLastColumn="0" w:lastRowFirstColumn="0" w:lastRowLastColumn="0"/>
            <w:tcW w:w="2376" w:type="dxa"/>
          </w:tcPr>
          <w:p w:rsidR="00140492" w:rsidRPr="008B3243" w:rsidRDefault="00140492" w:rsidP="00F05262">
            <w:pPr>
              <w:spacing w:line="276" w:lineRule="auto"/>
              <w:jc w:val="left"/>
            </w:pPr>
            <w:r w:rsidRPr="008B3243">
              <w:t>4 - Private forest</w:t>
            </w:r>
          </w:p>
        </w:tc>
        <w:tc>
          <w:tcPr>
            <w:tcW w:w="99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3.38</w:t>
            </w:r>
          </w:p>
        </w:tc>
        <w:tc>
          <w:tcPr>
            <w:tcW w:w="799" w:type="dxa"/>
            <w:gridSpan w:val="2"/>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68</w:t>
            </w:r>
          </w:p>
        </w:tc>
        <w:tc>
          <w:tcPr>
            <w:tcW w:w="81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0.55</w:t>
            </w:r>
          </w:p>
        </w:tc>
        <w:tc>
          <w:tcPr>
            <w:tcW w:w="1169" w:type="dxa"/>
            <w:gridSpan w:val="2"/>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11</w:t>
            </w:r>
          </w:p>
        </w:tc>
        <w:tc>
          <w:tcPr>
            <w:tcW w:w="81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0.44</w:t>
            </w:r>
          </w:p>
        </w:tc>
        <w:tc>
          <w:tcPr>
            <w:tcW w:w="1877" w:type="dxa"/>
            <w:gridSpan w:val="2"/>
            <w:vAlign w:val="center"/>
          </w:tcPr>
          <w:p w:rsidR="00140492" w:rsidRPr="008B3243" w:rsidRDefault="00985937"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 xml:space="preserve">  </w:t>
            </w:r>
            <w:r w:rsidR="00140492" w:rsidRPr="008B3243">
              <w:t>9</w:t>
            </w:r>
          </w:p>
        </w:tc>
      </w:tr>
      <w:tr w:rsidR="00DB4853" w:rsidRPr="008B3243" w:rsidTr="00DB4853">
        <w:tc>
          <w:tcPr>
            <w:cnfStyle w:val="001000000000" w:firstRow="0" w:lastRow="0" w:firstColumn="1" w:lastColumn="0" w:oddVBand="0" w:evenVBand="0" w:oddHBand="0" w:evenHBand="0" w:firstRowFirstColumn="0" w:firstRowLastColumn="0" w:lastRowFirstColumn="0" w:lastRowLastColumn="0"/>
            <w:tcW w:w="2376" w:type="dxa"/>
          </w:tcPr>
          <w:p w:rsidR="00140492" w:rsidRPr="008B3243" w:rsidRDefault="00140492" w:rsidP="00F05262">
            <w:pPr>
              <w:spacing w:line="276" w:lineRule="auto"/>
              <w:jc w:val="left"/>
            </w:pPr>
            <w:r w:rsidRPr="008B3243">
              <w:t>8 - SO coffee</w:t>
            </w:r>
          </w:p>
        </w:tc>
        <w:tc>
          <w:tcPr>
            <w:tcW w:w="99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w:t>
            </w:r>
          </w:p>
        </w:tc>
        <w:tc>
          <w:tcPr>
            <w:tcW w:w="799" w:type="dxa"/>
            <w:gridSpan w:val="2"/>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w:t>
            </w:r>
          </w:p>
        </w:tc>
        <w:tc>
          <w:tcPr>
            <w:tcW w:w="81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0.29</w:t>
            </w:r>
          </w:p>
        </w:tc>
        <w:tc>
          <w:tcPr>
            <w:tcW w:w="1169" w:type="dxa"/>
            <w:gridSpan w:val="2"/>
            <w:vAlign w:val="center"/>
          </w:tcPr>
          <w:p w:rsidR="00140492" w:rsidRPr="008B3243" w:rsidRDefault="00985937"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 xml:space="preserve">  </w:t>
            </w:r>
            <w:r w:rsidR="00140492" w:rsidRPr="008B3243">
              <w:t>6</w:t>
            </w:r>
          </w:p>
        </w:tc>
        <w:tc>
          <w:tcPr>
            <w:tcW w:w="81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0.38</w:t>
            </w:r>
          </w:p>
        </w:tc>
        <w:tc>
          <w:tcPr>
            <w:tcW w:w="1877" w:type="dxa"/>
            <w:gridSpan w:val="2"/>
            <w:vAlign w:val="center"/>
          </w:tcPr>
          <w:p w:rsidR="00140492" w:rsidRPr="008B3243" w:rsidRDefault="00985937"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 xml:space="preserve">  </w:t>
            </w:r>
            <w:r w:rsidR="00140492" w:rsidRPr="008B3243">
              <w:t>8</w:t>
            </w:r>
          </w:p>
        </w:tc>
      </w:tr>
      <w:tr w:rsidR="00DB4853" w:rsidRPr="008B3243" w:rsidTr="00DB4853">
        <w:tc>
          <w:tcPr>
            <w:cnfStyle w:val="001000000000" w:firstRow="0" w:lastRow="0" w:firstColumn="1" w:lastColumn="0" w:oddVBand="0" w:evenVBand="0" w:oddHBand="0" w:evenHBand="0" w:firstRowFirstColumn="0" w:firstRowLastColumn="0" w:lastRowFirstColumn="0" w:lastRowLastColumn="0"/>
            <w:tcW w:w="2376" w:type="dxa"/>
          </w:tcPr>
          <w:p w:rsidR="00140492" w:rsidRPr="008B3243" w:rsidRDefault="00140492" w:rsidP="00F05262">
            <w:pPr>
              <w:spacing w:line="276" w:lineRule="auto"/>
              <w:jc w:val="left"/>
            </w:pPr>
            <w:r w:rsidRPr="008B3243">
              <w:t>3 - Converted Paddy</w:t>
            </w:r>
          </w:p>
        </w:tc>
        <w:tc>
          <w:tcPr>
            <w:tcW w:w="99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w:t>
            </w:r>
          </w:p>
        </w:tc>
        <w:tc>
          <w:tcPr>
            <w:tcW w:w="799" w:type="dxa"/>
            <w:gridSpan w:val="2"/>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w:t>
            </w:r>
          </w:p>
        </w:tc>
        <w:tc>
          <w:tcPr>
            <w:tcW w:w="81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0.25</w:t>
            </w:r>
          </w:p>
        </w:tc>
        <w:tc>
          <w:tcPr>
            <w:tcW w:w="1169" w:type="dxa"/>
            <w:gridSpan w:val="2"/>
            <w:vAlign w:val="center"/>
          </w:tcPr>
          <w:p w:rsidR="00140492" w:rsidRPr="008B3243" w:rsidRDefault="00985937"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 xml:space="preserve">  </w:t>
            </w:r>
            <w:r w:rsidR="00140492" w:rsidRPr="008B3243">
              <w:t>5</w:t>
            </w:r>
          </w:p>
        </w:tc>
        <w:tc>
          <w:tcPr>
            <w:tcW w:w="81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0.16</w:t>
            </w:r>
          </w:p>
        </w:tc>
        <w:tc>
          <w:tcPr>
            <w:tcW w:w="1877" w:type="dxa"/>
            <w:gridSpan w:val="2"/>
            <w:vAlign w:val="center"/>
          </w:tcPr>
          <w:p w:rsidR="00140492" w:rsidRPr="008B3243" w:rsidRDefault="00985937"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 xml:space="preserve">  </w:t>
            </w:r>
            <w:r w:rsidR="00140492" w:rsidRPr="008B3243">
              <w:t>3</w:t>
            </w:r>
          </w:p>
        </w:tc>
      </w:tr>
      <w:tr w:rsidR="00DB4853" w:rsidRPr="008B3243" w:rsidTr="00DB4853">
        <w:tc>
          <w:tcPr>
            <w:cnfStyle w:val="001000000000" w:firstRow="0" w:lastRow="0" w:firstColumn="1" w:lastColumn="0" w:oddVBand="0" w:evenVBand="0" w:oddHBand="0" w:evenHBand="0" w:firstRowFirstColumn="0" w:firstRowLastColumn="0" w:lastRowFirstColumn="0" w:lastRowLastColumn="0"/>
            <w:tcW w:w="2376" w:type="dxa"/>
          </w:tcPr>
          <w:p w:rsidR="00140492" w:rsidRPr="008B3243" w:rsidRDefault="00140492" w:rsidP="00F05262">
            <w:pPr>
              <w:spacing w:line="276" w:lineRule="auto"/>
              <w:jc w:val="left"/>
            </w:pPr>
            <w:r w:rsidRPr="008B3243">
              <w:t xml:space="preserve">9 – </w:t>
            </w:r>
            <w:proofErr w:type="spellStart"/>
            <w:r w:rsidRPr="008B3243">
              <w:t>Devarakadu</w:t>
            </w:r>
            <w:proofErr w:type="spellEnd"/>
          </w:p>
        </w:tc>
        <w:tc>
          <w:tcPr>
            <w:tcW w:w="99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0.03</w:t>
            </w:r>
          </w:p>
        </w:tc>
        <w:tc>
          <w:tcPr>
            <w:tcW w:w="799" w:type="dxa"/>
            <w:gridSpan w:val="2"/>
            <w:vAlign w:val="center"/>
          </w:tcPr>
          <w:p w:rsidR="00140492" w:rsidRPr="008B3243" w:rsidRDefault="00985937"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 xml:space="preserve">  </w:t>
            </w:r>
            <w:r w:rsidR="00140492" w:rsidRPr="008B3243">
              <w:t>1</w:t>
            </w:r>
          </w:p>
        </w:tc>
        <w:tc>
          <w:tcPr>
            <w:tcW w:w="81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0.03</w:t>
            </w:r>
          </w:p>
        </w:tc>
        <w:tc>
          <w:tcPr>
            <w:tcW w:w="1169" w:type="dxa"/>
            <w:gridSpan w:val="2"/>
            <w:vAlign w:val="center"/>
          </w:tcPr>
          <w:p w:rsidR="00140492" w:rsidRPr="008B3243" w:rsidRDefault="00985937"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 xml:space="preserve">  </w:t>
            </w:r>
            <w:r w:rsidR="00140492" w:rsidRPr="008B3243">
              <w:t>1</w:t>
            </w:r>
          </w:p>
        </w:tc>
        <w:tc>
          <w:tcPr>
            <w:tcW w:w="816" w:type="dxa"/>
            <w:vAlign w:val="center"/>
          </w:tcPr>
          <w:p w:rsidR="00140492" w:rsidRPr="008B3243" w:rsidRDefault="00140492"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0.03</w:t>
            </w:r>
          </w:p>
        </w:tc>
        <w:tc>
          <w:tcPr>
            <w:tcW w:w="1877" w:type="dxa"/>
            <w:gridSpan w:val="2"/>
            <w:vAlign w:val="center"/>
          </w:tcPr>
          <w:p w:rsidR="00140492" w:rsidRPr="008B3243" w:rsidRDefault="00985937" w:rsidP="00F05262">
            <w:pPr>
              <w:spacing w:line="276" w:lineRule="auto"/>
              <w:jc w:val="left"/>
              <w:cnfStyle w:val="000000000000" w:firstRow="0" w:lastRow="0" w:firstColumn="0" w:lastColumn="0" w:oddVBand="0" w:evenVBand="0" w:oddHBand="0" w:evenHBand="0" w:firstRowFirstColumn="0" w:firstRowLastColumn="0" w:lastRowFirstColumn="0" w:lastRowLastColumn="0"/>
            </w:pPr>
            <w:r w:rsidRPr="008B3243">
              <w:t xml:space="preserve">  </w:t>
            </w:r>
            <w:r w:rsidR="00140492" w:rsidRPr="008B3243">
              <w:t>1</w:t>
            </w:r>
          </w:p>
        </w:tc>
      </w:tr>
    </w:tbl>
    <w:p w:rsidR="00140492" w:rsidRPr="008B3243" w:rsidRDefault="00140492" w:rsidP="00140492">
      <w:pPr>
        <w:pStyle w:val="Table1"/>
        <w:numPr>
          <w:ilvl w:val="0"/>
          <w:numId w:val="0"/>
        </w:numPr>
        <w:spacing w:line="276" w:lineRule="auto"/>
        <w:ind w:left="833"/>
        <w:jc w:val="left"/>
        <w:rPr>
          <w:sz w:val="24"/>
          <w:szCs w:val="24"/>
        </w:rPr>
      </w:pPr>
    </w:p>
    <w:p w:rsidR="00140492" w:rsidRPr="008B3243" w:rsidRDefault="00140492" w:rsidP="00140492">
      <w:pPr>
        <w:pStyle w:val="Table1"/>
        <w:numPr>
          <w:ilvl w:val="0"/>
          <w:numId w:val="0"/>
        </w:numPr>
        <w:spacing w:line="276" w:lineRule="auto"/>
        <w:jc w:val="left"/>
        <w:rPr>
          <w:sz w:val="24"/>
          <w:szCs w:val="24"/>
        </w:rPr>
      </w:pPr>
      <w:r w:rsidRPr="008B3243">
        <w:rPr>
          <w:sz w:val="24"/>
          <w:szCs w:val="24"/>
          <w:u w:val="single"/>
        </w:rPr>
        <w:t xml:space="preserve">Table </w:t>
      </w:r>
      <w:r w:rsidR="00670ED3" w:rsidRPr="008B3243">
        <w:rPr>
          <w:sz w:val="24"/>
          <w:szCs w:val="24"/>
          <w:u w:val="single"/>
        </w:rPr>
        <w:t>S</w:t>
      </w:r>
      <w:r w:rsidRPr="008B3243">
        <w:rPr>
          <w:sz w:val="24"/>
          <w:szCs w:val="24"/>
          <w:u w:val="single"/>
        </w:rPr>
        <w:t>1.</w:t>
      </w:r>
      <w:r w:rsidRPr="008B3243">
        <w:rPr>
          <w:sz w:val="24"/>
          <w:szCs w:val="24"/>
        </w:rPr>
        <w:t xml:space="preserve"> Detailed land</w:t>
      </w:r>
      <w:r w:rsidR="00985937" w:rsidRPr="008B3243">
        <w:rPr>
          <w:sz w:val="24"/>
          <w:szCs w:val="24"/>
        </w:rPr>
        <w:t>-</w:t>
      </w:r>
      <w:r w:rsidRPr="008B3243">
        <w:rPr>
          <w:sz w:val="24"/>
          <w:szCs w:val="24"/>
        </w:rPr>
        <w:t xml:space="preserve">cover composition of Kottoli village at various dates. </w:t>
      </w:r>
    </w:p>
    <w:p w:rsidR="00140492" w:rsidRPr="008B3243" w:rsidRDefault="00140492" w:rsidP="00140492">
      <w:pPr>
        <w:pStyle w:val="Table1"/>
        <w:numPr>
          <w:ilvl w:val="0"/>
          <w:numId w:val="0"/>
        </w:numPr>
        <w:spacing w:line="276" w:lineRule="auto"/>
        <w:jc w:val="left"/>
        <w:rPr>
          <w:sz w:val="24"/>
          <w:szCs w:val="24"/>
        </w:rPr>
      </w:pPr>
    </w:p>
    <w:p w:rsidR="003E5765" w:rsidRPr="008B3243" w:rsidRDefault="003E5765" w:rsidP="003E5765">
      <w:pPr>
        <w:spacing w:line="276" w:lineRule="auto"/>
        <w:jc w:val="left"/>
      </w:pPr>
    </w:p>
    <w:p w:rsidR="003E5765" w:rsidRPr="008B3243" w:rsidRDefault="003E5765" w:rsidP="003E5765">
      <w:pPr>
        <w:spacing w:line="276" w:lineRule="auto"/>
        <w:jc w:val="left"/>
      </w:pPr>
      <w:r w:rsidRPr="008B3243">
        <w:t xml:space="preserve">Semi-structured interviews were used to examine the past and present management practices of the farmers in relation to their plantations and terraces, as well as their plans for the future </w:t>
      </w:r>
      <w:r w:rsidRPr="008B3243">
        <w:rPr>
          <w:rStyle w:val="StyleAqua"/>
          <w:color w:val="auto"/>
        </w:rPr>
        <w:t xml:space="preserve">(Olivier de </w:t>
      </w:r>
      <w:proofErr w:type="spellStart"/>
      <w:r w:rsidRPr="008B3243">
        <w:rPr>
          <w:rStyle w:val="StyleAqua"/>
          <w:color w:val="auto"/>
        </w:rPr>
        <w:t>Sardan</w:t>
      </w:r>
      <w:proofErr w:type="spellEnd"/>
      <w:r w:rsidRPr="008B3243">
        <w:rPr>
          <w:rStyle w:val="StyleAqua"/>
          <w:color w:val="auto"/>
        </w:rPr>
        <w:t xml:space="preserve">, 2003; </w:t>
      </w:r>
      <w:proofErr w:type="spellStart"/>
      <w:r w:rsidRPr="008B3243">
        <w:rPr>
          <w:rStyle w:val="StyleAqua"/>
          <w:color w:val="auto"/>
        </w:rPr>
        <w:t>Bierschenk</w:t>
      </w:r>
      <w:proofErr w:type="spellEnd"/>
      <w:r w:rsidRPr="008B3243">
        <w:rPr>
          <w:rStyle w:val="StyleAqua"/>
          <w:color w:val="auto"/>
        </w:rPr>
        <w:t xml:space="preserve"> and Olivier de </w:t>
      </w:r>
      <w:proofErr w:type="spellStart"/>
      <w:r w:rsidRPr="008B3243">
        <w:rPr>
          <w:rStyle w:val="StyleAqua"/>
          <w:color w:val="auto"/>
        </w:rPr>
        <w:t>Sardan</w:t>
      </w:r>
      <w:proofErr w:type="spellEnd"/>
      <w:r w:rsidRPr="008B3243">
        <w:rPr>
          <w:rStyle w:val="StyleAqua"/>
          <w:color w:val="auto"/>
        </w:rPr>
        <w:t>, 1997)</w:t>
      </w:r>
      <w:r w:rsidRPr="008B3243">
        <w:t>. We covered the village door-to-door in March and April 2012, and carried out in total 43 in-depth interviews in English or in Kannada (</w:t>
      </w:r>
      <w:r w:rsidR="00985937" w:rsidRPr="008B3243">
        <w:t xml:space="preserve">the </w:t>
      </w:r>
      <w:r w:rsidRPr="008B3243">
        <w:t xml:space="preserve">local language). </w:t>
      </w:r>
      <w:r w:rsidR="003B64D9" w:rsidRPr="008B3243">
        <w:t xml:space="preserve">We asked 5 general questions and 2 questions about </w:t>
      </w:r>
      <w:r w:rsidR="00506E7B" w:rsidRPr="008B3243">
        <w:t xml:space="preserve">problems </w:t>
      </w:r>
      <w:r w:rsidR="003B64D9" w:rsidRPr="008B3243">
        <w:t>encountered in the farm, 16 questions about coffee plantations, 7 questions about paddy fields, 2 questions about the past</w:t>
      </w:r>
      <w:r w:rsidR="00506E7B" w:rsidRPr="008B3243">
        <w:t>,</w:t>
      </w:r>
      <w:r w:rsidR="003B64D9" w:rsidRPr="008B3243">
        <w:t xml:space="preserve"> and 5 about perspectives. </w:t>
      </w:r>
      <w:r w:rsidRPr="008B3243">
        <w:t xml:space="preserve">In addition, targeted questions on specific topics such as the conversion of terraces were put to the remaining </w:t>
      </w:r>
      <w:r w:rsidR="00506E7B" w:rsidRPr="008B3243">
        <w:t xml:space="preserve">83 </w:t>
      </w:r>
      <w:r w:rsidRPr="008B3243">
        <w:t xml:space="preserve">farmers of the village in subsequent field campaigns. These targeted questionnaires aimed at defining the driving rules of the landscape modelling. Based on these surveys, we created a typology of the farmers through Principal Component Analysis (PCA) </w:t>
      </w:r>
      <w:r w:rsidRPr="008B3243">
        <w:rPr>
          <w:rStyle w:val="StyleAqua"/>
          <w:color w:val="auto"/>
        </w:rPr>
        <w:t>(</w:t>
      </w:r>
      <w:proofErr w:type="spellStart"/>
      <w:r w:rsidRPr="008B3243">
        <w:rPr>
          <w:rStyle w:val="StyleAqua"/>
          <w:color w:val="auto"/>
        </w:rPr>
        <w:t>Bidogeza</w:t>
      </w:r>
      <w:proofErr w:type="spellEnd"/>
      <w:r w:rsidRPr="008B3243">
        <w:rPr>
          <w:rStyle w:val="StyleAqua"/>
          <w:color w:val="auto"/>
        </w:rPr>
        <w:t xml:space="preserve"> et al., 2009; </w:t>
      </w:r>
      <w:proofErr w:type="spellStart"/>
      <w:r w:rsidRPr="008B3243">
        <w:rPr>
          <w:rStyle w:val="StyleAqua"/>
          <w:color w:val="auto"/>
        </w:rPr>
        <w:t>Tittonell</w:t>
      </w:r>
      <w:proofErr w:type="spellEnd"/>
      <w:r w:rsidRPr="008B3243">
        <w:rPr>
          <w:rStyle w:val="StyleAqua"/>
          <w:color w:val="auto"/>
        </w:rPr>
        <w:t xml:space="preserve"> et al., 2010),  </w:t>
      </w:r>
      <w:r w:rsidRPr="008B3243">
        <w:t>first on the 43 in-depth interviews to reduce the number of significant variables, and then on the complete set of 126 interviews to feed the DYPAL model. The variables used in the PCA were chosen for their contribution to the overall variance, their relevance in the landscape modelling</w:t>
      </w:r>
      <w:r w:rsidR="00985937" w:rsidRPr="008B3243">
        <w:t>,</w:t>
      </w:r>
      <w:r w:rsidRPr="008B3243">
        <w:t xml:space="preserve"> and their frequency of appearance (Table </w:t>
      </w:r>
      <w:r w:rsidR="00670ED3" w:rsidRPr="008B3243">
        <w:t>S</w:t>
      </w:r>
      <w:r w:rsidRPr="008B3243">
        <w:t xml:space="preserve">2). The age of the silver oak trees was the only variable providing temporal information. Proportions rather than absolute values for the area of converted and fallow terraces were used in the PCA, as farmers had an easier time relating to this as part of a strategy. Finally, a hierarchical ascendant classification (HAC) was realized to identify the dominant farm groups. </w:t>
      </w:r>
    </w:p>
    <w:p w:rsidR="003E5765" w:rsidRPr="008B3243" w:rsidRDefault="003E5765" w:rsidP="003E5765">
      <w:pPr>
        <w:spacing w:line="276" w:lineRule="auto"/>
        <w:jc w:val="left"/>
      </w:pPr>
    </w:p>
    <w:p w:rsidR="003E5765" w:rsidRPr="008B3243" w:rsidRDefault="003E5765" w:rsidP="003E5765">
      <w:pPr>
        <w:spacing w:line="276" w:lineRule="auto"/>
        <w:jc w:val="left"/>
      </w:pPr>
      <w:r w:rsidRPr="008B3243">
        <w:t xml:space="preserve">A first PCA based on the 43 detailed farmer interviews, and explaining 74.2% of the variance with three principal components (PCs), enabled a selection of the six most relevant variables (out of 16 available in total) for the farm typology: (1) area under coffee cultivation </w:t>
      </w:r>
      <w:r w:rsidR="005E2B57" w:rsidRPr="008B3243">
        <w:t>(</w:t>
      </w:r>
      <w:proofErr w:type="spellStart"/>
      <w:r w:rsidR="00857E4C" w:rsidRPr="008B3243">
        <w:rPr>
          <w:i/>
        </w:rPr>
        <w:t>coff</w:t>
      </w:r>
      <w:proofErr w:type="spellEnd"/>
      <w:r w:rsidR="005E2B57" w:rsidRPr="008B3243">
        <w:t>)</w:t>
      </w:r>
      <w:r w:rsidRPr="008B3243">
        <w:t xml:space="preserve">, (2) area under rice cultivation </w:t>
      </w:r>
      <w:r w:rsidR="005E2B57" w:rsidRPr="008B3243">
        <w:t>(</w:t>
      </w:r>
      <w:proofErr w:type="spellStart"/>
      <w:r w:rsidR="00857E4C" w:rsidRPr="008B3243">
        <w:rPr>
          <w:i/>
        </w:rPr>
        <w:t>padd</w:t>
      </w:r>
      <w:proofErr w:type="spellEnd"/>
      <w:r w:rsidR="005E2B57" w:rsidRPr="008B3243">
        <w:t>)</w:t>
      </w:r>
      <w:r w:rsidRPr="008B3243">
        <w:t xml:space="preserve">, (3) area of converted rice fields </w:t>
      </w:r>
      <w:r w:rsidR="005E2B57" w:rsidRPr="008B3243">
        <w:t>(</w:t>
      </w:r>
      <w:proofErr w:type="spellStart"/>
      <w:r w:rsidR="00857E4C" w:rsidRPr="008B3243">
        <w:rPr>
          <w:i/>
        </w:rPr>
        <w:t>conv_prop</w:t>
      </w:r>
      <w:proofErr w:type="spellEnd"/>
      <w:r w:rsidR="005E2B57" w:rsidRPr="008B3243">
        <w:t>)</w:t>
      </w:r>
      <w:r w:rsidRPr="008B3243">
        <w:t xml:space="preserve">, (4) area of rice fields left fallow </w:t>
      </w:r>
      <w:r w:rsidR="005E2B57" w:rsidRPr="008B3243">
        <w:t>(</w:t>
      </w:r>
      <w:proofErr w:type="spellStart"/>
      <w:r w:rsidR="00857E4C" w:rsidRPr="008B3243">
        <w:rPr>
          <w:i/>
        </w:rPr>
        <w:t>fall_prop</w:t>
      </w:r>
      <w:proofErr w:type="spellEnd"/>
      <w:r w:rsidR="005E2B57" w:rsidRPr="008B3243">
        <w:t>)</w:t>
      </w:r>
      <w:r w:rsidRPr="008B3243">
        <w:t xml:space="preserve">, (5) ages of the silver oak trees in the coffee estate </w:t>
      </w:r>
      <w:r w:rsidR="005E2B57" w:rsidRPr="008B3243">
        <w:t>(</w:t>
      </w:r>
      <w:proofErr w:type="spellStart"/>
      <w:r w:rsidR="00857E4C" w:rsidRPr="008B3243">
        <w:rPr>
          <w:i/>
        </w:rPr>
        <w:t>age_so</w:t>
      </w:r>
      <w:proofErr w:type="spellEnd"/>
      <w:r w:rsidR="005E2B57" w:rsidRPr="008B3243">
        <w:t>)</w:t>
      </w:r>
      <w:r w:rsidRPr="008B3243">
        <w:t xml:space="preserve">, </w:t>
      </w:r>
      <w:r w:rsidRPr="008B3243">
        <w:lastRenderedPageBreak/>
        <w:t xml:space="preserve">and (6) total number of permanent workers </w:t>
      </w:r>
      <w:r w:rsidR="005E2B57" w:rsidRPr="008B3243">
        <w:t>(</w:t>
      </w:r>
      <w:r w:rsidR="00857E4C" w:rsidRPr="008B3243">
        <w:rPr>
          <w:i/>
        </w:rPr>
        <w:t>perm</w:t>
      </w:r>
      <w:r w:rsidR="005E2B57" w:rsidRPr="008B3243">
        <w:t>)</w:t>
      </w:r>
      <w:r w:rsidRPr="008B3243">
        <w:t>. A second PCA based on the 126 farmers explained 82.1% of the variance with three PCs. The first PC (49.8%) reflected the capital of the farm, combining the area under cultivation (</w:t>
      </w:r>
      <w:proofErr w:type="spellStart"/>
      <w:r w:rsidRPr="008B3243">
        <w:rPr>
          <w:i/>
        </w:rPr>
        <w:t>coff</w:t>
      </w:r>
      <w:proofErr w:type="spellEnd"/>
      <w:r w:rsidRPr="008B3243">
        <w:t xml:space="preserve"> and </w:t>
      </w:r>
      <w:proofErr w:type="spellStart"/>
      <w:r w:rsidRPr="008B3243">
        <w:rPr>
          <w:i/>
        </w:rPr>
        <w:t>padd</w:t>
      </w:r>
      <w:proofErr w:type="spellEnd"/>
      <w:r w:rsidRPr="008B3243">
        <w:t>) with the number of permanent workers (</w:t>
      </w:r>
      <w:r w:rsidRPr="008B3243">
        <w:rPr>
          <w:i/>
        </w:rPr>
        <w:t>perm</w:t>
      </w:r>
      <w:r w:rsidRPr="008B3243">
        <w:t xml:space="preserve">). The second PC (18.7%) highlighted the effort invested in phasing out rice cultivation, as it was positively correlated to the area of converted rice fields and negatively correlated to the area left fallow. The third PC (13.6%) corresponded to the ages of the silver oak plantations. </w:t>
      </w:r>
    </w:p>
    <w:p w:rsidR="003E5765" w:rsidRPr="008B3243" w:rsidRDefault="003E5765" w:rsidP="003E5765">
      <w:pPr>
        <w:spacing w:line="276" w:lineRule="auto"/>
        <w:jc w:val="left"/>
      </w:pPr>
    </w:p>
    <w:p w:rsidR="003E5765" w:rsidRPr="008B3243" w:rsidRDefault="003E5765" w:rsidP="003E5765">
      <w:pPr>
        <w:spacing w:line="276" w:lineRule="auto"/>
        <w:jc w:val="left"/>
      </w:pPr>
      <w:r w:rsidRPr="008B3243">
        <w:t>The HAC classification distinguished four farm groups: G1) “Large coffee producers” (</w:t>
      </w:r>
      <w:r w:rsidR="00506E7B" w:rsidRPr="008B3243">
        <w:t>5</w:t>
      </w:r>
      <w:r w:rsidRPr="008B3243">
        <w:t>): farmers owning extensive estates in Kottoli, from 6 to 16 ha of coffee plantations</w:t>
      </w:r>
      <w:r w:rsidR="00506E7B" w:rsidRPr="008B3243">
        <w:t>,</w:t>
      </w:r>
      <w:r w:rsidRPr="008B3243">
        <w:t xml:space="preserve"> and 2 to 8 ha of rice fields. These owners managed their estates essentially through their permanent workers, concentrated mainly on coffee production,</w:t>
      </w:r>
      <w:r w:rsidRPr="008B3243" w:rsidDel="009005DE">
        <w:t xml:space="preserve"> </w:t>
      </w:r>
      <w:r w:rsidRPr="008B3243">
        <w:t xml:space="preserve">invested in planting silver oak, and either converted their rice fields or left them fallow. G2) “Focused coffee producers” (12):  farmers who owned relatively small rice and coffee estates (around </w:t>
      </w:r>
      <w:r w:rsidR="00DB4853" w:rsidRPr="008B3243">
        <w:t>two ha</w:t>
      </w:r>
      <w:r w:rsidRPr="008B3243">
        <w:t xml:space="preserve">), and left their rice fields fallow. They </w:t>
      </w:r>
      <w:r w:rsidR="005E2B57" w:rsidRPr="008B3243">
        <w:t>had had</w:t>
      </w:r>
      <w:r w:rsidRPr="008B3243">
        <w:t xml:space="preserve"> silver oak for more than 30 years. G3) “Marginal coffee producers” (18): farmers owning 0.1 to 2 ha of coffee and up to 4 ha of rice. Almost all their rice fields had been converted into coffee, areca, or banana. These farmers in general had started planting silver oak less than 10 years ago. G4) “Subsistence farmers” (91): the most numerous and the poorest group in the sample. They had small holdings (1 ha of coffee and 0.4 ha of rice on average). Almost all their rice fields were under cultivation</w:t>
      </w:r>
      <w:r w:rsidR="00B838CD" w:rsidRPr="008B3243">
        <w:t>,</w:t>
      </w:r>
      <w:r w:rsidRPr="008B3243">
        <w:t xml:space="preserve"> and they had started only recently to plant silver oak. They had no permanent workers, and the only human capital available on </w:t>
      </w:r>
      <w:r w:rsidR="00B838CD" w:rsidRPr="008B3243">
        <w:t>their</w:t>
      </w:r>
      <w:r w:rsidRPr="008B3243">
        <w:t xml:space="preserve"> farms was the family. </w:t>
      </w:r>
    </w:p>
    <w:p w:rsidR="003E5765" w:rsidRPr="008B3243" w:rsidRDefault="003E5765" w:rsidP="003E5765">
      <w:pPr>
        <w:spacing w:line="276" w:lineRule="auto"/>
        <w:jc w:val="left"/>
      </w:pPr>
    </w:p>
    <w:p w:rsidR="003E5765" w:rsidRPr="008B3243" w:rsidRDefault="003E5765" w:rsidP="003E5765">
      <w:pPr>
        <w:spacing w:line="276" w:lineRule="auto"/>
        <w:jc w:val="left"/>
      </w:pPr>
      <w:r w:rsidRPr="008B3243">
        <w:t xml:space="preserve">The typology tuned to four homogeneous farmer groups was seen to be an efficient trade-off between an over-simplified simulation and a higher number of groups, leading to a difficult characterization of the driving rules for each group. We neglected social mobility and the possible changes of farm types over 60 years, although DYPAL would have been able to handle those aspects if the information had been available. Integrating demographic changes that alter the groups and their respective </w:t>
      </w:r>
      <w:r w:rsidR="00BB6AF5" w:rsidRPr="008B3243">
        <w:t>weights</w:t>
      </w:r>
      <w:r w:rsidRPr="008B3243">
        <w:t xml:space="preserve"> in the population opens </w:t>
      </w:r>
      <w:r w:rsidR="00BB6AF5" w:rsidRPr="008B3243">
        <w:t xml:space="preserve">up </w:t>
      </w:r>
      <w:r w:rsidRPr="008B3243">
        <w:t xml:space="preserve">avenues for future research. Off-farm income and remittances also appeared as important </w:t>
      </w:r>
      <w:r w:rsidR="00BB6AF5" w:rsidRPr="008B3243">
        <w:t xml:space="preserve">additional </w:t>
      </w:r>
      <w:r w:rsidRPr="008B3243">
        <w:t xml:space="preserve">variables that we had not been able to capture and integrate in the model. Our farmer typology map (Fig. </w:t>
      </w:r>
      <w:r w:rsidR="004B4375">
        <w:t>S</w:t>
      </w:r>
      <w:r w:rsidR="00BD5B5E">
        <w:t>2</w:t>
      </w:r>
      <w:r w:rsidRPr="008B3243">
        <w:t xml:space="preserve">d) did not feature the exact locations of </w:t>
      </w:r>
      <w:r w:rsidR="00BB6AF5" w:rsidRPr="008B3243">
        <w:t xml:space="preserve">the </w:t>
      </w:r>
      <w:r w:rsidRPr="008B3243">
        <w:t xml:space="preserve">farms and fields attached to each individual farmer, as these were often unknown. The map was used instead to highlight the spatial distribution of the farmer groups. </w:t>
      </w:r>
      <w:r w:rsidR="00BB6AF5" w:rsidRPr="008B3243">
        <w:t>"</w:t>
      </w:r>
      <w:r w:rsidRPr="008B3243">
        <w:t>Large coffee producers</w:t>
      </w:r>
      <w:r w:rsidR="00BB6AF5" w:rsidRPr="008B3243">
        <w:t>"</w:t>
      </w:r>
      <w:r w:rsidRPr="008B3243">
        <w:t xml:space="preserve"> (G1) and </w:t>
      </w:r>
      <w:r w:rsidR="00BB6AF5" w:rsidRPr="008B3243">
        <w:t>"</w:t>
      </w:r>
      <w:r w:rsidRPr="008B3243">
        <w:t>Focused coffee producers</w:t>
      </w:r>
      <w:r w:rsidR="00BB6AF5" w:rsidRPr="008B3243">
        <w:t>"</w:t>
      </w:r>
      <w:r w:rsidRPr="008B3243">
        <w:t xml:space="preserve"> (G2) mostly belonged to the </w:t>
      </w:r>
      <w:r w:rsidR="008270E8" w:rsidRPr="008B3243">
        <w:t>rich northern</w:t>
      </w:r>
      <w:r w:rsidRPr="008B3243">
        <w:t xml:space="preserve"> part of Kottoli, where the best soil was to be found. </w:t>
      </w:r>
      <w:r w:rsidR="008270E8" w:rsidRPr="008B3243">
        <w:t>"</w:t>
      </w:r>
      <w:r w:rsidRPr="008B3243">
        <w:t>Marginal coffee producers</w:t>
      </w:r>
      <w:r w:rsidR="008270E8" w:rsidRPr="008B3243">
        <w:t>"</w:t>
      </w:r>
      <w:r w:rsidRPr="008B3243">
        <w:t xml:space="preserve"> (G3) and </w:t>
      </w:r>
      <w:r w:rsidR="008270E8" w:rsidRPr="008B3243">
        <w:t>"</w:t>
      </w:r>
      <w:r w:rsidRPr="008B3243">
        <w:t>Subsistence farmers</w:t>
      </w:r>
      <w:r w:rsidR="008270E8" w:rsidRPr="008B3243">
        <w:t>"</w:t>
      </w:r>
      <w:r w:rsidRPr="008B3243">
        <w:t xml:space="preserve"> (G4), representing 72% of the farmers interviewed, were spread across the landscape.</w:t>
      </w:r>
    </w:p>
    <w:p w:rsidR="008B3243" w:rsidRPr="008B3243" w:rsidRDefault="008B3243" w:rsidP="00942B4C">
      <w:pPr>
        <w:pStyle w:val="Table1"/>
        <w:numPr>
          <w:ilvl w:val="0"/>
          <w:numId w:val="0"/>
        </w:numPr>
        <w:spacing w:line="276" w:lineRule="auto"/>
        <w:jc w:val="left"/>
        <w:rPr>
          <w:sz w:val="24"/>
          <w:szCs w:val="24"/>
        </w:rPr>
      </w:pPr>
    </w:p>
    <w:p w:rsidR="00A02CB8" w:rsidRDefault="00A02CB8">
      <w:pPr>
        <w:spacing w:line="240" w:lineRule="auto"/>
        <w:jc w:val="left"/>
        <w:rPr>
          <w:noProof/>
        </w:rPr>
      </w:pPr>
      <w:r>
        <w:br w:type="page"/>
      </w:r>
    </w:p>
    <w:p w:rsidR="00C75281" w:rsidRDefault="00BA46A9">
      <w:pPr>
        <w:spacing w:line="240" w:lineRule="auto"/>
        <w:jc w:val="left"/>
      </w:pPr>
      <w:r>
        <w:rPr>
          <w:noProof/>
          <w:lang w:val="fr-FR" w:eastAsia="fr-FR"/>
        </w:rPr>
        <w:lastRenderedPageBreak/>
        <w:drawing>
          <wp:inline distT="0" distB="0" distL="0" distR="0">
            <wp:extent cx="5499934" cy="7781925"/>
            <wp:effectExtent l="19050" t="0" r="5516" b="0"/>
            <wp:docPr id="6" name="Image 5" descr="DiapositiveS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eS2.TIF"/>
                    <pic:cNvPicPr/>
                  </pic:nvPicPr>
                  <pic:blipFill>
                    <a:blip r:embed="rId10"/>
                    <a:stretch>
                      <a:fillRect/>
                    </a:stretch>
                  </pic:blipFill>
                  <pic:spPr>
                    <a:xfrm>
                      <a:off x="0" y="0"/>
                      <a:ext cx="5502519" cy="7785583"/>
                    </a:xfrm>
                    <a:prstGeom prst="rect">
                      <a:avLst/>
                    </a:prstGeom>
                  </pic:spPr>
                </pic:pic>
              </a:graphicData>
            </a:graphic>
          </wp:inline>
        </w:drawing>
      </w:r>
    </w:p>
    <w:p w:rsidR="00A02CB8" w:rsidRDefault="00C75281">
      <w:pPr>
        <w:spacing w:line="240" w:lineRule="auto"/>
        <w:jc w:val="left"/>
        <w:rPr>
          <w:noProof/>
        </w:rPr>
      </w:pPr>
      <w:r w:rsidRPr="005015DE">
        <w:rPr>
          <w:u w:val="single"/>
        </w:rPr>
        <w:t xml:space="preserve">Figure </w:t>
      </w:r>
      <w:r>
        <w:rPr>
          <w:u w:val="single"/>
        </w:rPr>
        <w:t>S2</w:t>
      </w:r>
      <w:r w:rsidRPr="005015DE">
        <w:rPr>
          <w:u w:val="single"/>
        </w:rPr>
        <w:t>.</w:t>
      </w:r>
      <w:r w:rsidRPr="005015DE">
        <w:t xml:space="preserve"> Automata according to the farm groups (abscissae) and the events (ordinates) with the following land-cover codes: cultivated paddy </w:t>
      </w:r>
      <w:r w:rsidRPr="005015DE">
        <w:rPr>
          <w:b/>
        </w:rPr>
        <w:t>P</w:t>
      </w:r>
      <w:r w:rsidRPr="005015DE">
        <w:t xml:space="preserve">, fallow paddy </w:t>
      </w:r>
      <w:r w:rsidRPr="005015DE">
        <w:rPr>
          <w:b/>
        </w:rPr>
        <w:t>F</w:t>
      </w:r>
      <w:r w:rsidRPr="005015DE">
        <w:t xml:space="preserve">, converted paddy </w:t>
      </w:r>
      <w:r w:rsidRPr="005015DE">
        <w:rPr>
          <w:b/>
        </w:rPr>
        <w:t>C</w:t>
      </w:r>
      <w:r w:rsidRPr="005015DE">
        <w:t xml:space="preserve">, forest </w:t>
      </w:r>
      <w:r w:rsidRPr="005015DE">
        <w:rPr>
          <w:b/>
        </w:rPr>
        <w:t>F</w:t>
      </w:r>
      <w:r w:rsidRPr="005015DE">
        <w:t xml:space="preserve">, agroforest of jungle trees </w:t>
      </w:r>
      <w:r w:rsidRPr="005015DE">
        <w:rPr>
          <w:b/>
        </w:rPr>
        <w:t>J</w:t>
      </w:r>
      <w:r w:rsidRPr="005015DE">
        <w:t xml:space="preserve">, open jungle </w:t>
      </w:r>
      <w:r w:rsidRPr="005015DE">
        <w:rPr>
          <w:b/>
        </w:rPr>
        <w:t>OJ</w:t>
      </w:r>
      <w:r w:rsidRPr="005015DE">
        <w:t xml:space="preserve">, mixed </w:t>
      </w:r>
      <w:r w:rsidRPr="005015DE">
        <w:rPr>
          <w:b/>
        </w:rPr>
        <w:t>Mix,</w:t>
      </w:r>
      <w:r w:rsidRPr="005015DE">
        <w:t xml:space="preserve"> and pure silver oak plantations </w:t>
      </w:r>
      <w:r w:rsidRPr="005015DE">
        <w:rPr>
          <w:b/>
        </w:rPr>
        <w:t>SO</w:t>
      </w:r>
      <w:r w:rsidRPr="005015DE">
        <w:t xml:space="preserve">. Grey arrows mean that the set of rules possibly apply to other farm types and over the whole time frame of the simulation. </w:t>
      </w:r>
      <w:r w:rsidR="00A02CB8">
        <w:br w:type="page"/>
      </w:r>
    </w:p>
    <w:p w:rsidR="00C9358D" w:rsidRPr="008B3243" w:rsidRDefault="00C9358D" w:rsidP="00942B4C">
      <w:pPr>
        <w:pStyle w:val="Table1"/>
        <w:numPr>
          <w:ilvl w:val="0"/>
          <w:numId w:val="0"/>
        </w:numPr>
        <w:spacing w:line="276" w:lineRule="auto"/>
        <w:jc w:val="left"/>
        <w:rPr>
          <w:sz w:val="24"/>
          <w:szCs w:val="24"/>
        </w:rPr>
      </w:pPr>
    </w:p>
    <w:tbl>
      <w:tblPr>
        <w:tblStyle w:val="Tableauclassique1"/>
        <w:tblW w:w="8755" w:type="dxa"/>
        <w:tblLook w:val="04A0" w:firstRow="1" w:lastRow="0" w:firstColumn="1" w:lastColumn="0" w:noHBand="0" w:noVBand="1"/>
      </w:tblPr>
      <w:tblGrid>
        <w:gridCol w:w="336"/>
        <w:gridCol w:w="2944"/>
        <w:gridCol w:w="776"/>
        <w:gridCol w:w="1872"/>
        <w:gridCol w:w="2827"/>
      </w:tblGrid>
      <w:tr w:rsidR="00942B4C" w:rsidRPr="008B3243" w:rsidTr="00F0526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 w:type="dxa"/>
            <w:noWrap/>
            <w:hideMark/>
          </w:tcPr>
          <w:p w:rsidR="00942B4C" w:rsidRPr="008B3243" w:rsidRDefault="00942B4C" w:rsidP="00F05262">
            <w:pPr>
              <w:spacing w:line="276" w:lineRule="auto"/>
              <w:jc w:val="left"/>
              <w:rPr>
                <w:lang w:val="en-US" w:eastAsia="fr-FR"/>
              </w:rPr>
            </w:pPr>
          </w:p>
        </w:tc>
        <w:tc>
          <w:tcPr>
            <w:tcW w:w="2944" w:type="dxa"/>
            <w:noWrap/>
            <w:hideMark/>
          </w:tcPr>
          <w:p w:rsidR="00942B4C" w:rsidRPr="008B3243" w:rsidRDefault="00942B4C" w:rsidP="00F05262">
            <w:pPr>
              <w:spacing w:line="276" w:lineRule="auto"/>
              <w:jc w:val="left"/>
              <w:cnfStyle w:val="100000000000" w:firstRow="1" w:lastRow="0" w:firstColumn="0" w:lastColumn="0" w:oddVBand="0" w:evenVBand="0" w:oddHBand="0" w:evenHBand="0" w:firstRowFirstColumn="0" w:firstRowLastColumn="0" w:lastRowFirstColumn="0" w:lastRowLastColumn="0"/>
              <w:rPr>
                <w:b/>
                <w:bCs/>
                <w:lang w:val="fr-FR" w:eastAsia="fr-FR"/>
              </w:rPr>
            </w:pPr>
            <w:r w:rsidRPr="008B3243">
              <w:rPr>
                <w:b/>
                <w:bCs/>
                <w:lang w:val="fr-FR" w:eastAsia="fr-FR"/>
              </w:rPr>
              <w:t>Variables</w:t>
            </w:r>
          </w:p>
        </w:tc>
        <w:tc>
          <w:tcPr>
            <w:tcW w:w="2648" w:type="dxa"/>
            <w:gridSpan w:val="2"/>
            <w:noWrap/>
            <w:hideMark/>
          </w:tcPr>
          <w:p w:rsidR="00942B4C" w:rsidRPr="008B3243" w:rsidRDefault="00D051AF" w:rsidP="00D051AF">
            <w:pPr>
              <w:spacing w:line="276" w:lineRule="auto"/>
              <w:jc w:val="left"/>
              <w:cnfStyle w:val="100000000000" w:firstRow="1" w:lastRow="0" w:firstColumn="0" w:lastColumn="0" w:oddVBand="0" w:evenVBand="0" w:oddHBand="0" w:evenHBand="0" w:firstRowFirstColumn="0" w:firstRowLastColumn="0" w:lastRowFirstColumn="0" w:lastRowLastColumn="0"/>
              <w:rPr>
                <w:b/>
                <w:bCs/>
                <w:i w:val="0"/>
                <w:iCs w:val="0"/>
                <w:lang w:val="fr-FR" w:eastAsia="fr-FR"/>
              </w:rPr>
            </w:pPr>
            <w:r w:rsidRPr="008B3243">
              <w:rPr>
                <w:b/>
                <w:bCs/>
                <w:lang w:val="fr-FR" w:eastAsia="fr-FR"/>
              </w:rPr>
              <w:t xml:space="preserve">          Nature of data</w:t>
            </w:r>
            <w:r w:rsidR="00942B4C" w:rsidRPr="008B3243">
              <w:rPr>
                <w:b/>
                <w:bCs/>
                <w:lang w:val="fr-FR" w:eastAsia="fr-FR"/>
              </w:rPr>
              <w:t xml:space="preserve"> </w:t>
            </w:r>
          </w:p>
        </w:tc>
        <w:tc>
          <w:tcPr>
            <w:tcW w:w="2827" w:type="dxa"/>
            <w:noWrap/>
            <w:hideMark/>
          </w:tcPr>
          <w:p w:rsidR="00942B4C" w:rsidRPr="008B3243" w:rsidRDefault="00942B4C" w:rsidP="00F05262">
            <w:pPr>
              <w:spacing w:line="276" w:lineRule="auto"/>
              <w:jc w:val="left"/>
              <w:cnfStyle w:val="100000000000" w:firstRow="1" w:lastRow="0" w:firstColumn="0" w:lastColumn="0" w:oddVBand="0" w:evenVBand="0" w:oddHBand="0" w:evenHBand="0" w:firstRowFirstColumn="0" w:firstRowLastColumn="0" w:lastRowFirstColumn="0" w:lastRowLastColumn="0"/>
              <w:rPr>
                <w:b/>
                <w:bCs/>
                <w:i w:val="0"/>
                <w:iCs w:val="0"/>
                <w:lang w:val="fr-FR" w:eastAsia="fr-FR"/>
              </w:rPr>
            </w:pPr>
            <w:r w:rsidRPr="008B3243">
              <w:rPr>
                <w:b/>
                <w:bCs/>
                <w:lang w:val="fr-FR" w:eastAsia="fr-FR"/>
              </w:rPr>
              <w:t>Data information</w:t>
            </w:r>
          </w:p>
        </w:tc>
      </w:tr>
      <w:tr w:rsidR="00942B4C" w:rsidRPr="008B3243" w:rsidTr="00F05262">
        <w:trPr>
          <w:trHeight w:val="300"/>
        </w:trPr>
        <w:tc>
          <w:tcPr>
            <w:cnfStyle w:val="001000000000" w:firstRow="0" w:lastRow="0" w:firstColumn="1" w:lastColumn="0" w:oddVBand="0" w:evenVBand="0" w:oddHBand="0" w:evenHBand="0" w:firstRowFirstColumn="0" w:firstRowLastColumn="0" w:lastRowFirstColumn="0" w:lastRowLastColumn="0"/>
            <w:tcW w:w="336" w:type="dxa"/>
            <w:noWrap/>
            <w:hideMark/>
          </w:tcPr>
          <w:p w:rsidR="00942B4C" w:rsidRPr="008B3243" w:rsidRDefault="00942B4C" w:rsidP="00F05262">
            <w:pPr>
              <w:spacing w:line="276" w:lineRule="auto"/>
              <w:jc w:val="left"/>
              <w:rPr>
                <w:lang w:val="fr-FR" w:eastAsia="fr-FR"/>
              </w:rPr>
            </w:pPr>
            <w:r w:rsidRPr="008B3243">
              <w:rPr>
                <w:lang w:val="fr-FR" w:eastAsia="fr-FR"/>
              </w:rPr>
              <w:t>1</w:t>
            </w:r>
          </w:p>
        </w:tc>
        <w:tc>
          <w:tcPr>
            <w:tcW w:w="2944" w:type="dxa"/>
            <w:noWrap/>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r w:rsidRPr="008B3243">
              <w:rPr>
                <w:lang w:val="fr-FR" w:eastAsia="fr-FR"/>
              </w:rPr>
              <w:t>coffee surface</w:t>
            </w:r>
          </w:p>
        </w:tc>
        <w:tc>
          <w:tcPr>
            <w:tcW w:w="776" w:type="dxa"/>
            <w:vMerge w:val="restart"/>
            <w:noWrap/>
            <w:hideMark/>
          </w:tcPr>
          <w:p w:rsidR="00942B4C" w:rsidRPr="008B3243" w:rsidRDefault="00B324F8"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r>
              <w:rPr>
                <w:noProof/>
                <w:lang w:val="fr-FR"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 o:spid="_x0000_s1027" type="#_x0000_t88" style="position:absolute;margin-left:1.5pt;margin-top:1.5pt;width:25.5pt;height:87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" adj="528" strokecolor="black [3040]"/>
              </w:pict>
            </w:r>
          </w:p>
          <w:tbl>
            <w:tblPr>
              <w:tblW w:w="0" w:type="auto"/>
              <w:tblCellSpacing w:w="0" w:type="dxa"/>
              <w:tblCellMar>
                <w:left w:w="0" w:type="dxa"/>
                <w:right w:w="0" w:type="dxa"/>
              </w:tblCellMar>
              <w:tblLook w:val="04A0" w:firstRow="1" w:lastRow="0" w:firstColumn="1" w:lastColumn="0" w:noHBand="0" w:noVBand="1"/>
            </w:tblPr>
            <w:tblGrid>
              <w:gridCol w:w="560"/>
            </w:tblGrid>
            <w:tr w:rsidR="00942B4C" w:rsidRPr="008B3243" w:rsidTr="00F05262">
              <w:trPr>
                <w:trHeight w:val="552"/>
                <w:tblCellSpacing w:w="0" w:type="dxa"/>
              </w:trPr>
              <w:tc>
                <w:tcPr>
                  <w:tcW w:w="560" w:type="dxa"/>
                  <w:vMerge w:val="restart"/>
                  <w:tcBorders>
                    <w:top w:val="nil"/>
                    <w:left w:val="nil"/>
                    <w:bottom w:val="nil"/>
                    <w:right w:val="nil"/>
                  </w:tcBorders>
                  <w:shd w:val="clear" w:color="auto" w:fill="auto"/>
                  <w:noWrap/>
                  <w:vAlign w:val="bottom"/>
                  <w:hideMark/>
                </w:tcPr>
                <w:p w:rsidR="00942B4C" w:rsidRPr="008B3243" w:rsidRDefault="00942B4C" w:rsidP="00F05262">
                  <w:pPr>
                    <w:spacing w:line="276" w:lineRule="auto"/>
                    <w:jc w:val="left"/>
                    <w:rPr>
                      <w:lang w:val="fr-FR" w:eastAsia="fr-FR"/>
                    </w:rPr>
                  </w:pPr>
                </w:p>
              </w:tc>
            </w:tr>
            <w:tr w:rsidR="00942B4C" w:rsidRPr="008B3243" w:rsidTr="00F05262">
              <w:trPr>
                <w:trHeight w:val="552"/>
                <w:tblCellSpacing w:w="0" w:type="dxa"/>
              </w:trPr>
              <w:tc>
                <w:tcPr>
                  <w:tcW w:w="0" w:type="auto"/>
                  <w:vMerge/>
                  <w:tcBorders>
                    <w:top w:val="nil"/>
                    <w:left w:val="nil"/>
                    <w:bottom w:val="nil"/>
                    <w:right w:val="nil"/>
                  </w:tcBorders>
                  <w:vAlign w:val="center"/>
                  <w:hideMark/>
                </w:tcPr>
                <w:p w:rsidR="00942B4C" w:rsidRPr="008B3243" w:rsidRDefault="00942B4C" w:rsidP="00F05262">
                  <w:pPr>
                    <w:spacing w:line="276" w:lineRule="auto"/>
                    <w:jc w:val="left"/>
                    <w:rPr>
                      <w:lang w:val="fr-FR" w:eastAsia="fr-FR"/>
                    </w:rPr>
                  </w:pPr>
                </w:p>
              </w:tc>
            </w:tr>
          </w:tbl>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p>
        </w:tc>
        <w:tc>
          <w:tcPr>
            <w:tcW w:w="1872" w:type="dxa"/>
            <w:vMerge w:val="restart"/>
            <w:noWrap/>
            <w:vAlign w:val="center"/>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en-US" w:eastAsia="fr-FR"/>
              </w:rPr>
            </w:pPr>
            <w:r w:rsidRPr="008B3243">
              <w:rPr>
                <w:lang w:val="en-US" w:eastAsia="fr-FR"/>
              </w:rPr>
              <w:t xml:space="preserve">quantitative and </w:t>
            </w:r>
          </w:p>
          <w:p w:rsidR="00942B4C" w:rsidRPr="008B3243" w:rsidRDefault="00942B4C" w:rsidP="00D051AF">
            <w:pPr>
              <w:spacing w:line="276" w:lineRule="auto"/>
              <w:jc w:val="left"/>
              <w:cnfStyle w:val="000000000000" w:firstRow="0" w:lastRow="0" w:firstColumn="0" w:lastColumn="0" w:oddVBand="0" w:evenVBand="0" w:oddHBand="0" w:evenHBand="0" w:firstRowFirstColumn="0" w:firstRowLastColumn="0" w:lastRowFirstColumn="0" w:lastRowLastColumn="0"/>
              <w:rPr>
                <w:lang w:val="en-US" w:eastAsia="fr-FR"/>
              </w:rPr>
            </w:pPr>
            <w:r w:rsidRPr="008B3243">
              <w:rPr>
                <w:lang w:val="en-US" w:eastAsia="fr-FR"/>
              </w:rPr>
              <w:t xml:space="preserve">non-binary </w:t>
            </w:r>
          </w:p>
        </w:tc>
        <w:tc>
          <w:tcPr>
            <w:tcW w:w="2827" w:type="dxa"/>
            <w:vMerge w:val="restart"/>
            <w:noWrap/>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r w:rsidRPr="008B3243">
              <w:rPr>
                <w:lang w:val="fr-FR" w:eastAsia="fr-FR"/>
              </w:rPr>
              <w:t>capital</w:t>
            </w:r>
          </w:p>
        </w:tc>
      </w:tr>
      <w:tr w:rsidR="00942B4C" w:rsidRPr="008B3243" w:rsidTr="00F05262">
        <w:trPr>
          <w:trHeight w:val="300"/>
        </w:trPr>
        <w:tc>
          <w:tcPr>
            <w:cnfStyle w:val="001000000000" w:firstRow="0" w:lastRow="0" w:firstColumn="1" w:lastColumn="0" w:oddVBand="0" w:evenVBand="0" w:oddHBand="0" w:evenHBand="0" w:firstRowFirstColumn="0" w:firstRowLastColumn="0" w:lastRowFirstColumn="0" w:lastRowLastColumn="0"/>
            <w:tcW w:w="336" w:type="dxa"/>
            <w:noWrap/>
            <w:hideMark/>
          </w:tcPr>
          <w:p w:rsidR="00942B4C" w:rsidRPr="008B3243" w:rsidRDefault="00942B4C" w:rsidP="00F05262">
            <w:pPr>
              <w:spacing w:line="276" w:lineRule="auto"/>
              <w:jc w:val="left"/>
              <w:rPr>
                <w:lang w:val="fr-FR" w:eastAsia="fr-FR"/>
              </w:rPr>
            </w:pPr>
            <w:r w:rsidRPr="008B3243">
              <w:rPr>
                <w:lang w:val="fr-FR" w:eastAsia="fr-FR"/>
              </w:rPr>
              <w:t>2</w:t>
            </w:r>
          </w:p>
        </w:tc>
        <w:tc>
          <w:tcPr>
            <w:tcW w:w="2944" w:type="dxa"/>
            <w:noWrap/>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proofErr w:type="spellStart"/>
            <w:r w:rsidRPr="008B3243">
              <w:rPr>
                <w:lang w:val="fr-FR" w:eastAsia="fr-FR"/>
              </w:rPr>
              <w:t>cultivated</w:t>
            </w:r>
            <w:proofErr w:type="spellEnd"/>
            <w:r w:rsidRPr="008B3243">
              <w:rPr>
                <w:lang w:val="fr-FR" w:eastAsia="fr-FR"/>
              </w:rPr>
              <w:t xml:space="preserve"> paddy surface</w:t>
            </w:r>
          </w:p>
        </w:tc>
        <w:tc>
          <w:tcPr>
            <w:tcW w:w="776" w:type="dxa"/>
            <w:vMerge/>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p>
        </w:tc>
        <w:tc>
          <w:tcPr>
            <w:tcW w:w="1872" w:type="dxa"/>
            <w:vMerge/>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p>
        </w:tc>
        <w:tc>
          <w:tcPr>
            <w:tcW w:w="2827" w:type="dxa"/>
            <w:vMerge/>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p>
        </w:tc>
      </w:tr>
      <w:tr w:rsidR="00942B4C" w:rsidRPr="008B3243" w:rsidTr="00F05262">
        <w:trPr>
          <w:trHeight w:val="300"/>
        </w:trPr>
        <w:tc>
          <w:tcPr>
            <w:cnfStyle w:val="001000000000" w:firstRow="0" w:lastRow="0" w:firstColumn="1" w:lastColumn="0" w:oddVBand="0" w:evenVBand="0" w:oddHBand="0" w:evenHBand="0" w:firstRowFirstColumn="0" w:firstRowLastColumn="0" w:lastRowFirstColumn="0" w:lastRowLastColumn="0"/>
            <w:tcW w:w="336" w:type="dxa"/>
            <w:noWrap/>
            <w:hideMark/>
          </w:tcPr>
          <w:p w:rsidR="00942B4C" w:rsidRPr="008B3243" w:rsidRDefault="00942B4C" w:rsidP="00F05262">
            <w:pPr>
              <w:spacing w:line="276" w:lineRule="auto"/>
              <w:jc w:val="left"/>
              <w:rPr>
                <w:lang w:val="fr-FR" w:eastAsia="fr-FR"/>
              </w:rPr>
            </w:pPr>
            <w:r w:rsidRPr="008B3243">
              <w:rPr>
                <w:lang w:val="fr-FR" w:eastAsia="fr-FR"/>
              </w:rPr>
              <w:t>3</w:t>
            </w:r>
          </w:p>
        </w:tc>
        <w:tc>
          <w:tcPr>
            <w:tcW w:w="2944" w:type="dxa"/>
            <w:noWrap/>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r w:rsidRPr="008B3243">
              <w:rPr>
                <w:lang w:val="fr-FR" w:eastAsia="fr-FR"/>
              </w:rPr>
              <w:t xml:space="preserve">% </w:t>
            </w:r>
            <w:proofErr w:type="spellStart"/>
            <w:r w:rsidRPr="008B3243">
              <w:rPr>
                <w:lang w:val="fr-FR" w:eastAsia="fr-FR"/>
              </w:rPr>
              <w:t>converted</w:t>
            </w:r>
            <w:proofErr w:type="spellEnd"/>
            <w:r w:rsidRPr="008B3243">
              <w:rPr>
                <w:lang w:val="fr-FR" w:eastAsia="fr-FR"/>
              </w:rPr>
              <w:t xml:space="preserve"> paddy</w:t>
            </w:r>
          </w:p>
        </w:tc>
        <w:tc>
          <w:tcPr>
            <w:tcW w:w="776" w:type="dxa"/>
            <w:vMerge/>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p>
        </w:tc>
        <w:tc>
          <w:tcPr>
            <w:tcW w:w="1872" w:type="dxa"/>
            <w:vMerge/>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p>
        </w:tc>
        <w:tc>
          <w:tcPr>
            <w:tcW w:w="2827" w:type="dxa"/>
            <w:vMerge w:val="restart"/>
            <w:noWrap/>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r w:rsidRPr="008B3243">
              <w:rPr>
                <w:lang w:val="fr-FR" w:eastAsia="fr-FR"/>
              </w:rPr>
              <w:t>practices</w:t>
            </w:r>
          </w:p>
        </w:tc>
      </w:tr>
      <w:tr w:rsidR="00942B4C" w:rsidRPr="008B3243" w:rsidTr="00F05262">
        <w:trPr>
          <w:trHeight w:val="300"/>
        </w:trPr>
        <w:tc>
          <w:tcPr>
            <w:cnfStyle w:val="001000000000" w:firstRow="0" w:lastRow="0" w:firstColumn="1" w:lastColumn="0" w:oddVBand="0" w:evenVBand="0" w:oddHBand="0" w:evenHBand="0" w:firstRowFirstColumn="0" w:firstRowLastColumn="0" w:lastRowFirstColumn="0" w:lastRowLastColumn="0"/>
            <w:tcW w:w="336" w:type="dxa"/>
            <w:noWrap/>
            <w:hideMark/>
          </w:tcPr>
          <w:p w:rsidR="00942B4C" w:rsidRPr="008B3243" w:rsidRDefault="00942B4C" w:rsidP="00F05262">
            <w:pPr>
              <w:spacing w:line="276" w:lineRule="auto"/>
              <w:jc w:val="left"/>
              <w:rPr>
                <w:lang w:val="fr-FR" w:eastAsia="fr-FR"/>
              </w:rPr>
            </w:pPr>
            <w:r w:rsidRPr="008B3243">
              <w:rPr>
                <w:lang w:val="fr-FR" w:eastAsia="fr-FR"/>
              </w:rPr>
              <w:t>4</w:t>
            </w:r>
          </w:p>
        </w:tc>
        <w:tc>
          <w:tcPr>
            <w:tcW w:w="2944" w:type="dxa"/>
            <w:noWrap/>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r w:rsidRPr="008B3243">
              <w:rPr>
                <w:lang w:val="fr-FR" w:eastAsia="fr-FR"/>
              </w:rPr>
              <w:t xml:space="preserve">% </w:t>
            </w:r>
            <w:proofErr w:type="spellStart"/>
            <w:r w:rsidRPr="008B3243">
              <w:rPr>
                <w:lang w:val="fr-FR" w:eastAsia="fr-FR"/>
              </w:rPr>
              <w:t>fallow</w:t>
            </w:r>
            <w:proofErr w:type="spellEnd"/>
            <w:r w:rsidRPr="008B3243">
              <w:rPr>
                <w:lang w:val="fr-FR" w:eastAsia="fr-FR"/>
              </w:rPr>
              <w:t xml:space="preserve"> paddy</w:t>
            </w:r>
          </w:p>
        </w:tc>
        <w:tc>
          <w:tcPr>
            <w:tcW w:w="776" w:type="dxa"/>
            <w:vMerge/>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p>
        </w:tc>
        <w:tc>
          <w:tcPr>
            <w:tcW w:w="1872" w:type="dxa"/>
            <w:vMerge/>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p>
        </w:tc>
        <w:tc>
          <w:tcPr>
            <w:tcW w:w="2827" w:type="dxa"/>
            <w:vMerge/>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p>
        </w:tc>
      </w:tr>
      <w:tr w:rsidR="00942B4C" w:rsidRPr="008B3243" w:rsidTr="00F05262">
        <w:trPr>
          <w:trHeight w:val="300"/>
        </w:trPr>
        <w:tc>
          <w:tcPr>
            <w:cnfStyle w:val="001000000000" w:firstRow="0" w:lastRow="0" w:firstColumn="1" w:lastColumn="0" w:oddVBand="0" w:evenVBand="0" w:oddHBand="0" w:evenHBand="0" w:firstRowFirstColumn="0" w:firstRowLastColumn="0" w:lastRowFirstColumn="0" w:lastRowLastColumn="0"/>
            <w:tcW w:w="336" w:type="dxa"/>
            <w:noWrap/>
            <w:hideMark/>
          </w:tcPr>
          <w:p w:rsidR="00942B4C" w:rsidRPr="008B3243" w:rsidRDefault="00942B4C" w:rsidP="00F05262">
            <w:pPr>
              <w:spacing w:line="276" w:lineRule="auto"/>
              <w:jc w:val="left"/>
              <w:rPr>
                <w:lang w:val="fr-FR" w:eastAsia="fr-FR"/>
              </w:rPr>
            </w:pPr>
            <w:r w:rsidRPr="008B3243">
              <w:rPr>
                <w:lang w:val="fr-FR" w:eastAsia="fr-FR"/>
              </w:rPr>
              <w:t>5</w:t>
            </w:r>
          </w:p>
        </w:tc>
        <w:tc>
          <w:tcPr>
            <w:tcW w:w="2944" w:type="dxa"/>
            <w:noWrap/>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en-US" w:eastAsia="fr-FR"/>
              </w:rPr>
            </w:pPr>
            <w:r w:rsidRPr="008B3243">
              <w:rPr>
                <w:lang w:val="en-US" w:eastAsia="fr-FR"/>
              </w:rPr>
              <w:t>age of silver oak plantation</w:t>
            </w:r>
          </w:p>
        </w:tc>
        <w:tc>
          <w:tcPr>
            <w:tcW w:w="776" w:type="dxa"/>
            <w:vMerge/>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en-US" w:eastAsia="fr-FR"/>
              </w:rPr>
            </w:pPr>
          </w:p>
        </w:tc>
        <w:tc>
          <w:tcPr>
            <w:tcW w:w="1872" w:type="dxa"/>
            <w:vMerge/>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en-US" w:eastAsia="fr-FR"/>
              </w:rPr>
            </w:pPr>
          </w:p>
        </w:tc>
        <w:tc>
          <w:tcPr>
            <w:tcW w:w="2827" w:type="dxa"/>
            <w:vMerge/>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en-US" w:eastAsia="fr-FR"/>
              </w:rPr>
            </w:pPr>
          </w:p>
        </w:tc>
      </w:tr>
      <w:tr w:rsidR="00942B4C" w:rsidRPr="008B3243" w:rsidTr="00F05262">
        <w:trPr>
          <w:trHeight w:val="300"/>
        </w:trPr>
        <w:tc>
          <w:tcPr>
            <w:cnfStyle w:val="001000000000" w:firstRow="0" w:lastRow="0" w:firstColumn="1" w:lastColumn="0" w:oddVBand="0" w:evenVBand="0" w:oddHBand="0" w:evenHBand="0" w:firstRowFirstColumn="0" w:firstRowLastColumn="0" w:lastRowFirstColumn="0" w:lastRowLastColumn="0"/>
            <w:tcW w:w="336" w:type="dxa"/>
            <w:noWrap/>
            <w:hideMark/>
          </w:tcPr>
          <w:p w:rsidR="00942B4C" w:rsidRPr="008B3243" w:rsidRDefault="00942B4C" w:rsidP="00F05262">
            <w:pPr>
              <w:spacing w:line="276" w:lineRule="auto"/>
              <w:jc w:val="left"/>
              <w:rPr>
                <w:lang w:val="fr-FR" w:eastAsia="fr-FR"/>
              </w:rPr>
            </w:pPr>
            <w:r w:rsidRPr="008B3243">
              <w:rPr>
                <w:lang w:val="fr-FR" w:eastAsia="fr-FR"/>
              </w:rPr>
              <w:t>6</w:t>
            </w:r>
          </w:p>
        </w:tc>
        <w:tc>
          <w:tcPr>
            <w:tcW w:w="2944" w:type="dxa"/>
            <w:noWrap/>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proofErr w:type="spellStart"/>
            <w:r w:rsidRPr="008B3243">
              <w:rPr>
                <w:lang w:val="fr-FR" w:eastAsia="fr-FR"/>
              </w:rPr>
              <w:t>number</w:t>
            </w:r>
            <w:proofErr w:type="spellEnd"/>
            <w:r w:rsidRPr="008B3243">
              <w:rPr>
                <w:lang w:val="fr-FR" w:eastAsia="fr-FR"/>
              </w:rPr>
              <w:t xml:space="preserve"> of permanent </w:t>
            </w:r>
            <w:proofErr w:type="spellStart"/>
            <w:r w:rsidRPr="008B3243">
              <w:rPr>
                <w:lang w:val="fr-FR" w:eastAsia="fr-FR"/>
              </w:rPr>
              <w:t>employees</w:t>
            </w:r>
            <w:proofErr w:type="spellEnd"/>
          </w:p>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p>
        </w:tc>
        <w:tc>
          <w:tcPr>
            <w:tcW w:w="776" w:type="dxa"/>
            <w:vMerge/>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p>
        </w:tc>
        <w:tc>
          <w:tcPr>
            <w:tcW w:w="1872" w:type="dxa"/>
            <w:vMerge/>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p>
        </w:tc>
        <w:tc>
          <w:tcPr>
            <w:tcW w:w="2827" w:type="dxa"/>
            <w:noWrap/>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r w:rsidRPr="008B3243">
              <w:rPr>
                <w:lang w:val="fr-FR" w:eastAsia="fr-FR"/>
              </w:rPr>
              <w:t xml:space="preserve">social </w:t>
            </w:r>
            <w:r w:rsidRPr="008B3243">
              <w:rPr>
                <w:lang w:val="en-US" w:eastAsia="fr-FR"/>
              </w:rPr>
              <w:t>status</w:t>
            </w:r>
          </w:p>
        </w:tc>
      </w:tr>
      <w:tr w:rsidR="00942B4C" w:rsidRPr="008B3243" w:rsidTr="00F05262">
        <w:trPr>
          <w:trHeight w:val="300"/>
        </w:trPr>
        <w:tc>
          <w:tcPr>
            <w:cnfStyle w:val="001000000000" w:firstRow="0" w:lastRow="0" w:firstColumn="1" w:lastColumn="0" w:oddVBand="0" w:evenVBand="0" w:oddHBand="0" w:evenHBand="0" w:firstRowFirstColumn="0" w:firstRowLastColumn="0" w:lastRowFirstColumn="0" w:lastRowLastColumn="0"/>
            <w:tcW w:w="336" w:type="dxa"/>
            <w:shd w:val="clear" w:color="auto" w:fill="D9D9D9" w:themeFill="background1" w:themeFillShade="D9"/>
            <w:noWrap/>
            <w:hideMark/>
          </w:tcPr>
          <w:p w:rsidR="00942B4C" w:rsidRPr="008B3243" w:rsidRDefault="00942B4C" w:rsidP="00F05262">
            <w:pPr>
              <w:spacing w:line="276" w:lineRule="auto"/>
              <w:jc w:val="left"/>
              <w:rPr>
                <w:lang w:val="fr-FR" w:eastAsia="fr-FR"/>
              </w:rPr>
            </w:pPr>
            <w:r w:rsidRPr="008B3243">
              <w:rPr>
                <w:lang w:val="fr-FR" w:eastAsia="fr-FR"/>
              </w:rPr>
              <w:t>#</w:t>
            </w:r>
          </w:p>
        </w:tc>
        <w:tc>
          <w:tcPr>
            <w:tcW w:w="2944" w:type="dxa"/>
            <w:shd w:val="clear" w:color="auto" w:fill="D9D9D9" w:themeFill="background1" w:themeFillShade="D9"/>
            <w:noWrap/>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r w:rsidRPr="008B3243">
              <w:rPr>
                <w:lang w:val="fr-FR" w:eastAsia="fr-FR"/>
              </w:rPr>
              <w:t>irrigation use</w:t>
            </w:r>
          </w:p>
        </w:tc>
        <w:tc>
          <w:tcPr>
            <w:tcW w:w="2648" w:type="dxa"/>
            <w:gridSpan w:val="2"/>
            <w:shd w:val="clear" w:color="auto" w:fill="D9D9D9" w:themeFill="background1" w:themeFillShade="D9"/>
            <w:noWrap/>
            <w:hideMark/>
          </w:tcPr>
          <w:p w:rsidR="00942B4C" w:rsidRPr="008B3243" w:rsidRDefault="004B71B5" w:rsidP="008270E8">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r w:rsidRPr="008B3243">
              <w:rPr>
                <w:lang w:val="fr-FR" w:eastAsia="fr-FR"/>
              </w:rPr>
              <w:t xml:space="preserve">             </w:t>
            </w:r>
            <w:proofErr w:type="spellStart"/>
            <w:r w:rsidR="008270E8" w:rsidRPr="008B3243">
              <w:rPr>
                <w:lang w:val="fr-FR" w:eastAsia="fr-FR"/>
              </w:rPr>
              <w:t>binary</w:t>
            </w:r>
            <w:proofErr w:type="spellEnd"/>
          </w:p>
        </w:tc>
        <w:tc>
          <w:tcPr>
            <w:tcW w:w="2827" w:type="dxa"/>
            <w:shd w:val="clear" w:color="auto" w:fill="D9D9D9" w:themeFill="background1" w:themeFillShade="D9"/>
            <w:noWrap/>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r w:rsidRPr="008B3243">
              <w:rPr>
                <w:lang w:val="fr-FR" w:eastAsia="fr-FR"/>
              </w:rPr>
              <w:t> </w:t>
            </w:r>
          </w:p>
        </w:tc>
      </w:tr>
      <w:tr w:rsidR="00942B4C" w:rsidRPr="008B3243" w:rsidTr="00F05262">
        <w:trPr>
          <w:trHeight w:val="300"/>
        </w:trPr>
        <w:tc>
          <w:tcPr>
            <w:cnfStyle w:val="001000000000" w:firstRow="0" w:lastRow="0" w:firstColumn="1" w:lastColumn="0" w:oddVBand="0" w:evenVBand="0" w:oddHBand="0" w:evenHBand="0" w:firstRowFirstColumn="0" w:firstRowLastColumn="0" w:lastRowFirstColumn="0" w:lastRowLastColumn="0"/>
            <w:tcW w:w="336" w:type="dxa"/>
            <w:shd w:val="clear" w:color="auto" w:fill="D9D9D9" w:themeFill="background1" w:themeFillShade="D9"/>
            <w:noWrap/>
            <w:hideMark/>
          </w:tcPr>
          <w:p w:rsidR="00942B4C" w:rsidRPr="008B3243" w:rsidRDefault="00942B4C" w:rsidP="00F05262">
            <w:pPr>
              <w:spacing w:line="276" w:lineRule="auto"/>
              <w:jc w:val="left"/>
              <w:rPr>
                <w:lang w:val="fr-FR" w:eastAsia="fr-FR"/>
              </w:rPr>
            </w:pPr>
            <w:r w:rsidRPr="008B3243">
              <w:rPr>
                <w:lang w:val="fr-FR" w:eastAsia="fr-FR"/>
              </w:rPr>
              <w:t>#</w:t>
            </w:r>
          </w:p>
        </w:tc>
        <w:tc>
          <w:tcPr>
            <w:tcW w:w="2944" w:type="dxa"/>
            <w:shd w:val="clear" w:color="auto" w:fill="D9D9D9" w:themeFill="background1" w:themeFillShade="D9"/>
            <w:noWrap/>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proofErr w:type="spellStart"/>
            <w:r w:rsidRPr="008B3243">
              <w:rPr>
                <w:lang w:val="fr-FR" w:eastAsia="fr-FR"/>
              </w:rPr>
              <w:t>forest</w:t>
            </w:r>
            <w:proofErr w:type="spellEnd"/>
            <w:r w:rsidRPr="008B3243">
              <w:rPr>
                <w:lang w:val="fr-FR" w:eastAsia="fr-FR"/>
              </w:rPr>
              <w:t xml:space="preserve"> surface</w:t>
            </w:r>
          </w:p>
        </w:tc>
        <w:tc>
          <w:tcPr>
            <w:tcW w:w="2648" w:type="dxa"/>
            <w:gridSpan w:val="2"/>
            <w:shd w:val="clear" w:color="auto" w:fill="D9D9D9" w:themeFill="background1" w:themeFillShade="D9"/>
            <w:noWrap/>
            <w:hideMark/>
          </w:tcPr>
          <w:p w:rsidR="004B71B5" w:rsidRPr="008B3243" w:rsidRDefault="004B71B5"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r w:rsidRPr="008B3243">
              <w:rPr>
                <w:lang w:val="fr-FR" w:eastAsia="fr-FR"/>
              </w:rPr>
              <w:t xml:space="preserve">              </w:t>
            </w:r>
            <w:proofErr w:type="spellStart"/>
            <w:r w:rsidR="00942B4C" w:rsidRPr="008B3243">
              <w:rPr>
                <w:lang w:val="fr-FR" w:eastAsia="fr-FR"/>
              </w:rPr>
              <w:t>uneven</w:t>
            </w:r>
            <w:proofErr w:type="spellEnd"/>
            <w:r w:rsidR="00942B4C" w:rsidRPr="008B3243">
              <w:rPr>
                <w:lang w:val="fr-FR" w:eastAsia="fr-FR"/>
              </w:rPr>
              <w:t xml:space="preserve"> </w:t>
            </w:r>
            <w:r w:rsidRPr="008B3243">
              <w:rPr>
                <w:lang w:val="fr-FR" w:eastAsia="fr-FR"/>
              </w:rPr>
              <w:t xml:space="preserve">   </w:t>
            </w:r>
          </w:p>
          <w:p w:rsidR="00942B4C" w:rsidRPr="008B3243" w:rsidRDefault="004B71B5" w:rsidP="00F05262">
            <w:pPr>
              <w:spacing w:line="276" w:lineRule="auto"/>
              <w:ind w:left="240"/>
              <w:jc w:val="left"/>
              <w:cnfStyle w:val="000000000000" w:firstRow="0" w:lastRow="0" w:firstColumn="0" w:lastColumn="0" w:oddVBand="0" w:evenVBand="0" w:oddHBand="0" w:evenHBand="0" w:firstRowFirstColumn="0" w:firstRowLastColumn="0" w:lastRowFirstColumn="0" w:lastRowLastColumn="0"/>
              <w:rPr>
                <w:lang w:eastAsia="fr-FR"/>
              </w:rPr>
            </w:pPr>
            <w:r w:rsidRPr="008B3243">
              <w:rPr>
                <w:lang w:val="fr-FR" w:eastAsia="fr-FR"/>
              </w:rPr>
              <w:t xml:space="preserve">                  </w:t>
            </w:r>
            <w:proofErr w:type="spellStart"/>
            <w:r w:rsidR="00942B4C" w:rsidRPr="008B3243">
              <w:rPr>
                <w:lang w:val="fr-FR" w:eastAsia="fr-FR"/>
              </w:rPr>
              <w:t>availability</w:t>
            </w:r>
            <w:proofErr w:type="spellEnd"/>
          </w:p>
        </w:tc>
        <w:tc>
          <w:tcPr>
            <w:tcW w:w="2827" w:type="dxa"/>
            <w:shd w:val="clear" w:color="auto" w:fill="D9D9D9" w:themeFill="background1" w:themeFillShade="D9"/>
            <w:noWrap/>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r w:rsidRPr="008B3243">
              <w:rPr>
                <w:lang w:val="fr-FR" w:eastAsia="fr-FR"/>
              </w:rPr>
              <w:t> </w:t>
            </w:r>
          </w:p>
        </w:tc>
      </w:tr>
      <w:tr w:rsidR="00942B4C" w:rsidRPr="008B3243" w:rsidTr="00F05262">
        <w:trPr>
          <w:trHeight w:val="300"/>
        </w:trPr>
        <w:tc>
          <w:tcPr>
            <w:cnfStyle w:val="001000000000" w:firstRow="0" w:lastRow="0" w:firstColumn="1" w:lastColumn="0" w:oddVBand="0" w:evenVBand="0" w:oddHBand="0" w:evenHBand="0" w:firstRowFirstColumn="0" w:firstRowLastColumn="0" w:lastRowFirstColumn="0" w:lastRowLastColumn="0"/>
            <w:tcW w:w="336" w:type="dxa"/>
            <w:shd w:val="clear" w:color="auto" w:fill="D9D9D9" w:themeFill="background1" w:themeFillShade="D9"/>
            <w:noWrap/>
            <w:hideMark/>
          </w:tcPr>
          <w:p w:rsidR="00942B4C" w:rsidRPr="008B3243" w:rsidRDefault="00942B4C" w:rsidP="00F05262">
            <w:pPr>
              <w:spacing w:line="276" w:lineRule="auto"/>
              <w:jc w:val="left"/>
              <w:rPr>
                <w:lang w:val="fr-FR" w:eastAsia="fr-FR"/>
              </w:rPr>
            </w:pPr>
            <w:r w:rsidRPr="008B3243">
              <w:rPr>
                <w:lang w:val="fr-FR" w:eastAsia="fr-FR"/>
              </w:rPr>
              <w:t>#</w:t>
            </w:r>
          </w:p>
        </w:tc>
        <w:tc>
          <w:tcPr>
            <w:tcW w:w="2944" w:type="dxa"/>
            <w:shd w:val="clear" w:color="auto" w:fill="D9D9D9" w:themeFill="background1" w:themeFillShade="D9"/>
            <w:noWrap/>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proofErr w:type="spellStart"/>
            <w:r w:rsidRPr="008B3243">
              <w:rPr>
                <w:lang w:val="fr-FR" w:eastAsia="fr-FR"/>
              </w:rPr>
              <w:t>crop</w:t>
            </w:r>
            <w:proofErr w:type="spellEnd"/>
            <w:r w:rsidRPr="008B3243">
              <w:rPr>
                <w:lang w:val="fr-FR" w:eastAsia="fr-FR"/>
              </w:rPr>
              <w:t xml:space="preserve"> production</w:t>
            </w:r>
          </w:p>
        </w:tc>
        <w:tc>
          <w:tcPr>
            <w:tcW w:w="2648" w:type="dxa"/>
            <w:gridSpan w:val="2"/>
            <w:shd w:val="clear" w:color="auto" w:fill="D9D9D9" w:themeFill="background1" w:themeFillShade="D9"/>
            <w:noWrap/>
            <w:hideMark/>
          </w:tcPr>
          <w:p w:rsidR="00942B4C" w:rsidRPr="008B3243" w:rsidRDefault="004B71B5" w:rsidP="008270E8">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r w:rsidRPr="008B3243">
              <w:rPr>
                <w:lang w:val="fr-FR" w:eastAsia="fr-FR"/>
              </w:rPr>
              <w:t xml:space="preserve">               </w:t>
            </w:r>
            <w:proofErr w:type="spellStart"/>
            <w:r w:rsidR="008270E8" w:rsidRPr="008B3243">
              <w:rPr>
                <w:lang w:val="fr-FR" w:eastAsia="fr-FR"/>
              </w:rPr>
              <w:t>uncertain</w:t>
            </w:r>
            <w:proofErr w:type="spellEnd"/>
          </w:p>
        </w:tc>
        <w:tc>
          <w:tcPr>
            <w:tcW w:w="2827" w:type="dxa"/>
            <w:shd w:val="clear" w:color="auto" w:fill="D9D9D9" w:themeFill="background1" w:themeFillShade="D9"/>
            <w:noWrap/>
            <w:hideMark/>
          </w:tcPr>
          <w:p w:rsidR="00942B4C" w:rsidRPr="008B3243" w:rsidRDefault="00942B4C" w:rsidP="00F05262">
            <w:pPr>
              <w:spacing w:line="276" w:lineRule="auto"/>
              <w:jc w:val="left"/>
              <w:cnfStyle w:val="000000000000" w:firstRow="0" w:lastRow="0" w:firstColumn="0" w:lastColumn="0" w:oddVBand="0" w:evenVBand="0" w:oddHBand="0" w:evenHBand="0" w:firstRowFirstColumn="0" w:firstRowLastColumn="0" w:lastRowFirstColumn="0" w:lastRowLastColumn="0"/>
              <w:rPr>
                <w:lang w:val="fr-FR" w:eastAsia="fr-FR"/>
              </w:rPr>
            </w:pPr>
            <w:r w:rsidRPr="008B3243">
              <w:rPr>
                <w:lang w:val="fr-FR" w:eastAsia="fr-FR"/>
              </w:rPr>
              <w:t> </w:t>
            </w:r>
          </w:p>
        </w:tc>
      </w:tr>
    </w:tbl>
    <w:p w:rsidR="00942B4C" w:rsidRPr="008B3243" w:rsidRDefault="00942B4C" w:rsidP="00942B4C">
      <w:pPr>
        <w:pStyle w:val="Table1"/>
        <w:numPr>
          <w:ilvl w:val="0"/>
          <w:numId w:val="0"/>
        </w:numPr>
        <w:spacing w:line="276" w:lineRule="auto"/>
        <w:ind w:left="833"/>
        <w:jc w:val="left"/>
        <w:rPr>
          <w:sz w:val="24"/>
          <w:szCs w:val="24"/>
        </w:rPr>
      </w:pPr>
    </w:p>
    <w:p w:rsidR="00942B4C" w:rsidRPr="008B3243" w:rsidRDefault="00942B4C" w:rsidP="00942B4C">
      <w:pPr>
        <w:pStyle w:val="Table1"/>
        <w:numPr>
          <w:ilvl w:val="0"/>
          <w:numId w:val="0"/>
        </w:numPr>
        <w:spacing w:line="276" w:lineRule="auto"/>
        <w:ind w:left="360" w:hanging="360"/>
        <w:jc w:val="left"/>
        <w:rPr>
          <w:sz w:val="24"/>
          <w:szCs w:val="24"/>
        </w:rPr>
      </w:pPr>
      <w:r w:rsidRPr="008B3243">
        <w:rPr>
          <w:sz w:val="24"/>
          <w:szCs w:val="24"/>
          <w:u w:val="single"/>
        </w:rPr>
        <w:t xml:space="preserve">Table </w:t>
      </w:r>
      <w:r w:rsidR="00670ED3" w:rsidRPr="008B3243">
        <w:rPr>
          <w:sz w:val="24"/>
          <w:szCs w:val="24"/>
          <w:u w:val="single"/>
        </w:rPr>
        <w:t>S</w:t>
      </w:r>
      <w:r w:rsidRPr="008B3243">
        <w:rPr>
          <w:sz w:val="24"/>
          <w:szCs w:val="24"/>
          <w:u w:val="single"/>
        </w:rPr>
        <w:t>2.</w:t>
      </w:r>
      <w:r w:rsidRPr="008B3243">
        <w:rPr>
          <w:sz w:val="24"/>
          <w:szCs w:val="24"/>
        </w:rPr>
        <w:t xml:space="preserve"> Selection of the variables deduced from the Kottoli interview for the PCA analysis. </w:t>
      </w:r>
    </w:p>
    <w:p w:rsidR="00996CB9" w:rsidRPr="008B3243" w:rsidRDefault="00996CB9" w:rsidP="003E5765">
      <w:pPr>
        <w:spacing w:line="240" w:lineRule="auto"/>
        <w:jc w:val="left"/>
        <w:rPr>
          <w:b/>
          <w:bCs/>
          <w:iCs/>
          <w:lang w:val="en-US"/>
        </w:rPr>
      </w:pPr>
      <w:r w:rsidRPr="008B3243">
        <w:rPr>
          <w:lang w:val="en-US"/>
        </w:rPr>
        <w:br w:type="page"/>
      </w:r>
    </w:p>
    <w:p w:rsidR="009F34A2" w:rsidRPr="008B3243" w:rsidRDefault="00B85AFE" w:rsidP="000B5BED">
      <w:pPr>
        <w:pStyle w:val="Titre2"/>
        <w:numPr>
          <w:ilvl w:val="0"/>
          <w:numId w:val="0"/>
        </w:numPr>
        <w:spacing w:line="276" w:lineRule="auto"/>
        <w:jc w:val="left"/>
        <w:rPr>
          <w:rFonts w:cs="Times New Roman"/>
          <w:szCs w:val="24"/>
        </w:rPr>
      </w:pPr>
      <w:proofErr w:type="gramStart"/>
      <w:r w:rsidRPr="008B3243">
        <w:rPr>
          <w:rFonts w:cs="Times New Roman"/>
          <w:szCs w:val="24"/>
          <w:lang w:val="en-US"/>
        </w:rPr>
        <w:lastRenderedPageBreak/>
        <w:t>Appendix S</w:t>
      </w:r>
      <w:r w:rsidR="00ED3246" w:rsidRPr="008B3243">
        <w:rPr>
          <w:rFonts w:cs="Times New Roman"/>
          <w:szCs w:val="24"/>
          <w:lang w:val="en-US"/>
        </w:rPr>
        <w:t>2</w:t>
      </w:r>
      <w:r w:rsidRPr="008B3243">
        <w:rPr>
          <w:rFonts w:cs="Times New Roman"/>
          <w:szCs w:val="24"/>
          <w:lang w:val="en-US"/>
        </w:rPr>
        <w:t>.</w:t>
      </w:r>
      <w:bookmarkStart w:id="0" w:name="_Toc337453867"/>
      <w:proofErr w:type="gramEnd"/>
      <w:r w:rsidR="006D5335" w:rsidRPr="008B3243">
        <w:rPr>
          <w:rFonts w:cs="Times New Roman"/>
          <w:szCs w:val="24"/>
        </w:rPr>
        <w:t xml:space="preserve"> The </w:t>
      </w:r>
      <w:bookmarkEnd w:id="0"/>
      <w:r w:rsidR="006D5335" w:rsidRPr="008B3243">
        <w:rPr>
          <w:rFonts w:cs="Times New Roman"/>
          <w:szCs w:val="24"/>
        </w:rPr>
        <w:t xml:space="preserve">DYPAL </w:t>
      </w:r>
      <w:r w:rsidR="00ED3246" w:rsidRPr="008B3243">
        <w:rPr>
          <w:rFonts w:cs="Times New Roman"/>
          <w:szCs w:val="24"/>
        </w:rPr>
        <w:t xml:space="preserve">model </w:t>
      </w:r>
      <w:r w:rsidR="006D5335" w:rsidRPr="008B3243">
        <w:rPr>
          <w:rFonts w:cs="Times New Roman"/>
          <w:szCs w:val="24"/>
        </w:rPr>
        <w:t xml:space="preserve">and its language </w:t>
      </w:r>
    </w:p>
    <w:p w:rsidR="009F34A2" w:rsidRPr="008B3243" w:rsidRDefault="009F34A2" w:rsidP="003E5765">
      <w:pPr>
        <w:jc w:val="left"/>
      </w:pPr>
    </w:p>
    <w:p w:rsidR="009F34A2" w:rsidRPr="008B3243" w:rsidRDefault="006D5335" w:rsidP="003E5765">
      <w:pPr>
        <w:spacing w:line="276" w:lineRule="auto"/>
        <w:jc w:val="left"/>
      </w:pPr>
      <w:r w:rsidRPr="008B3243">
        <w:t xml:space="preserve">DYPAL is a platform to model landscape dynamics, already detailed in the literature </w:t>
      </w:r>
      <w:r w:rsidRPr="008B3243">
        <w:rPr>
          <w:rStyle w:val="StyleAqua"/>
          <w:color w:val="auto"/>
        </w:rPr>
        <w:t>(Gaucherel et al., 2010; 2012)</w:t>
      </w:r>
      <w:r w:rsidRPr="008B3243">
        <w:t>. The DYPAL models assume that landscapes are patchy, divided into landscape units (polygons, polylines</w:t>
      </w:r>
      <w:r w:rsidR="008270E8" w:rsidRPr="008B3243">
        <w:t>,</w:t>
      </w:r>
      <w:r w:rsidRPr="008B3243">
        <w:t xml:space="preserve"> and points), with a main attribute reflecting its land cover. The core of the model is a set of driving rules aiming at changing </w:t>
      </w:r>
      <w:r w:rsidR="000F747A" w:rsidRPr="008B3243">
        <w:t xml:space="preserve">the landscape </w:t>
      </w:r>
      <w:r w:rsidRPr="008B3243">
        <w:t xml:space="preserve">through stochastic </w:t>
      </w:r>
      <w:r w:rsidR="000F747A" w:rsidRPr="008B3243">
        <w:t xml:space="preserve">and </w:t>
      </w:r>
      <w:r w:rsidRPr="008B3243">
        <w:t>non-Markovian events</w:t>
      </w:r>
      <w:r w:rsidR="000F747A" w:rsidRPr="008B3243">
        <w:t>.</w:t>
      </w:r>
      <w:r w:rsidRPr="008B3243">
        <w:t xml:space="preserve"> In addition to these land</w:t>
      </w:r>
      <w:r w:rsidR="006C11E8" w:rsidRPr="008B3243">
        <w:t>-</w:t>
      </w:r>
      <w:r w:rsidRPr="008B3243">
        <w:t>use changes, configuration (geometrical and/or topological) changes of landscape units can alter the shapes, the spatial arrangement</w:t>
      </w:r>
      <w:r w:rsidR="008270E8" w:rsidRPr="008B3243">
        <w:t>,</w:t>
      </w:r>
      <w:r w:rsidRPr="008B3243">
        <w:t xml:space="preserve"> and the sizes of the patches, thus reflecting ecological processes such as fires (contraction), forest expansion (dilation), as well </w:t>
      </w:r>
      <w:r w:rsidR="006C11E8" w:rsidRPr="008B3243">
        <w:t>as</w:t>
      </w:r>
      <w:r w:rsidRPr="008B3243">
        <w:t xml:space="preserve"> man-mediated processes such as farm segmentation or patch </w:t>
      </w:r>
      <w:r w:rsidR="008270E8" w:rsidRPr="008B3243">
        <w:t>mergers</w:t>
      </w:r>
      <w:r w:rsidRPr="008B3243">
        <w:t>. The length and time step of each simulation are defined by the model user, and the main model outputs are land</w:t>
      </w:r>
      <w:r w:rsidR="008270E8" w:rsidRPr="008B3243">
        <w:t>-</w:t>
      </w:r>
      <w:r w:rsidRPr="008B3243">
        <w:t xml:space="preserve">cover maps for each time step as well as their associated metrics. </w:t>
      </w:r>
      <w:r w:rsidR="008C29B8" w:rsidRPr="008B3243">
        <w:t>DYPAL is freely available on the senior author’s website (</w:t>
      </w:r>
      <w:hyperlink w:history="1"/>
      <w:hyperlink r:id="rId11" w:history="1">
        <w:r w:rsidR="004628FB" w:rsidRPr="008B3243">
          <w:rPr>
            <w:rStyle w:val="Lienhypertexte"/>
          </w:rPr>
          <w:t>http://amap-collaboratif.cirad.fr/pages_chercheurs/index.php?page=softwares</w:t>
        </w:r>
      </w:hyperlink>
      <w:r w:rsidR="008C29B8" w:rsidRPr="008B3243">
        <w:t xml:space="preserve">). </w:t>
      </w:r>
    </w:p>
    <w:p w:rsidR="009F34A2" w:rsidRPr="008B3243" w:rsidRDefault="009F34A2" w:rsidP="003E5765">
      <w:pPr>
        <w:spacing w:line="276" w:lineRule="auto"/>
        <w:jc w:val="left"/>
      </w:pPr>
    </w:p>
    <w:p w:rsidR="009F34A2" w:rsidRPr="008B3243" w:rsidRDefault="006D5335" w:rsidP="003E5765">
      <w:pPr>
        <w:spacing w:line="276" w:lineRule="auto"/>
        <w:jc w:val="left"/>
        <w:rPr>
          <w:rFonts w:eastAsia="BaskervilleBT"/>
        </w:rPr>
      </w:pPr>
      <w:r w:rsidRPr="008B3243">
        <w:t xml:space="preserve">The driving rules representing farmers’ decisions are summarized into automata (decision trees), in which land covers are symbolized by nodes and their transitions by arrows connecting </w:t>
      </w:r>
      <w:r w:rsidR="00847481" w:rsidRPr="008B3243">
        <w:t xml:space="preserve">the </w:t>
      </w:r>
      <w:r w:rsidRPr="008B3243">
        <w:t xml:space="preserve">nodes (Fig. 2). Each rule is associated with a probability of occurrence, an acting period, and several conditional constraints (e.g. a neighbourhood condition) called “rule parameters”. </w:t>
      </w:r>
      <w:r w:rsidR="00847481" w:rsidRPr="008B3243">
        <w:t>It was recently</w:t>
      </w:r>
      <w:r w:rsidRPr="008B3243">
        <w:t xml:space="preserve"> proposed to formalize these rules using a formal grammar inspired </w:t>
      </w:r>
      <w:r w:rsidR="00847481" w:rsidRPr="008B3243">
        <w:t>by</w:t>
      </w:r>
      <w:r w:rsidRPr="008B3243">
        <w:t xml:space="preserve"> DS² dynamical systems </w:t>
      </w:r>
      <w:r w:rsidRPr="008B3243">
        <w:rPr>
          <w:rStyle w:val="StyleAqua"/>
          <w:color w:val="auto"/>
        </w:rPr>
        <w:t>(Godin, 2000</w:t>
      </w:r>
      <w:r w:rsidR="0077342F" w:rsidRPr="008B3243">
        <w:rPr>
          <w:rStyle w:val="StyleAqua"/>
          <w:color w:val="auto"/>
        </w:rPr>
        <w:t xml:space="preserve">; </w:t>
      </w:r>
      <w:r w:rsidRPr="008B3243">
        <w:rPr>
          <w:rStyle w:val="StyleAqua"/>
          <w:color w:val="auto"/>
        </w:rPr>
        <w:t>Gaucherel et al., 2012)</w:t>
      </w:r>
      <w:r w:rsidRPr="008B3243">
        <w:t xml:space="preserve">. Under this convention, a rule is written as </w:t>
      </w:r>
      <w:r w:rsidRPr="008B3243">
        <w:rPr>
          <w:rFonts w:eastAsia="BaskervilleBT"/>
        </w:rPr>
        <w:t>M(</w:t>
      </w:r>
      <w:proofErr w:type="spellStart"/>
      <w:r w:rsidRPr="008B3243">
        <w:rPr>
          <w:rFonts w:eastAsia="BaskervilleBT"/>
        </w:rPr>
        <w:t>lc</w:t>
      </w:r>
      <w:proofErr w:type="spellEnd"/>
      <w:r w:rsidRPr="008B3243">
        <w:rPr>
          <w:rFonts w:eastAsia="BaskervilleBT"/>
        </w:rPr>
        <w:t xml:space="preserve">) </w:t>
      </w:r>
      <w:r w:rsidRPr="008B3243">
        <w:rPr>
          <w:rFonts w:eastAsia="BaskervilleBT"/>
        </w:rPr>
        <w:sym w:font="Wingdings" w:char="F0E0"/>
      </w:r>
      <w:r w:rsidRPr="008B3243">
        <w:rPr>
          <w:rFonts w:eastAsia="BaskervilleBT"/>
        </w:rPr>
        <w:t xml:space="preserve"> M(</w:t>
      </w:r>
      <w:proofErr w:type="spellStart"/>
      <w:r w:rsidRPr="008B3243">
        <w:rPr>
          <w:rFonts w:eastAsia="BaskervilleBT"/>
        </w:rPr>
        <w:t>lc</w:t>
      </w:r>
      <w:proofErr w:type="spellEnd"/>
      <w:r w:rsidRPr="008B3243">
        <w:rPr>
          <w:rFonts w:eastAsia="BaskervilleBT"/>
        </w:rPr>
        <w:t xml:space="preserve">’), M being a module representing a landscape patch, </w:t>
      </w:r>
      <w:proofErr w:type="spellStart"/>
      <w:r w:rsidRPr="008B3243">
        <w:rPr>
          <w:rFonts w:eastAsia="BaskervilleBT"/>
        </w:rPr>
        <w:t>lc</w:t>
      </w:r>
      <w:proofErr w:type="spellEnd"/>
      <w:r w:rsidRPr="008B3243">
        <w:rPr>
          <w:rFonts w:eastAsia="BaskervilleBT"/>
        </w:rPr>
        <w:t xml:space="preserve"> and </w:t>
      </w:r>
      <w:proofErr w:type="spellStart"/>
      <w:r w:rsidRPr="008B3243">
        <w:rPr>
          <w:rFonts w:eastAsia="BaskervilleBT"/>
        </w:rPr>
        <w:t>lc</w:t>
      </w:r>
      <w:proofErr w:type="spellEnd"/>
      <w:r w:rsidRPr="008B3243">
        <w:rPr>
          <w:rFonts w:eastAsia="BaskervilleBT"/>
        </w:rPr>
        <w:t>’ being two different states of its land</w:t>
      </w:r>
      <w:r w:rsidR="0077342F" w:rsidRPr="008B3243">
        <w:rPr>
          <w:rFonts w:eastAsia="BaskervilleBT"/>
        </w:rPr>
        <w:t>-</w:t>
      </w:r>
      <w:r w:rsidRPr="008B3243">
        <w:rPr>
          <w:rFonts w:eastAsia="BaskervilleBT"/>
        </w:rPr>
        <w:t>cover attribute. Conditions (</w:t>
      </w:r>
      <w:proofErr w:type="spellStart"/>
      <w:r w:rsidR="000E25CF" w:rsidRPr="008B3243">
        <w:rPr>
          <w:rFonts w:eastAsia="BaskervilleBT"/>
          <w:i/>
        </w:rPr>
        <w:t>cond</w:t>
      </w:r>
      <w:proofErr w:type="spellEnd"/>
      <w:r w:rsidRPr="008B3243">
        <w:rPr>
          <w:rFonts w:eastAsia="BaskervilleBT"/>
        </w:rPr>
        <w:t>) and probabilities (p</w:t>
      </w:r>
      <w:r w:rsidRPr="008B3243">
        <w:rPr>
          <w:rFonts w:eastAsia="BaskervilleBT"/>
          <w:vertAlign w:val="subscript"/>
        </w:rPr>
        <w:t>0</w:t>
      </w:r>
      <w:r w:rsidRPr="008B3243">
        <w:rPr>
          <w:rFonts w:eastAsia="BaskervilleBT"/>
        </w:rPr>
        <w:t xml:space="preserve">) may be used as follows, </w:t>
      </w:r>
      <w:proofErr w:type="gramStart"/>
      <w:r w:rsidRPr="008B3243">
        <w:rPr>
          <w:rFonts w:eastAsia="BaskervilleBT"/>
        </w:rPr>
        <w:t>M(</w:t>
      </w:r>
      <w:proofErr w:type="spellStart"/>
      <w:proofErr w:type="gramEnd"/>
      <w:r w:rsidRPr="008B3243">
        <w:rPr>
          <w:rFonts w:eastAsia="BaskervilleBT"/>
        </w:rPr>
        <w:t>lc</w:t>
      </w:r>
      <w:proofErr w:type="spellEnd"/>
      <w:r w:rsidRPr="008B3243">
        <w:rPr>
          <w:rFonts w:eastAsia="BaskervilleBT"/>
        </w:rPr>
        <w:t xml:space="preserve">): </w:t>
      </w:r>
      <w:proofErr w:type="spellStart"/>
      <w:r w:rsidR="000E25CF" w:rsidRPr="008B3243">
        <w:rPr>
          <w:rFonts w:eastAsia="BaskervilleBT"/>
          <w:i/>
        </w:rPr>
        <w:t>cond</w:t>
      </w:r>
      <w:proofErr w:type="spellEnd"/>
      <w:r w:rsidRPr="008B3243">
        <w:rPr>
          <w:rFonts w:eastAsia="BaskervilleBT"/>
        </w:rPr>
        <w:t>: p &gt; p</w:t>
      </w:r>
      <w:r w:rsidRPr="008B3243">
        <w:rPr>
          <w:rFonts w:eastAsia="BaskervilleBT"/>
          <w:vertAlign w:val="subscript"/>
        </w:rPr>
        <w:t>0</w:t>
      </w:r>
      <w:r w:rsidRPr="008B3243">
        <w:rPr>
          <w:rFonts w:eastAsia="BaskervilleBT"/>
        </w:rPr>
        <w:t xml:space="preserve"> </w:t>
      </w:r>
      <w:r w:rsidRPr="008B3243">
        <w:rPr>
          <w:rFonts w:eastAsia="BaskervilleBT"/>
        </w:rPr>
        <w:sym w:font="Wingdings" w:char="F0E0"/>
      </w:r>
      <w:r w:rsidRPr="008B3243">
        <w:rPr>
          <w:rFonts w:eastAsia="BaskervilleBT"/>
        </w:rPr>
        <w:t xml:space="preserve"> M(</w:t>
      </w:r>
      <w:proofErr w:type="spellStart"/>
      <w:r w:rsidRPr="008B3243">
        <w:rPr>
          <w:rFonts w:eastAsia="BaskervilleBT"/>
        </w:rPr>
        <w:t>lc</w:t>
      </w:r>
      <w:proofErr w:type="spellEnd"/>
      <w:r w:rsidRPr="008B3243">
        <w:rPr>
          <w:rFonts w:eastAsia="BaskervilleBT"/>
        </w:rPr>
        <w:t xml:space="preserve">’). Conditions are necessary but not sufficient; if the condition </w:t>
      </w:r>
      <w:proofErr w:type="spellStart"/>
      <w:r w:rsidRPr="008B3243">
        <w:rPr>
          <w:rFonts w:eastAsia="BaskervilleBT"/>
          <w:i/>
        </w:rPr>
        <w:t>cond</w:t>
      </w:r>
      <w:proofErr w:type="spellEnd"/>
      <w:r w:rsidRPr="008B3243">
        <w:rPr>
          <w:rFonts w:eastAsia="BaskervilleBT"/>
        </w:rPr>
        <w:t xml:space="preserve"> is fulfilled, the transformation will occur only with the p</w:t>
      </w:r>
      <w:r w:rsidRPr="008B3243">
        <w:rPr>
          <w:rFonts w:eastAsia="BaskervilleBT"/>
          <w:vertAlign w:val="subscript"/>
        </w:rPr>
        <w:t>0</w:t>
      </w:r>
      <w:r w:rsidRPr="008B3243">
        <w:rPr>
          <w:rFonts w:eastAsia="BaskervilleBT"/>
        </w:rPr>
        <w:t xml:space="preserve"> probability. Additional conditions (called “contexts”) can be added. For example, should we want to specify that a given transformation will happen only in farms using a particular production system, we would write: </w:t>
      </w:r>
    </w:p>
    <w:p w:rsidR="009F34A2" w:rsidRPr="008B3243" w:rsidRDefault="009F34A2" w:rsidP="003E5765">
      <w:pPr>
        <w:spacing w:line="276" w:lineRule="auto"/>
        <w:jc w:val="left"/>
        <w:rPr>
          <w:rFonts w:eastAsia="BaskervilleBT"/>
        </w:rPr>
      </w:pPr>
    </w:p>
    <w:p w:rsidR="009F34A2" w:rsidRPr="008B3243" w:rsidRDefault="006D5335" w:rsidP="003E5765">
      <w:pPr>
        <w:spacing w:line="276" w:lineRule="auto"/>
        <w:jc w:val="left"/>
        <w:rPr>
          <w:rFonts w:eastAsia="BaskervilleBT"/>
        </w:rPr>
      </w:pPr>
      <w:proofErr w:type="gramStart"/>
      <w:r w:rsidRPr="008B3243">
        <w:rPr>
          <w:rFonts w:eastAsia="BaskervilleBT"/>
        </w:rPr>
        <w:t>F(</w:t>
      </w:r>
      <w:proofErr w:type="gramEnd"/>
      <w:r w:rsidRPr="008B3243">
        <w:rPr>
          <w:rFonts w:eastAsia="BaskervilleBT"/>
        </w:rPr>
        <w:t>f) &lt; M(</w:t>
      </w:r>
      <w:proofErr w:type="spellStart"/>
      <w:r w:rsidRPr="008B3243">
        <w:rPr>
          <w:rFonts w:eastAsia="BaskervilleBT"/>
        </w:rPr>
        <w:t>lc</w:t>
      </w:r>
      <w:proofErr w:type="spellEnd"/>
      <w:r w:rsidRPr="008B3243">
        <w:rPr>
          <w:rFonts w:eastAsia="BaskervilleBT"/>
        </w:rPr>
        <w:t xml:space="preserve">) </w:t>
      </w:r>
      <w:r w:rsidRPr="008B3243">
        <w:rPr>
          <w:rFonts w:eastAsia="BaskervilleBT"/>
        </w:rPr>
        <w:sym w:font="Wingdings" w:char="F0E0"/>
      </w:r>
      <w:r w:rsidRPr="008B3243">
        <w:rPr>
          <w:rFonts w:eastAsia="BaskervilleBT"/>
        </w:rPr>
        <w:t xml:space="preserve"> M(</w:t>
      </w:r>
      <w:proofErr w:type="spellStart"/>
      <w:r w:rsidRPr="008B3243">
        <w:rPr>
          <w:rFonts w:eastAsia="BaskervilleBT"/>
        </w:rPr>
        <w:t>lc</w:t>
      </w:r>
      <w:proofErr w:type="spellEnd"/>
      <w:r w:rsidRPr="008B3243">
        <w:rPr>
          <w:rFonts w:eastAsia="BaskervilleBT"/>
        </w:rPr>
        <w:t xml:space="preserve">’) where the farm F has the production system f. If we wanted to specify that the patch needs a specific neighbour for the transformation to happen, we would write </w:t>
      </w:r>
      <w:proofErr w:type="gramStart"/>
      <w:r w:rsidRPr="008B3243">
        <w:rPr>
          <w:rFonts w:eastAsia="BaskervilleBT"/>
        </w:rPr>
        <w:t>M’(</w:t>
      </w:r>
      <w:proofErr w:type="spellStart"/>
      <w:proofErr w:type="gramEnd"/>
      <w:r w:rsidRPr="008B3243">
        <w:rPr>
          <w:rFonts w:eastAsia="BaskervilleBT"/>
        </w:rPr>
        <w:t>lc</w:t>
      </w:r>
      <w:proofErr w:type="spellEnd"/>
      <w:r w:rsidRPr="008B3243">
        <w:rPr>
          <w:rFonts w:eastAsia="BaskervilleBT"/>
        </w:rPr>
        <w:t xml:space="preserve">’’) </w:t>
      </w:r>
      <w:r w:rsidRPr="008B3243">
        <w:rPr>
          <w:rFonts w:eastAsia="BaskervilleBT"/>
        </w:rPr>
        <w:sym w:font="Symbol" w:char="F0BB"/>
      </w:r>
      <w:r w:rsidRPr="008B3243">
        <w:rPr>
          <w:rFonts w:eastAsia="BaskervilleBT"/>
        </w:rPr>
        <w:t xml:space="preserve"> M(</w:t>
      </w:r>
      <w:proofErr w:type="spellStart"/>
      <w:r w:rsidRPr="008B3243">
        <w:rPr>
          <w:rFonts w:eastAsia="BaskervilleBT"/>
        </w:rPr>
        <w:t>lc</w:t>
      </w:r>
      <w:proofErr w:type="spellEnd"/>
      <w:r w:rsidRPr="008B3243">
        <w:rPr>
          <w:rFonts w:eastAsia="BaskervilleBT"/>
        </w:rPr>
        <w:t xml:space="preserve">) </w:t>
      </w:r>
      <w:r w:rsidRPr="008B3243">
        <w:rPr>
          <w:rFonts w:eastAsia="BaskervilleBT"/>
        </w:rPr>
        <w:sym w:font="Wingdings" w:char="F0E0"/>
      </w:r>
      <w:r w:rsidRPr="008B3243">
        <w:rPr>
          <w:rFonts w:eastAsia="BaskervilleBT"/>
        </w:rPr>
        <w:t xml:space="preserve"> M(</w:t>
      </w:r>
      <w:proofErr w:type="spellStart"/>
      <w:r w:rsidRPr="008B3243">
        <w:rPr>
          <w:rFonts w:eastAsia="BaskervilleBT"/>
        </w:rPr>
        <w:t>lc</w:t>
      </w:r>
      <w:proofErr w:type="spellEnd"/>
      <w:r w:rsidRPr="008B3243">
        <w:rPr>
          <w:rFonts w:eastAsia="BaskervilleBT"/>
        </w:rPr>
        <w:t xml:space="preserve">’) where the neighbouring patch M’ has the land cover </w:t>
      </w:r>
      <w:proofErr w:type="spellStart"/>
      <w:r w:rsidRPr="008B3243">
        <w:rPr>
          <w:rFonts w:eastAsia="BaskervilleBT"/>
        </w:rPr>
        <w:t>lc</w:t>
      </w:r>
      <w:proofErr w:type="spellEnd"/>
      <w:r w:rsidRPr="008B3243">
        <w:rPr>
          <w:rFonts w:eastAsia="BaskervilleBT"/>
        </w:rPr>
        <w:t xml:space="preserve">’’. </w:t>
      </w:r>
      <w:r w:rsidR="00847481" w:rsidRPr="008B3243">
        <w:rPr>
          <w:rFonts w:eastAsia="BaskervilleBT"/>
        </w:rPr>
        <w:t>In the present instance, all</w:t>
      </w:r>
      <w:r w:rsidRPr="008B3243">
        <w:rPr>
          <w:rFonts w:eastAsia="BaskervilleBT"/>
        </w:rPr>
        <w:t xml:space="preserve"> the information on conditions, probability</w:t>
      </w:r>
      <w:r w:rsidR="00847481" w:rsidRPr="008B3243">
        <w:rPr>
          <w:rFonts w:eastAsia="BaskervilleBT"/>
        </w:rPr>
        <w:t>,</w:t>
      </w:r>
      <w:r w:rsidRPr="008B3243">
        <w:rPr>
          <w:rFonts w:eastAsia="BaskervilleBT"/>
        </w:rPr>
        <w:t xml:space="preserve"> and patch transformations was derived from the interviews, while </w:t>
      </w:r>
      <w:r w:rsidR="00847481" w:rsidRPr="008B3243">
        <w:rPr>
          <w:rFonts w:eastAsia="BaskervilleBT"/>
        </w:rPr>
        <w:t xml:space="preserve">that on </w:t>
      </w:r>
      <w:r w:rsidRPr="008B3243">
        <w:rPr>
          <w:rFonts w:eastAsia="BaskervilleBT"/>
        </w:rPr>
        <w:t xml:space="preserve">historical </w:t>
      </w:r>
      <w:proofErr w:type="gramStart"/>
      <w:r w:rsidRPr="008B3243">
        <w:rPr>
          <w:rFonts w:eastAsia="BaskervilleBT"/>
        </w:rPr>
        <w:t>transformations</w:t>
      </w:r>
      <w:proofErr w:type="gramEnd"/>
      <w:r w:rsidRPr="008B3243">
        <w:rPr>
          <w:rFonts w:eastAsia="BaskervilleBT"/>
        </w:rPr>
        <w:t xml:space="preserve"> </w:t>
      </w:r>
      <w:r w:rsidR="00847481" w:rsidRPr="008B3243">
        <w:rPr>
          <w:rFonts w:eastAsia="BaskervilleBT"/>
        </w:rPr>
        <w:t>was</w:t>
      </w:r>
      <w:r w:rsidRPr="008B3243">
        <w:rPr>
          <w:rFonts w:eastAsia="BaskervilleBT"/>
        </w:rPr>
        <w:t xml:space="preserve"> provided by interviews and by the survey maps. </w:t>
      </w:r>
    </w:p>
    <w:p w:rsidR="009F34A2" w:rsidRPr="008B3243" w:rsidRDefault="009F34A2" w:rsidP="003E5765">
      <w:pPr>
        <w:spacing w:line="276" w:lineRule="auto"/>
        <w:jc w:val="left"/>
        <w:rPr>
          <w:rFonts w:eastAsia="BaskervilleBT"/>
        </w:rPr>
      </w:pPr>
    </w:p>
    <w:p w:rsidR="009F34A2" w:rsidRPr="008B3243" w:rsidRDefault="006D5335" w:rsidP="003E5765">
      <w:pPr>
        <w:spacing w:line="276" w:lineRule="auto"/>
        <w:jc w:val="left"/>
      </w:pPr>
      <w:r w:rsidRPr="008B3243">
        <w:t xml:space="preserve">To finalize the modelling of the landscape of Kottoli, we needed three additional maps (Fig. </w:t>
      </w:r>
      <w:r w:rsidR="004B4375">
        <w:t>S</w:t>
      </w:r>
      <w:r w:rsidR="00BD5B5E">
        <w:t>2</w:t>
      </w:r>
      <w:r w:rsidRPr="008B3243">
        <w:t xml:space="preserve">). The 2011 map of Kottoli was drawn based on field surveys and </w:t>
      </w:r>
      <w:proofErr w:type="spellStart"/>
      <w:r w:rsidRPr="008B3243">
        <w:t>groundtruthing</w:t>
      </w:r>
      <w:proofErr w:type="spellEnd"/>
      <w:r w:rsidRPr="008B3243">
        <w:t xml:space="preserve"> as explained before. We used this map to validate the model by an accurate local and multiscale comparison, as explained in the next section (Fig. </w:t>
      </w:r>
      <w:r w:rsidR="004B4375">
        <w:t>S</w:t>
      </w:r>
      <w:r w:rsidR="00BD5B5E">
        <w:t>2</w:t>
      </w:r>
      <w:r w:rsidRPr="008B3243">
        <w:t xml:space="preserve">a). The 1950 map of Kottoli, featuring a mosaic of terraces and private forest patches (the oldest coffee plantations were 59 years old), was reconstructed from the 2011 map and interviews, as no other information was available </w:t>
      </w:r>
      <w:r w:rsidRPr="008B3243">
        <w:lastRenderedPageBreak/>
        <w:t>apart from the poor</w:t>
      </w:r>
      <w:r w:rsidR="0077342F" w:rsidRPr="008B3243">
        <w:t>-</w:t>
      </w:r>
      <w:r w:rsidRPr="008B3243">
        <w:t xml:space="preserve">quality 1917 survey map. </w:t>
      </w:r>
      <w:r w:rsidR="007D6FE5" w:rsidRPr="008B3243">
        <w:t xml:space="preserve">We are conscious that this map is an approximation only, but several simulation tests indicated that our results were not sensitive to the exact form of this map. </w:t>
      </w:r>
      <w:r w:rsidRPr="008B3243">
        <w:t>We identified two hydromorphic zones: the river banks, defined as a 300m buffer from the river bed based on the farmers</w:t>
      </w:r>
      <w:r w:rsidR="0077342F" w:rsidRPr="008B3243">
        <w:t>’</w:t>
      </w:r>
      <w:r w:rsidRPr="008B3243">
        <w:t xml:space="preserve"> indications, and the dry zones. Finally, we built a farm layer on the basis of a statistical analysis of farmer interviews (Fig. </w:t>
      </w:r>
      <w:r w:rsidR="004B4375">
        <w:t>S</w:t>
      </w:r>
      <w:r w:rsidR="00BD5B5E">
        <w:t>2</w:t>
      </w:r>
      <w:r w:rsidRPr="008B3243">
        <w:t xml:space="preserve">e). The farm typology map links together farm polygons related to one of the four farm groups extracted from the PCA </w:t>
      </w:r>
      <w:r w:rsidR="00DB4853" w:rsidRPr="008B3243">
        <w:t>analysis</w:t>
      </w:r>
      <w:r w:rsidRPr="008B3243">
        <w:t xml:space="preserve">. A simple algorithm based on a minimal distance association was developed to locate the farmers, their farm </w:t>
      </w:r>
      <w:r w:rsidR="003640B7" w:rsidRPr="008B3243">
        <w:t xml:space="preserve">group, </w:t>
      </w:r>
      <w:r w:rsidRPr="008B3243">
        <w:t xml:space="preserve">and the </w:t>
      </w:r>
      <w:r w:rsidR="003640B7" w:rsidRPr="008B3243">
        <w:t>area</w:t>
      </w:r>
      <w:r w:rsidRPr="008B3243">
        <w:t xml:space="preserve"> of coffee and terraces they </w:t>
      </w:r>
      <w:r w:rsidR="00CC6855" w:rsidRPr="008B3243">
        <w:t>possessed</w:t>
      </w:r>
      <w:r w:rsidRPr="008B3243">
        <w:t xml:space="preserve">. </w:t>
      </w:r>
    </w:p>
    <w:p w:rsidR="009F34A2" w:rsidRPr="008B3243" w:rsidRDefault="009F34A2" w:rsidP="003E5765">
      <w:pPr>
        <w:spacing w:line="276" w:lineRule="auto"/>
        <w:ind w:firstLine="720"/>
        <w:jc w:val="left"/>
      </w:pPr>
    </w:p>
    <w:p w:rsidR="009F34A2" w:rsidRPr="008B3243" w:rsidRDefault="006D5335" w:rsidP="00942B4C">
      <w:pPr>
        <w:spacing w:line="276" w:lineRule="auto"/>
        <w:jc w:val="left"/>
      </w:pPr>
      <w:r w:rsidRPr="008B3243">
        <w:t>A 5-year time</w:t>
      </w:r>
      <w:r w:rsidR="003640B7" w:rsidRPr="008B3243">
        <w:t xml:space="preserve"> </w:t>
      </w:r>
      <w:r w:rsidRPr="008B3243">
        <w:t xml:space="preserve">step was chosen, </w:t>
      </w:r>
      <w:r w:rsidR="008059E1" w:rsidRPr="008B3243">
        <w:t xml:space="preserve">and our </w:t>
      </w:r>
      <w:r w:rsidRPr="008B3243">
        <w:t>simulation needed 12 time</w:t>
      </w:r>
      <w:r w:rsidR="003640B7" w:rsidRPr="008B3243">
        <w:t xml:space="preserve"> </w:t>
      </w:r>
      <w:r w:rsidRPr="008B3243">
        <w:t>steps to cover the time</w:t>
      </w:r>
      <w:r w:rsidR="0077342F" w:rsidRPr="008B3243">
        <w:t xml:space="preserve"> </w:t>
      </w:r>
      <w:r w:rsidRPr="008B3243">
        <w:t>span from 1950 to 2010. We found this time</w:t>
      </w:r>
      <w:r w:rsidR="003640B7" w:rsidRPr="008B3243">
        <w:t xml:space="preserve"> </w:t>
      </w:r>
      <w:r w:rsidRPr="008B3243">
        <w:t xml:space="preserve">step to be a good compromise between detail (a time span </w:t>
      </w:r>
      <w:r w:rsidR="008059E1" w:rsidRPr="008B3243">
        <w:t>short enough to allow</w:t>
      </w:r>
      <w:r w:rsidRPr="008B3243">
        <w:t xml:space="preserve"> </w:t>
      </w:r>
      <w:r w:rsidR="008059E1" w:rsidRPr="008B3243">
        <w:t xml:space="preserve">a modelling of comparatively </w:t>
      </w:r>
      <w:r w:rsidRPr="008B3243">
        <w:t>minute transitions</w:t>
      </w:r>
      <w:r w:rsidR="008059E1" w:rsidRPr="008B3243">
        <w:t xml:space="preserve">, a task that would have been unwieldy if </w:t>
      </w:r>
      <w:r w:rsidRPr="008B3243">
        <w:t xml:space="preserve">forcing down probabilities </w:t>
      </w:r>
      <w:r w:rsidR="00805B1B" w:rsidRPr="008B3243">
        <w:t>had been resorted to</w:t>
      </w:r>
      <w:r w:rsidRPr="008B3243">
        <w:t xml:space="preserve">) and explanation power (a larger time </w:t>
      </w:r>
      <w:r w:rsidR="00805B1B" w:rsidRPr="008B3243">
        <w:t xml:space="preserve">span </w:t>
      </w:r>
      <w:r w:rsidRPr="008B3243">
        <w:t>clubbing together several processes</w:t>
      </w:r>
      <w:r w:rsidR="008059E1" w:rsidRPr="008B3243">
        <w:t>,</w:t>
      </w:r>
      <w:r w:rsidRPr="008B3243">
        <w:t xml:space="preserve"> </w:t>
      </w:r>
      <w:r w:rsidR="008059E1" w:rsidRPr="008B3243">
        <w:t>thereby</w:t>
      </w:r>
      <w:r w:rsidRPr="008B3243">
        <w:t xml:space="preserve"> making the end result difficult to understand). Several conditions were applied to the Kottoli modelling: (1) multilevel condition: a rule applies if the patch belongs to a particular (farm or soil) type; (2) time validity: the rule applies for a specific duration; and (3) neighbourhood relations: the rule applies only if the patch is contiguous with other specific land covers. The two latter conditions</w:t>
      </w:r>
      <w:r w:rsidR="004628FB" w:rsidRPr="008B3243">
        <w:t xml:space="preserve"> only</w:t>
      </w:r>
      <w:r w:rsidRPr="008B3243">
        <w:t xml:space="preserve"> have already been used in earlier simulations </w:t>
      </w:r>
      <w:r w:rsidRPr="008B3243">
        <w:rPr>
          <w:rStyle w:val="StyleAqua"/>
          <w:color w:val="auto"/>
        </w:rPr>
        <w:t>(</w:t>
      </w:r>
      <w:proofErr w:type="spellStart"/>
      <w:r w:rsidRPr="008B3243">
        <w:rPr>
          <w:rStyle w:val="StyleAqua"/>
          <w:color w:val="auto"/>
        </w:rPr>
        <w:t>Castellazzi</w:t>
      </w:r>
      <w:proofErr w:type="spellEnd"/>
      <w:r w:rsidRPr="008B3243">
        <w:rPr>
          <w:rStyle w:val="StyleAqua"/>
          <w:color w:val="auto"/>
        </w:rPr>
        <w:t xml:space="preserve"> et al., 2007; Gaucherel et al., 2012)</w:t>
      </w:r>
      <w:r w:rsidRPr="008B3243">
        <w:t xml:space="preserve">. Composition changes (rotations) were developed for Kottoli dynamics. A trial-and-error calibration was performed on the basis of some composition indices (to quantify how close simulated compositions were to the observed </w:t>
      </w:r>
      <w:r w:rsidR="003640B7" w:rsidRPr="008B3243">
        <w:t>composition</w:t>
      </w:r>
      <w:r w:rsidRPr="008B3243">
        <w:t xml:space="preserve">) in order to define probabilities associated with each rule. This stage was helped by a detailed elasticity test highlighting the </w:t>
      </w:r>
      <w:r w:rsidR="000F747A" w:rsidRPr="008B3243">
        <w:t xml:space="preserve">most </w:t>
      </w:r>
      <w:r w:rsidR="000E25CF" w:rsidRPr="008B3243">
        <w:t xml:space="preserve">sensitive </w:t>
      </w:r>
      <w:r w:rsidR="000F747A" w:rsidRPr="008B3243">
        <w:t xml:space="preserve">driving </w:t>
      </w:r>
      <w:r w:rsidR="000E25CF" w:rsidRPr="008B3243">
        <w:t>rules</w:t>
      </w:r>
      <w:r w:rsidRPr="008B3243">
        <w:t xml:space="preserve"> to be finely tuned. We checked that simulations were stable for slightly different probabilities. Finally, we tested scenario simulations of increasing complexity to mimic more and more realistic driving rules and dynamics (the last one being named </w:t>
      </w:r>
      <w:proofErr w:type="spellStart"/>
      <w:r w:rsidRPr="008B3243">
        <w:t>H</w:t>
      </w:r>
      <w:r w:rsidRPr="008B3243">
        <w:rPr>
          <w:vertAlign w:val="subscript"/>
        </w:rPr>
        <w:t>f</w:t>
      </w:r>
      <w:proofErr w:type="spellEnd"/>
      <w:r w:rsidRPr="008B3243">
        <w:t xml:space="preserve">). </w:t>
      </w:r>
    </w:p>
    <w:p w:rsidR="00942B4C" w:rsidRDefault="00942B4C" w:rsidP="00942B4C">
      <w:pPr>
        <w:spacing w:line="276" w:lineRule="auto"/>
        <w:jc w:val="left"/>
      </w:pPr>
    </w:p>
    <w:p w:rsidR="001C1DE5" w:rsidRPr="005015DE" w:rsidRDefault="001C1DE5" w:rsidP="001C1DE5">
      <w:pPr>
        <w:spacing w:line="276" w:lineRule="auto"/>
      </w:pPr>
      <w:r w:rsidRPr="005015DE">
        <w:t xml:space="preserve">The language </w:t>
      </w:r>
      <w:r>
        <w:t xml:space="preserve">(mathematical) </w:t>
      </w:r>
      <w:r w:rsidRPr="005015DE">
        <w:t xml:space="preserve">formalization is an important result in itself. As an illustration, three contrasting driving rules out of 18 (Table 1) are set out here. </w:t>
      </w:r>
    </w:p>
    <w:p w:rsidR="001C1DE5" w:rsidRPr="005015DE" w:rsidRDefault="001C1DE5" w:rsidP="001C1DE5">
      <w:pPr>
        <w:spacing w:line="276" w:lineRule="auto"/>
      </w:pPr>
      <w:r w:rsidRPr="005015DE">
        <w:t>Rule n°1.</w:t>
      </w:r>
      <w:r w:rsidRPr="005015DE">
        <w:tab/>
      </w:r>
      <w:proofErr w:type="gramStart"/>
      <w:r w:rsidRPr="005015DE">
        <w:t>M(</w:t>
      </w:r>
      <w:proofErr w:type="spellStart"/>
      <w:proofErr w:type="gramEnd"/>
      <w:r w:rsidRPr="005015DE">
        <w:t>lc</w:t>
      </w:r>
      <w:proofErr w:type="spellEnd"/>
      <w:r w:rsidRPr="005015DE">
        <w:t>) : (</w:t>
      </w:r>
      <w:proofErr w:type="spellStart"/>
      <w:r w:rsidRPr="005015DE">
        <w:t>lc</w:t>
      </w:r>
      <w:proofErr w:type="spellEnd"/>
      <w:r w:rsidRPr="005015DE">
        <w:t xml:space="preserve"> = 4) : p = 0.18 </w:t>
      </w:r>
      <w:r w:rsidRPr="005015DE">
        <w:sym w:font="Wingdings" w:char="F0E0"/>
      </w:r>
      <w:r w:rsidRPr="005015DE">
        <w:t xml:space="preserve"> M(5)</w:t>
      </w:r>
      <w:r w:rsidRPr="005015DE">
        <w:tab/>
      </w:r>
    </w:p>
    <w:p w:rsidR="001C1DE5" w:rsidRPr="005015DE" w:rsidRDefault="001C1DE5" w:rsidP="001C1DE5">
      <w:pPr>
        <w:spacing w:line="276" w:lineRule="auto"/>
      </w:pPr>
      <w:r w:rsidRPr="005015DE">
        <w:t>This rule models the conversion of private forests (</w:t>
      </w:r>
      <w:proofErr w:type="spellStart"/>
      <w:r w:rsidRPr="005015DE">
        <w:t>lc</w:t>
      </w:r>
      <w:proofErr w:type="spellEnd"/>
      <w:r w:rsidRPr="005015DE">
        <w:t xml:space="preserve"> = 4) into jungle coffee plantations (</w:t>
      </w:r>
      <w:proofErr w:type="spellStart"/>
      <w:r w:rsidRPr="005015DE">
        <w:t>lc</w:t>
      </w:r>
      <w:proofErr w:type="spellEnd"/>
      <w:r w:rsidRPr="005015DE">
        <w:t xml:space="preserve"> = 5). It applies over 18% randomly chosen private forest patches at each time step of the simulations. Each rule is fixed during a simulation, as are their probabilities and conditions. Only the rule implementation is allowed to vary, depending on the period and events involved in each scenario. All rules were applied to the previously fixed time step state. </w:t>
      </w:r>
    </w:p>
    <w:p w:rsidR="001C1DE5" w:rsidRPr="005015DE" w:rsidRDefault="001C1DE5" w:rsidP="001C1DE5">
      <w:pPr>
        <w:spacing w:line="276" w:lineRule="auto"/>
      </w:pPr>
      <w:r w:rsidRPr="005015DE">
        <w:t>Rule n°5.</w:t>
      </w:r>
      <w:r w:rsidRPr="005015DE">
        <w:tab/>
      </w:r>
      <w:proofErr w:type="gramStart"/>
      <w:r w:rsidRPr="005015DE">
        <w:t>F(</w:t>
      </w:r>
      <w:proofErr w:type="gramEnd"/>
      <w:r w:rsidRPr="005015DE">
        <w:t>2) &lt; M(</w:t>
      </w:r>
      <w:proofErr w:type="spellStart"/>
      <w:r w:rsidRPr="005015DE">
        <w:t>lc</w:t>
      </w:r>
      <w:proofErr w:type="spellEnd"/>
      <w:r w:rsidRPr="005015DE">
        <w:t>) : (</w:t>
      </w:r>
      <w:proofErr w:type="spellStart"/>
      <w:r w:rsidRPr="005015DE">
        <w:t>lc</w:t>
      </w:r>
      <w:proofErr w:type="spellEnd"/>
      <w:r w:rsidRPr="005015DE">
        <w:t xml:space="preserve"> = 6) &amp; (D &gt; 4) : p = 0.4 </w:t>
      </w:r>
      <w:r w:rsidRPr="005015DE">
        <w:sym w:font="Wingdings" w:char="F0E0"/>
      </w:r>
      <w:r w:rsidRPr="005015DE">
        <w:t xml:space="preserve"> M(7)</w:t>
      </w:r>
      <w:r w:rsidRPr="005015DE">
        <w:tab/>
      </w:r>
      <w:r w:rsidRPr="005015DE">
        <w:tab/>
      </w:r>
    </w:p>
    <w:p w:rsidR="001C1DE5" w:rsidRPr="005015DE" w:rsidRDefault="001C1DE5" w:rsidP="001C1DE5">
      <w:pPr>
        <w:spacing w:line="276" w:lineRule="auto"/>
      </w:pPr>
      <w:r w:rsidRPr="005015DE">
        <w:t>This rule applies to open jungle coffee patches (</w:t>
      </w:r>
      <w:proofErr w:type="spellStart"/>
      <w:r w:rsidRPr="005015DE">
        <w:t>lc</w:t>
      </w:r>
      <w:proofErr w:type="spellEnd"/>
      <w:r w:rsidRPr="005015DE">
        <w:t>=6) belonging to the farm group number 2 (</w:t>
      </w:r>
      <w:proofErr w:type="gramStart"/>
      <w:r w:rsidRPr="005015DE">
        <w:t>F(</w:t>
      </w:r>
      <w:proofErr w:type="gramEnd"/>
      <w:r w:rsidRPr="005015DE">
        <w:t>2)), and starts at time step n°5 (D</w:t>
      </w:r>
      <w:r>
        <w:t xml:space="preserve"> </w:t>
      </w:r>
      <w:r w:rsidRPr="005015DE">
        <w:t>&gt;</w:t>
      </w:r>
      <w:r>
        <w:t xml:space="preserve"> </w:t>
      </w:r>
      <w:r w:rsidRPr="005015DE">
        <w:t xml:space="preserve">4, </w:t>
      </w:r>
      <w:r w:rsidRPr="001163B4">
        <w:rPr>
          <w:i/>
        </w:rPr>
        <w:t>i.e.</w:t>
      </w:r>
      <w:r w:rsidRPr="005015DE">
        <w:t xml:space="preserve"> 1970). Only 40% of these randomly chosen patches will turn into Mixed Jungle-Silver oak coffee (</w:t>
      </w:r>
      <w:proofErr w:type="spellStart"/>
      <w:r w:rsidRPr="005015DE">
        <w:t>lc</w:t>
      </w:r>
      <w:proofErr w:type="spellEnd"/>
      <w:r w:rsidRPr="005015DE">
        <w:t xml:space="preserve"> = 7).</w:t>
      </w:r>
    </w:p>
    <w:p w:rsidR="001C1DE5" w:rsidRPr="005015DE" w:rsidRDefault="001C1DE5" w:rsidP="001C1DE5">
      <w:pPr>
        <w:spacing w:line="276" w:lineRule="auto"/>
      </w:pPr>
      <w:r w:rsidRPr="005015DE">
        <w:t>Rule n°11.</w:t>
      </w:r>
      <w:r w:rsidRPr="005015DE">
        <w:tab/>
      </w:r>
      <w:proofErr w:type="gramStart"/>
      <w:r w:rsidRPr="005015DE">
        <w:t>F(</w:t>
      </w:r>
      <w:proofErr w:type="gramEnd"/>
      <w:r w:rsidRPr="005015DE">
        <w:t>1) &amp; H(0) &lt; M(</w:t>
      </w:r>
      <w:proofErr w:type="spellStart"/>
      <w:r w:rsidRPr="005015DE">
        <w:t>lc</w:t>
      </w:r>
      <w:proofErr w:type="spellEnd"/>
      <w:r w:rsidRPr="005015DE">
        <w:t xml:space="preserve">) </w:t>
      </w:r>
      <w:r w:rsidRPr="005015DE">
        <w:sym w:font="Symbol" w:char="F0BB"/>
      </w:r>
      <w:r w:rsidRPr="005015DE">
        <w:t xml:space="preserve"> M(2|4|5|6|7|8|9) : (</w:t>
      </w:r>
      <w:proofErr w:type="spellStart"/>
      <w:r w:rsidRPr="005015DE">
        <w:t>lc</w:t>
      </w:r>
      <w:proofErr w:type="spellEnd"/>
      <w:r w:rsidRPr="005015DE">
        <w:t xml:space="preserve"> = 1) &amp; (D &gt; 9) : p = 0.1</w:t>
      </w:r>
      <w:r w:rsidRPr="005015DE">
        <w:sym w:font="Wingdings" w:char="F0E0"/>
      </w:r>
      <w:r w:rsidRPr="005015DE">
        <w:t xml:space="preserve"> M(2)</w:t>
      </w:r>
    </w:p>
    <w:p w:rsidR="001C1DE5" w:rsidRPr="008B3243" w:rsidRDefault="001C1DE5" w:rsidP="001C1DE5">
      <w:pPr>
        <w:spacing w:line="276" w:lineRule="auto"/>
      </w:pPr>
      <w:r w:rsidRPr="005015DE">
        <w:t xml:space="preserve">The </w:t>
      </w:r>
      <w:proofErr w:type="gramStart"/>
      <w:r w:rsidRPr="005015DE">
        <w:t>H(</w:t>
      </w:r>
      <w:proofErr w:type="gramEnd"/>
      <w:r w:rsidRPr="005015DE">
        <w:t>0) condition (hydromorphic layer, class 0: paddy can be converted) imposes the condition that the randomly selected rice field (</w:t>
      </w:r>
      <w:proofErr w:type="spellStart"/>
      <w:r w:rsidRPr="005015DE">
        <w:t>lc</w:t>
      </w:r>
      <w:proofErr w:type="spellEnd"/>
      <w:r w:rsidRPr="005015DE">
        <w:t xml:space="preserve"> = 1) patch should be distant enough from </w:t>
      </w:r>
      <w:r w:rsidRPr="005015DE">
        <w:lastRenderedPageBreak/>
        <w:t>the river. In the event that this patch is contiguous with either converted rice fields or forested plots (</w:t>
      </w:r>
      <w:r w:rsidRPr="005015DE">
        <w:sym w:font="Symbol" w:char="F0BB"/>
      </w:r>
      <w:r w:rsidRPr="005015DE">
        <w:t xml:space="preserve"> </w:t>
      </w:r>
      <w:proofErr w:type="gramStart"/>
      <w:r w:rsidRPr="005015DE">
        <w:t>M(</w:t>
      </w:r>
      <w:proofErr w:type="gramEnd"/>
      <w:r w:rsidRPr="005015DE">
        <w:t>2|4|5|6|7|8|9), it can be converted (</w:t>
      </w:r>
      <w:proofErr w:type="spellStart"/>
      <w:r w:rsidRPr="005015DE">
        <w:t>lc</w:t>
      </w:r>
      <w:proofErr w:type="spellEnd"/>
      <w:r w:rsidRPr="005015DE">
        <w:t xml:space="preserve"> = 2). This rule starts at the step 10, and has 10% chance to affect any eligible cultivated rice field. The final simulated Kottoli map (Fig. </w:t>
      </w:r>
      <w:r>
        <w:t>2</w:t>
      </w:r>
      <w:r w:rsidRPr="005015DE">
        <w:t xml:space="preserve">f) has been computed on the basis of these rules (Fig. </w:t>
      </w:r>
      <w:proofErr w:type="gramStart"/>
      <w:r>
        <w:t>S2</w:t>
      </w:r>
      <w:r w:rsidRPr="005015DE">
        <w:t xml:space="preserve">) and the initial available maps (Fig. </w:t>
      </w:r>
      <w:r>
        <w:t>2</w:t>
      </w:r>
      <w:r w:rsidRPr="005015DE">
        <w:t>a-e).</w:t>
      </w:r>
      <w:proofErr w:type="gramEnd"/>
      <w:r w:rsidRPr="005015DE">
        <w:t xml:space="preserve"> </w:t>
      </w:r>
    </w:p>
    <w:p w:rsidR="003048DE" w:rsidRPr="008B3243" w:rsidRDefault="003048DE" w:rsidP="003E5765">
      <w:pPr>
        <w:spacing w:line="240" w:lineRule="auto"/>
        <w:jc w:val="left"/>
        <w:rPr>
          <w:noProof/>
        </w:rPr>
      </w:pPr>
      <w:bookmarkStart w:id="1" w:name="_GoBack"/>
      <w:bookmarkEnd w:id="1"/>
      <w:r w:rsidRPr="008B3243">
        <w:br w:type="page"/>
      </w:r>
    </w:p>
    <w:p w:rsidR="009F34A2" w:rsidRPr="008B3243" w:rsidRDefault="00B85AFE" w:rsidP="003E5765">
      <w:pPr>
        <w:pStyle w:val="Titre3"/>
        <w:spacing w:line="276" w:lineRule="auto"/>
        <w:jc w:val="left"/>
        <w:rPr>
          <w:rFonts w:cs="Times New Roman"/>
          <w:szCs w:val="24"/>
          <w:lang w:val="en-US"/>
        </w:rPr>
      </w:pPr>
      <w:proofErr w:type="gramStart"/>
      <w:r w:rsidRPr="008B3243">
        <w:rPr>
          <w:rFonts w:cs="Times New Roman"/>
          <w:szCs w:val="24"/>
          <w:lang w:val="en-US"/>
        </w:rPr>
        <w:lastRenderedPageBreak/>
        <w:t>Appendix S</w:t>
      </w:r>
      <w:r w:rsidR="00ED3246" w:rsidRPr="008B3243">
        <w:rPr>
          <w:rFonts w:cs="Times New Roman"/>
          <w:szCs w:val="24"/>
          <w:lang w:val="en-US"/>
        </w:rPr>
        <w:t>3</w:t>
      </w:r>
      <w:r w:rsidRPr="008B3243">
        <w:rPr>
          <w:rFonts w:cs="Times New Roman"/>
          <w:szCs w:val="24"/>
          <w:lang w:val="en-US"/>
        </w:rPr>
        <w:t>.</w:t>
      </w:r>
      <w:proofErr w:type="gramEnd"/>
      <w:r w:rsidRPr="008B3243">
        <w:rPr>
          <w:rFonts w:cs="Times New Roman"/>
          <w:szCs w:val="24"/>
          <w:lang w:val="en-US"/>
        </w:rPr>
        <w:t xml:space="preserve"> </w:t>
      </w:r>
      <w:r w:rsidR="006D5335" w:rsidRPr="008B3243">
        <w:rPr>
          <w:rFonts w:cs="Times New Roman"/>
          <w:szCs w:val="24"/>
          <w:lang w:val="en-US"/>
        </w:rPr>
        <w:t>The MHM and CMP spatial analyses</w:t>
      </w:r>
    </w:p>
    <w:p w:rsidR="009F34A2" w:rsidRPr="008B3243" w:rsidRDefault="009F34A2" w:rsidP="003E5765">
      <w:pPr>
        <w:spacing w:line="276" w:lineRule="auto"/>
        <w:jc w:val="left"/>
        <w:rPr>
          <w:lang w:val="en-US"/>
        </w:rPr>
      </w:pPr>
    </w:p>
    <w:p w:rsidR="009F34A2" w:rsidRPr="008B3243" w:rsidRDefault="00ED3246" w:rsidP="003E5765">
      <w:pPr>
        <w:spacing w:line="276" w:lineRule="auto"/>
        <w:jc w:val="left"/>
      </w:pPr>
      <w:r w:rsidRPr="008B3243">
        <w:t xml:space="preserve">The </w:t>
      </w:r>
      <w:r w:rsidR="00996CB9" w:rsidRPr="008B3243">
        <w:rPr>
          <w:rStyle w:val="StyleAqua"/>
          <w:color w:val="auto"/>
        </w:rPr>
        <w:t xml:space="preserve">MHM and CMP </w:t>
      </w:r>
      <w:r w:rsidRPr="008B3243">
        <w:rPr>
          <w:rStyle w:val="StyleAqua"/>
          <w:color w:val="auto"/>
        </w:rPr>
        <w:t xml:space="preserve">methods </w:t>
      </w:r>
      <w:r w:rsidRPr="008B3243">
        <w:t xml:space="preserve">have been extensively described and used elsewhere </w:t>
      </w:r>
      <w:r w:rsidRPr="008B3243">
        <w:rPr>
          <w:rStyle w:val="StyleAqua"/>
          <w:color w:val="auto"/>
        </w:rPr>
        <w:t>(Gaucherel et al., 2007; Gaucherel et al., 2008)</w:t>
      </w:r>
      <w:r w:rsidRPr="008B3243">
        <w:t xml:space="preserve">. These multiscale spatialized methods are both based on a circular moving window simultaneously crossing images to be </w:t>
      </w:r>
      <w:r w:rsidR="00805B1B" w:rsidRPr="008B3243">
        <w:t>analysed</w:t>
      </w:r>
      <w:r w:rsidRPr="008B3243">
        <w:t xml:space="preserve"> (MHM) and compared (CMP), combined with specific textural or similarity indices. They lead to local and quantitative analyses, which become multiscale when the size of the moving window varies (here from 10 to 150 pixels wide, with a 20 </w:t>
      </w:r>
      <w:r w:rsidR="00DB4853" w:rsidRPr="008B3243">
        <w:t>×</w:t>
      </w:r>
      <w:r w:rsidRPr="008B3243">
        <w:t xml:space="preserve"> 20m pixel size). Monoscale maps were finally averaged over all scales, pixel by pixel, into a multiscale image to quantify the spatial variations of the texture or similarity indices, while monoscale maps </w:t>
      </w:r>
      <w:r w:rsidR="00805B1B" w:rsidRPr="008B3243">
        <w:t>were</w:t>
      </w:r>
      <w:r w:rsidRPr="008B3243">
        <w:t xml:space="preserve"> averaged over space, image by image, into a profile to quantify the scaling variations of the texture or the similarities. All spatial analyses described in this study were computed ignoring the </w:t>
      </w:r>
      <w:r w:rsidR="00A60035" w:rsidRPr="008B3243">
        <w:t>landscape's</w:t>
      </w:r>
      <w:r w:rsidRPr="008B3243">
        <w:t xml:space="preserve"> background and without border effects, with the Java MHM and CMP </w:t>
      </w:r>
      <w:r w:rsidR="00A60035" w:rsidRPr="008B3243">
        <w:t>software</w:t>
      </w:r>
      <w:r w:rsidRPr="008B3243">
        <w:t xml:space="preserve"> </w:t>
      </w:r>
      <w:r w:rsidR="002B2A70" w:rsidRPr="008B3243">
        <w:t>(</w:t>
      </w:r>
      <w:r w:rsidRPr="008B3243">
        <w:t xml:space="preserve">available on the senior </w:t>
      </w:r>
      <w:r w:rsidR="00805B1B" w:rsidRPr="008B3243">
        <w:t>author’s</w:t>
      </w:r>
      <w:r w:rsidRPr="008B3243">
        <w:t xml:space="preserve"> website (</w:t>
      </w:r>
      <w:hyperlink w:history="1"/>
      <w:hyperlink r:id="rId12" w:history="1">
        <w:r w:rsidR="004628FB" w:rsidRPr="008B3243">
          <w:rPr>
            <w:rStyle w:val="Lienhypertexte"/>
          </w:rPr>
          <w:t>http://amap-collaboratif.cirad.fr/pages_chercheurs/index.php?page=softwares</w:t>
        </w:r>
      </w:hyperlink>
      <w:r w:rsidRPr="008B3243">
        <w:t>)</w:t>
      </w:r>
      <w:r w:rsidR="002B2A70" w:rsidRPr="008B3243">
        <w:t>)</w:t>
      </w:r>
      <w:r w:rsidRPr="008B3243">
        <w:t>.</w:t>
      </w:r>
    </w:p>
    <w:p w:rsidR="009F34A2" w:rsidRPr="008B3243" w:rsidRDefault="009F34A2" w:rsidP="003E5765">
      <w:pPr>
        <w:spacing w:line="276" w:lineRule="auto"/>
        <w:jc w:val="left"/>
      </w:pPr>
    </w:p>
    <w:p w:rsidR="009F34A2" w:rsidRPr="008B3243" w:rsidRDefault="00996CB9" w:rsidP="003E5765">
      <w:pPr>
        <w:spacing w:line="276" w:lineRule="auto"/>
        <w:jc w:val="left"/>
      </w:pPr>
      <w:r w:rsidRPr="008B3243">
        <w:t>I</w:t>
      </w:r>
      <w:r w:rsidR="005262AC" w:rsidRPr="008B3243">
        <w:t>n</w:t>
      </w:r>
      <w:r w:rsidRPr="008B3243">
        <w:t xml:space="preserve"> this study, w</w:t>
      </w:r>
      <w:r w:rsidR="00ED3246" w:rsidRPr="008B3243">
        <w:t>e first computed land</w:t>
      </w:r>
      <w:r w:rsidR="002B2A70" w:rsidRPr="008B3243">
        <w:t>-</w:t>
      </w:r>
      <w:r w:rsidR="00ED3246" w:rsidRPr="008B3243">
        <w:t xml:space="preserve">cover connectivity (contagion) maps of Kottoli simulations and observations with the MHM software </w:t>
      </w:r>
      <w:r w:rsidR="00ED3246" w:rsidRPr="008B3243">
        <w:rPr>
          <w:rStyle w:val="StyleAqua"/>
          <w:color w:val="auto"/>
        </w:rPr>
        <w:t xml:space="preserve">(Gaucherel et al., 2007). </w:t>
      </w:r>
      <w:r w:rsidR="00ED3246" w:rsidRPr="008B3243">
        <w:t>We used connectivity as a synthetic index, considering that land</w:t>
      </w:r>
      <w:r w:rsidR="002B2A70" w:rsidRPr="008B3243">
        <w:t>-</w:t>
      </w:r>
      <w:r w:rsidR="00ED3246" w:rsidRPr="008B3243">
        <w:t xml:space="preserve">cover maps would </w:t>
      </w:r>
      <w:r w:rsidR="002B2A70" w:rsidRPr="008B3243">
        <w:t>not</w:t>
      </w:r>
      <w:r w:rsidR="00ED3246" w:rsidRPr="008B3243">
        <w:t xml:space="preserve"> match due to the stochasticity of each landscape simulation. Rather, multiscale connectivity computation provides an overall and statistical quantification of the landscape configuration, without favouring </w:t>
      </w:r>
      <w:r w:rsidR="00805B1B" w:rsidRPr="008B3243">
        <w:t>that</w:t>
      </w:r>
      <w:r w:rsidR="00ED3246" w:rsidRPr="008B3243">
        <w:t xml:space="preserve"> of the land cover. Another advantage is that this index is highly robust and almost independent </w:t>
      </w:r>
      <w:r w:rsidR="00805B1B" w:rsidRPr="008B3243">
        <w:t>of</w:t>
      </w:r>
      <w:r w:rsidR="00ED3246" w:rsidRPr="008B3243">
        <w:t xml:space="preserve"> the stochastic simulation run (less than 5% variations), thus allowing </w:t>
      </w:r>
      <w:r w:rsidR="002B2A70" w:rsidRPr="008B3243">
        <w:t xml:space="preserve">one </w:t>
      </w:r>
      <w:r w:rsidR="00ED3246" w:rsidRPr="008B3243">
        <w:t xml:space="preserve">to compute </w:t>
      </w:r>
      <w:r w:rsidR="00805B1B" w:rsidRPr="008B3243">
        <w:t>differences</w:t>
      </w:r>
      <w:r w:rsidR="00ED3246" w:rsidRPr="008B3243">
        <w:t xml:space="preserve"> on a randomly chosen simulation of H</w:t>
      </w:r>
      <w:r w:rsidR="00ED3246" w:rsidRPr="008B3243">
        <w:rPr>
          <w:vertAlign w:val="subscript"/>
        </w:rPr>
        <w:t>0</w:t>
      </w:r>
      <w:r w:rsidR="00ED3246" w:rsidRPr="008B3243">
        <w:t xml:space="preserve"> and </w:t>
      </w:r>
      <w:proofErr w:type="spellStart"/>
      <w:r w:rsidR="00ED3246" w:rsidRPr="008B3243">
        <w:t>H</w:t>
      </w:r>
      <w:r w:rsidR="00ED3246" w:rsidRPr="008B3243">
        <w:rPr>
          <w:vertAlign w:val="subscript"/>
        </w:rPr>
        <w:t>f</w:t>
      </w:r>
      <w:proofErr w:type="spellEnd"/>
      <w:r w:rsidR="00ED3246" w:rsidRPr="008B3243">
        <w:t xml:space="preserve"> simulations (</w:t>
      </w:r>
      <w:r w:rsidR="00DB4853" w:rsidRPr="008B3243">
        <w:t xml:space="preserve">Table </w:t>
      </w:r>
      <w:r w:rsidR="009341CA">
        <w:t>S</w:t>
      </w:r>
      <w:r w:rsidR="00670ED3" w:rsidRPr="008B3243">
        <w:t>2</w:t>
      </w:r>
      <w:r w:rsidR="00ED3246" w:rsidRPr="008B3243">
        <w:t xml:space="preserve">). Simulated connectivity maps were then compared to the 2011 observed </w:t>
      </w:r>
      <w:r w:rsidR="002B2A70" w:rsidRPr="008B3243">
        <w:t>map</w:t>
      </w:r>
      <w:r w:rsidR="00ED3246" w:rsidRPr="008B3243">
        <w:t xml:space="preserve"> on the basis of two complementary indices</w:t>
      </w:r>
      <w:r w:rsidR="00ED3246" w:rsidRPr="008B3243">
        <w:rPr>
          <w:rStyle w:val="StyleAqua"/>
          <w:color w:val="auto"/>
        </w:rPr>
        <w:t xml:space="preserve"> (Gaucherel et al., 2008): </w:t>
      </w:r>
      <w:proofErr w:type="spellStart"/>
      <w:r w:rsidR="00ED3246" w:rsidRPr="008B3243">
        <w:t>i</w:t>
      </w:r>
      <w:proofErr w:type="spellEnd"/>
      <w:r w:rsidR="00ED3246" w:rsidRPr="008B3243">
        <w:t xml:space="preserve">) a distance index, computed as mean differences for absolute differences, and ii) Pearson’s cross-correlation for relative variations. </w:t>
      </w:r>
    </w:p>
    <w:p w:rsidR="009F34A2" w:rsidRPr="008B3243" w:rsidRDefault="009F34A2" w:rsidP="003E5765">
      <w:pPr>
        <w:spacing w:line="276" w:lineRule="auto"/>
        <w:jc w:val="left"/>
      </w:pPr>
    </w:p>
    <w:p w:rsidR="009F34A2" w:rsidRPr="008B3243" w:rsidRDefault="00ED3246" w:rsidP="003E5765">
      <w:pPr>
        <w:spacing w:line="276" w:lineRule="auto"/>
        <w:jc w:val="left"/>
      </w:pPr>
      <w:r w:rsidRPr="008B3243">
        <w:t>Once simulations were validated, and in order to understand the differential success of various land covers, we computed land</w:t>
      </w:r>
      <w:r w:rsidR="00805B1B" w:rsidRPr="008B3243">
        <w:t>-</w:t>
      </w:r>
      <w:r w:rsidRPr="008B3243">
        <w:t>cover multiscale density maps with the MHM software</w:t>
      </w:r>
      <w:r w:rsidR="002B2A70" w:rsidRPr="008B3243">
        <w:t>,</w:t>
      </w:r>
      <w:r w:rsidRPr="008B3243">
        <w:t xml:space="preserve"> and compared them to the corresponding observed density maps with the CMP software. In this study, the density index is defined as the surface proportion of the </w:t>
      </w:r>
      <w:r w:rsidR="003B6233" w:rsidRPr="008B3243">
        <w:t>analysed</w:t>
      </w:r>
      <w:r w:rsidRPr="008B3243">
        <w:t xml:space="preserve"> land cover within each moving window, while the chosen similarity index is the </w:t>
      </w:r>
      <w:r w:rsidR="003B6233" w:rsidRPr="008B3243">
        <w:t>Pearson</w:t>
      </w:r>
      <w:r w:rsidRPr="008B3243">
        <w:t xml:space="preserve"> coefficient to highlight relative differences. We compared the forest, silver </w:t>
      </w:r>
      <w:proofErr w:type="gramStart"/>
      <w:r w:rsidRPr="008B3243">
        <w:t>oak</w:t>
      </w:r>
      <w:r w:rsidR="002B2A70" w:rsidRPr="008B3243">
        <w:t>,</w:t>
      </w:r>
      <w:proofErr w:type="gramEnd"/>
      <w:r w:rsidRPr="008B3243">
        <w:t xml:space="preserve"> and fallow correlation profiles to detect whether these land</w:t>
      </w:r>
      <w:r w:rsidR="003B6233" w:rsidRPr="008B3243">
        <w:t>-</w:t>
      </w:r>
      <w:r w:rsidRPr="008B3243">
        <w:t xml:space="preserve">cover distributions, at least, were correctly modelled. </w:t>
      </w:r>
      <w:r w:rsidR="00D456DF">
        <w:t xml:space="preserve">As an illustration, we show here the various </w:t>
      </w:r>
      <w:r w:rsidR="00D456DF" w:rsidRPr="00D456DF">
        <w:t xml:space="preserve">correlation </w:t>
      </w:r>
      <w:r w:rsidR="00DA7831">
        <w:t xml:space="preserve">maps (Fig. S3b) and profiles (Fig. S3c) </w:t>
      </w:r>
      <w:r w:rsidR="00D456DF" w:rsidRPr="00D456DF">
        <w:t>between Kottoli s</w:t>
      </w:r>
      <w:r w:rsidR="00DA7831">
        <w:t>imulations and observations</w:t>
      </w:r>
      <w:r w:rsidR="00D456DF">
        <w:t xml:space="preserve"> for</w:t>
      </w:r>
      <w:r w:rsidR="00D456DF" w:rsidRPr="00D456DF">
        <w:t xml:space="preserve"> </w:t>
      </w:r>
      <w:proofErr w:type="spellStart"/>
      <w:r w:rsidR="00DA7831">
        <w:t>i</w:t>
      </w:r>
      <w:proofErr w:type="spellEnd"/>
      <w:r w:rsidR="00DA7831">
        <w:t xml:space="preserve">) </w:t>
      </w:r>
      <w:r w:rsidR="00D456DF" w:rsidRPr="00D456DF">
        <w:t>the fallow rice field</w:t>
      </w:r>
      <w:r w:rsidR="00DA7831">
        <w:t>,</w:t>
      </w:r>
      <w:r w:rsidR="00D456DF" w:rsidRPr="00D456DF">
        <w:t xml:space="preserve"> </w:t>
      </w:r>
      <w:r w:rsidR="00DA7831">
        <w:t xml:space="preserve">ii) </w:t>
      </w:r>
      <w:r w:rsidR="00D456DF" w:rsidRPr="00D456DF">
        <w:t>the silver oak coffee plantation and</w:t>
      </w:r>
      <w:r w:rsidR="00DA7831">
        <w:t xml:space="preserve"> iii) </w:t>
      </w:r>
      <w:r w:rsidR="00D456DF" w:rsidRPr="00D456DF">
        <w:t>the fores</w:t>
      </w:r>
      <w:r w:rsidR="00DA7831">
        <w:t>t variable</w:t>
      </w:r>
      <w:r w:rsidR="00D456DF" w:rsidRPr="00D456DF">
        <w:t>.</w:t>
      </w:r>
      <w:r w:rsidR="00D456DF">
        <w:t xml:space="preserve"> </w:t>
      </w:r>
    </w:p>
    <w:p w:rsidR="00A02CB8" w:rsidRDefault="00A02CB8">
      <w:pPr>
        <w:spacing w:line="240" w:lineRule="auto"/>
        <w:jc w:val="left"/>
        <w:rPr>
          <w:b/>
          <w:bCs/>
          <w:lang w:val="en-US"/>
        </w:rPr>
      </w:pPr>
      <w:r>
        <w:rPr>
          <w:b/>
          <w:bCs/>
          <w:lang w:val="en-US"/>
        </w:rPr>
        <w:br w:type="page"/>
      </w:r>
    </w:p>
    <w:p w:rsidR="005262AC" w:rsidRDefault="00BA46A9" w:rsidP="003E5765">
      <w:pPr>
        <w:spacing w:line="240" w:lineRule="auto"/>
        <w:jc w:val="left"/>
        <w:rPr>
          <w:b/>
          <w:bCs/>
          <w:lang w:val="en-US"/>
        </w:rPr>
      </w:pPr>
      <w:r>
        <w:rPr>
          <w:b/>
          <w:bCs/>
          <w:noProof/>
          <w:lang w:val="fr-FR" w:eastAsia="fr-FR"/>
        </w:rPr>
        <w:lastRenderedPageBreak/>
        <w:drawing>
          <wp:inline distT="0" distB="0" distL="0" distR="0">
            <wp:extent cx="5096022" cy="7210425"/>
            <wp:effectExtent l="19050" t="0" r="9378" b="0"/>
            <wp:docPr id="7" name="Image 6" descr="DiapositiveS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eS3.TIF"/>
                    <pic:cNvPicPr/>
                  </pic:nvPicPr>
                  <pic:blipFill>
                    <a:blip r:embed="rId13"/>
                    <a:stretch>
                      <a:fillRect/>
                    </a:stretch>
                  </pic:blipFill>
                  <pic:spPr>
                    <a:xfrm>
                      <a:off x="0" y="0"/>
                      <a:ext cx="5101612" cy="7218335"/>
                    </a:xfrm>
                    <a:prstGeom prst="rect">
                      <a:avLst/>
                    </a:prstGeom>
                  </pic:spPr>
                </pic:pic>
              </a:graphicData>
            </a:graphic>
          </wp:inline>
        </w:drawing>
      </w:r>
    </w:p>
    <w:p w:rsidR="00C75281" w:rsidRPr="005015DE" w:rsidRDefault="00C75281" w:rsidP="00C75281">
      <w:pPr>
        <w:spacing w:line="276" w:lineRule="auto"/>
      </w:pPr>
      <w:r w:rsidRPr="005015DE">
        <w:rPr>
          <w:u w:val="single"/>
        </w:rPr>
        <w:t xml:space="preserve">Figure </w:t>
      </w:r>
      <w:r>
        <w:rPr>
          <w:u w:val="single"/>
        </w:rPr>
        <w:t>S3</w:t>
      </w:r>
      <w:r w:rsidRPr="005015DE">
        <w:rPr>
          <w:u w:val="single"/>
        </w:rPr>
        <w:t>.</w:t>
      </w:r>
      <w:r w:rsidRPr="005015DE">
        <w:t xml:space="preserve"> </w:t>
      </w:r>
      <w:proofErr w:type="gramStart"/>
      <w:r w:rsidRPr="005015DE">
        <w:t>Cross-correlations between simulated and observed landscapes of Kottoli in 2012.</w:t>
      </w:r>
      <w:proofErr w:type="gramEnd"/>
      <w:r w:rsidRPr="005015DE">
        <w:t xml:space="preserve"> The three land-cover density maps computed with MHM for observed (a, large) and simulated values (a, small) are compared to their respective CMP correlation maps (b) and profiles (c). Gray levels indicate density intensity between 0 and 0.07 (a), the colour scale indicates the cross-correlation intensity, ranging from – 1 to + 1 (b). Correlation profiles (c) computed for spatial scales ranging from 10</w:t>
      </w:r>
      <w:r w:rsidRPr="005015DE">
        <w:rPr>
          <w:vertAlign w:val="subscript"/>
        </w:rPr>
        <w:t xml:space="preserve"> </w:t>
      </w:r>
      <w:r w:rsidRPr="005015DE">
        <w:t>to 150, are displayed for</w:t>
      </w:r>
      <w:r w:rsidRPr="005015DE">
        <w:rPr>
          <w:vertAlign w:val="subscript"/>
        </w:rPr>
        <w:t xml:space="preserve"> </w:t>
      </w:r>
      <w:r w:rsidRPr="005015DE">
        <w:t xml:space="preserve">fallows (green), silver oak (blue) and forest (black) with dashed red segments highlighting some of their features (see the text). </w:t>
      </w:r>
    </w:p>
    <w:sectPr w:rsidR="00C75281" w:rsidRPr="005015DE" w:rsidSect="008B324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4F8" w:rsidRDefault="00B324F8">
      <w:r>
        <w:separator/>
      </w:r>
    </w:p>
  </w:endnote>
  <w:endnote w:type="continuationSeparator" w:id="0">
    <w:p w:rsidR="00B324F8" w:rsidRDefault="00B3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B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49647"/>
      <w:docPartObj>
        <w:docPartGallery w:val="Page Numbers (Bottom of Page)"/>
        <w:docPartUnique/>
      </w:docPartObj>
    </w:sdtPr>
    <w:sdtEndPr/>
    <w:sdtContent>
      <w:p w:rsidR="00CC6855" w:rsidRDefault="00862404">
        <w:pPr>
          <w:pStyle w:val="Pieddepage"/>
          <w:jc w:val="right"/>
        </w:pPr>
        <w:r>
          <w:fldChar w:fldCharType="begin"/>
        </w:r>
        <w:r w:rsidR="00CC6855">
          <w:instrText xml:space="preserve"> PAGE   \* MERGEFORMAT </w:instrText>
        </w:r>
        <w:r>
          <w:fldChar w:fldCharType="separate"/>
        </w:r>
        <w:r w:rsidR="001C1DE5">
          <w:rPr>
            <w:noProof/>
          </w:rPr>
          <w:t>10</w:t>
        </w:r>
        <w:r>
          <w:rPr>
            <w:noProof/>
          </w:rPr>
          <w:fldChar w:fldCharType="end"/>
        </w:r>
      </w:p>
    </w:sdtContent>
  </w:sdt>
  <w:p w:rsidR="00CC6855" w:rsidRDefault="00CC68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4F8" w:rsidRDefault="00B324F8">
      <w:r>
        <w:separator/>
      </w:r>
    </w:p>
  </w:footnote>
  <w:footnote w:type="continuationSeparator" w:id="0">
    <w:p w:rsidR="00B324F8" w:rsidRDefault="00B32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C0764"/>
    <w:multiLevelType w:val="hybridMultilevel"/>
    <w:tmpl w:val="B9B4E2EC"/>
    <w:lvl w:ilvl="0" w:tplc="6E3E9ED4">
      <w:start w:val="1"/>
      <w:numFmt w:val="decimal"/>
      <w:pStyle w:val="Table"/>
      <w:lvlText w:val="Table %1."/>
      <w:lvlJc w:val="left"/>
      <w:pPr>
        <w:tabs>
          <w:tab w:val="num" w:pos="357"/>
        </w:tabs>
        <w:ind w:left="113" w:hanging="113"/>
      </w:pPr>
      <w:rPr>
        <w:rFonts w:hint="default"/>
        <w:b/>
        <w:i w:val="0"/>
        <w:sz w:val="20"/>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
    <w:nsid w:val="24F87768"/>
    <w:multiLevelType w:val="hybridMultilevel"/>
    <w:tmpl w:val="676C1106"/>
    <w:lvl w:ilvl="0" w:tplc="6F16236E">
      <w:start w:val="1"/>
      <w:numFmt w:val="decimal"/>
      <w:lvlText w:val="%1."/>
      <w:lvlJc w:val="left"/>
      <w:pPr>
        <w:tabs>
          <w:tab w:val="num" w:pos="720"/>
        </w:tabs>
        <w:ind w:left="720" w:hanging="360"/>
      </w:pPr>
    </w:lvl>
    <w:lvl w:ilvl="1" w:tplc="ACE665A0" w:tentative="1">
      <w:start w:val="1"/>
      <w:numFmt w:val="decimal"/>
      <w:lvlText w:val="%2."/>
      <w:lvlJc w:val="left"/>
      <w:pPr>
        <w:tabs>
          <w:tab w:val="num" w:pos="1440"/>
        </w:tabs>
        <w:ind w:left="1440" w:hanging="360"/>
      </w:pPr>
    </w:lvl>
    <w:lvl w:ilvl="2" w:tplc="469AE57A" w:tentative="1">
      <w:start w:val="1"/>
      <w:numFmt w:val="decimal"/>
      <w:lvlText w:val="%3."/>
      <w:lvlJc w:val="left"/>
      <w:pPr>
        <w:tabs>
          <w:tab w:val="num" w:pos="2160"/>
        </w:tabs>
        <w:ind w:left="2160" w:hanging="360"/>
      </w:pPr>
    </w:lvl>
    <w:lvl w:ilvl="3" w:tplc="31E21BEA" w:tentative="1">
      <w:start w:val="1"/>
      <w:numFmt w:val="decimal"/>
      <w:lvlText w:val="%4."/>
      <w:lvlJc w:val="left"/>
      <w:pPr>
        <w:tabs>
          <w:tab w:val="num" w:pos="2880"/>
        </w:tabs>
        <w:ind w:left="2880" w:hanging="360"/>
      </w:pPr>
    </w:lvl>
    <w:lvl w:ilvl="4" w:tplc="2AEC126E" w:tentative="1">
      <w:start w:val="1"/>
      <w:numFmt w:val="decimal"/>
      <w:lvlText w:val="%5."/>
      <w:lvlJc w:val="left"/>
      <w:pPr>
        <w:tabs>
          <w:tab w:val="num" w:pos="3600"/>
        </w:tabs>
        <w:ind w:left="3600" w:hanging="360"/>
      </w:pPr>
    </w:lvl>
    <w:lvl w:ilvl="5" w:tplc="54DCD740" w:tentative="1">
      <w:start w:val="1"/>
      <w:numFmt w:val="decimal"/>
      <w:lvlText w:val="%6."/>
      <w:lvlJc w:val="left"/>
      <w:pPr>
        <w:tabs>
          <w:tab w:val="num" w:pos="4320"/>
        </w:tabs>
        <w:ind w:left="4320" w:hanging="360"/>
      </w:pPr>
    </w:lvl>
    <w:lvl w:ilvl="6" w:tplc="4F3E7B02" w:tentative="1">
      <w:start w:val="1"/>
      <w:numFmt w:val="decimal"/>
      <w:lvlText w:val="%7."/>
      <w:lvlJc w:val="left"/>
      <w:pPr>
        <w:tabs>
          <w:tab w:val="num" w:pos="5040"/>
        </w:tabs>
        <w:ind w:left="5040" w:hanging="360"/>
      </w:pPr>
    </w:lvl>
    <w:lvl w:ilvl="7" w:tplc="938A846E" w:tentative="1">
      <w:start w:val="1"/>
      <w:numFmt w:val="decimal"/>
      <w:lvlText w:val="%8."/>
      <w:lvlJc w:val="left"/>
      <w:pPr>
        <w:tabs>
          <w:tab w:val="num" w:pos="5760"/>
        </w:tabs>
        <w:ind w:left="5760" w:hanging="360"/>
      </w:pPr>
    </w:lvl>
    <w:lvl w:ilvl="8" w:tplc="DA0EC8A4" w:tentative="1">
      <w:start w:val="1"/>
      <w:numFmt w:val="decimal"/>
      <w:lvlText w:val="%9."/>
      <w:lvlJc w:val="left"/>
      <w:pPr>
        <w:tabs>
          <w:tab w:val="num" w:pos="6480"/>
        </w:tabs>
        <w:ind w:left="6480" w:hanging="360"/>
      </w:pPr>
    </w:lvl>
  </w:abstractNum>
  <w:abstractNum w:abstractNumId="2">
    <w:nsid w:val="28E5081A"/>
    <w:multiLevelType w:val="hybridMultilevel"/>
    <w:tmpl w:val="F2A8AE94"/>
    <w:lvl w:ilvl="0" w:tplc="040C0011">
      <w:start w:val="1"/>
      <w:numFmt w:val="decimal"/>
      <w:lvlText w:val="%1)"/>
      <w:lvlJc w:val="left"/>
      <w:pPr>
        <w:ind w:left="785" w:hanging="360"/>
      </w:p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nsid w:val="2CB1443E"/>
    <w:multiLevelType w:val="multilevel"/>
    <w:tmpl w:val="40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0724013"/>
    <w:multiLevelType w:val="multilevel"/>
    <w:tmpl w:val="7BEED37E"/>
    <w:numStyleLink w:val="111111"/>
  </w:abstractNum>
  <w:abstractNum w:abstractNumId="5">
    <w:nsid w:val="33853F4B"/>
    <w:multiLevelType w:val="hybridMultilevel"/>
    <w:tmpl w:val="E1842A5A"/>
    <w:lvl w:ilvl="0" w:tplc="DE863B04">
      <w:start w:val="1"/>
      <w:numFmt w:val="decimal"/>
      <w:pStyle w:val="Figure1"/>
      <w:lvlText w:val="Figure %1."/>
      <w:lvlJc w:val="left"/>
      <w:pPr>
        <w:ind w:left="833" w:hanging="360"/>
      </w:pPr>
      <w:rPr>
        <w:rFonts w:hint="default"/>
        <w:b/>
        <w:i w:val="0"/>
      </w:r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6">
    <w:nsid w:val="38DB5616"/>
    <w:multiLevelType w:val="hybridMultilevel"/>
    <w:tmpl w:val="ABC4FC2E"/>
    <w:lvl w:ilvl="0" w:tplc="21AE7B64">
      <w:start w:val="1"/>
      <w:numFmt w:val="decimal"/>
      <w:pStyle w:val="Figure"/>
      <w:lvlText w:val="Figure %1."/>
      <w:lvlJc w:val="left"/>
      <w:pPr>
        <w:tabs>
          <w:tab w:val="num" w:pos="357"/>
        </w:tabs>
        <w:ind w:left="113" w:hanging="113"/>
      </w:pPr>
      <w:rPr>
        <w:rFonts w:hint="default"/>
        <w:b/>
        <w:i w:val="0"/>
        <w:sz w:val="20"/>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7">
    <w:nsid w:val="44955DF5"/>
    <w:multiLevelType w:val="hybridMultilevel"/>
    <w:tmpl w:val="633A088C"/>
    <w:lvl w:ilvl="0" w:tplc="BFD03D9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41E4A89"/>
    <w:multiLevelType w:val="hybridMultilevel"/>
    <w:tmpl w:val="F6A6DF32"/>
    <w:lvl w:ilvl="0" w:tplc="C428BB46">
      <w:numFmt w:val="bullet"/>
      <w:lvlText w:val="-"/>
      <w:lvlJc w:val="left"/>
      <w:pPr>
        <w:tabs>
          <w:tab w:val="num" w:pos="720"/>
        </w:tabs>
        <w:ind w:left="720" w:hanging="360"/>
      </w:pPr>
      <w:rPr>
        <w:rFonts w:ascii="Calibri" w:eastAsia="BaskervilleBT" w:hAnsi="Calibri" w:cs="Times New Roman"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9">
    <w:nsid w:val="63644B29"/>
    <w:multiLevelType w:val="multilevel"/>
    <w:tmpl w:val="7BEED37E"/>
    <w:numStyleLink w:val="111111"/>
  </w:abstractNum>
  <w:abstractNum w:abstractNumId="10">
    <w:nsid w:val="71FB6FDF"/>
    <w:multiLevelType w:val="multilevel"/>
    <w:tmpl w:val="7AFEE4C4"/>
    <w:lvl w:ilvl="0">
      <w:start w:val="1"/>
      <w:numFmt w:val="decimal"/>
      <w:lvlText w:val="Figure %1."/>
      <w:lvlJc w:val="left"/>
      <w:pPr>
        <w:tabs>
          <w:tab w:val="num" w:pos="357"/>
        </w:tabs>
        <w:ind w:left="113" w:hanging="113"/>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52309A4"/>
    <w:multiLevelType w:val="multilevel"/>
    <w:tmpl w:val="7BEED37E"/>
    <w:styleLink w:val="111111"/>
    <w:lvl w:ilvl="0">
      <w:start w:val="1"/>
      <w:numFmt w:val="decimal"/>
      <w:pStyle w:val="Titre1"/>
      <w:lvlText w:val="%1."/>
      <w:lvlJc w:val="left"/>
      <w:pPr>
        <w:tabs>
          <w:tab w:val="num" w:pos="720"/>
        </w:tabs>
        <w:ind w:left="360" w:hanging="360"/>
      </w:pPr>
    </w:lvl>
    <w:lvl w:ilvl="1">
      <w:start w:val="1"/>
      <w:numFmt w:val="decimal"/>
      <w:pStyle w:val="Titre2"/>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12">
    <w:nsid w:val="7712351D"/>
    <w:multiLevelType w:val="hybridMultilevel"/>
    <w:tmpl w:val="BBB0F726"/>
    <w:lvl w:ilvl="0" w:tplc="BFC697A4">
      <w:start w:val="1"/>
      <w:numFmt w:val="decimal"/>
      <w:pStyle w:val="Table1"/>
      <w:lvlText w:val="Table %1."/>
      <w:lvlJc w:val="left"/>
      <w:pPr>
        <w:ind w:left="833" w:hanging="360"/>
      </w:pPr>
      <w:rPr>
        <w:rFonts w:hint="default"/>
        <w:b/>
        <w:i w:val="0"/>
      </w:r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13">
    <w:nsid w:val="7AC94C08"/>
    <w:multiLevelType w:val="hybridMultilevel"/>
    <w:tmpl w:val="11A43C40"/>
    <w:lvl w:ilvl="0" w:tplc="EFCACB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BFE181E"/>
    <w:multiLevelType w:val="hybridMultilevel"/>
    <w:tmpl w:val="7862E126"/>
    <w:lvl w:ilvl="0" w:tplc="D1AC6DD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9"/>
  </w:num>
  <w:num w:numId="3">
    <w:abstractNumId w:val="4"/>
  </w:num>
  <w:num w:numId="4">
    <w:abstractNumId w:val="0"/>
  </w:num>
  <w:num w:numId="5">
    <w:abstractNumId w:val="10"/>
  </w:num>
  <w:num w:numId="6">
    <w:abstractNumId w:val="3"/>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num>
  <w:num w:numId="13">
    <w:abstractNumId w:val="5"/>
  </w:num>
  <w:num w:numId="14">
    <w:abstractNumId w:val="7"/>
  </w:num>
  <w:num w:numId="15">
    <w:abstractNumId w:val="14"/>
  </w:num>
  <w:num w:numId="16">
    <w:abstractNumId w:val="13"/>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Conservation Bi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55471B"/>
    <w:rsid w:val="00000162"/>
    <w:rsid w:val="00001A84"/>
    <w:rsid w:val="00002731"/>
    <w:rsid w:val="000032EB"/>
    <w:rsid w:val="00006BD8"/>
    <w:rsid w:val="000123C3"/>
    <w:rsid w:val="0001259D"/>
    <w:rsid w:val="00012D9E"/>
    <w:rsid w:val="00014BB9"/>
    <w:rsid w:val="00017035"/>
    <w:rsid w:val="00021F31"/>
    <w:rsid w:val="000229CC"/>
    <w:rsid w:val="00024900"/>
    <w:rsid w:val="00026863"/>
    <w:rsid w:val="000311C5"/>
    <w:rsid w:val="000316DB"/>
    <w:rsid w:val="00045699"/>
    <w:rsid w:val="00046FC9"/>
    <w:rsid w:val="0005785E"/>
    <w:rsid w:val="000639B9"/>
    <w:rsid w:val="00067511"/>
    <w:rsid w:val="00070FDF"/>
    <w:rsid w:val="00072C92"/>
    <w:rsid w:val="00074480"/>
    <w:rsid w:val="000764BE"/>
    <w:rsid w:val="00080F93"/>
    <w:rsid w:val="00081675"/>
    <w:rsid w:val="00090186"/>
    <w:rsid w:val="0009159D"/>
    <w:rsid w:val="00097860"/>
    <w:rsid w:val="000A0154"/>
    <w:rsid w:val="000A395B"/>
    <w:rsid w:val="000B4F28"/>
    <w:rsid w:val="000B5BED"/>
    <w:rsid w:val="000C056C"/>
    <w:rsid w:val="000C2019"/>
    <w:rsid w:val="000C24A3"/>
    <w:rsid w:val="000C48E1"/>
    <w:rsid w:val="000C756F"/>
    <w:rsid w:val="000D035F"/>
    <w:rsid w:val="000D1AAC"/>
    <w:rsid w:val="000D2E75"/>
    <w:rsid w:val="000D3B60"/>
    <w:rsid w:val="000D4D07"/>
    <w:rsid w:val="000E0FEC"/>
    <w:rsid w:val="000E1695"/>
    <w:rsid w:val="000E25CF"/>
    <w:rsid w:val="000E281A"/>
    <w:rsid w:val="000E5E35"/>
    <w:rsid w:val="000F042F"/>
    <w:rsid w:val="000F0A3E"/>
    <w:rsid w:val="000F10AD"/>
    <w:rsid w:val="000F2DD9"/>
    <w:rsid w:val="000F747A"/>
    <w:rsid w:val="001010B9"/>
    <w:rsid w:val="00102D70"/>
    <w:rsid w:val="00103E64"/>
    <w:rsid w:val="0010566B"/>
    <w:rsid w:val="001060D2"/>
    <w:rsid w:val="00111A7C"/>
    <w:rsid w:val="001142E9"/>
    <w:rsid w:val="00120DBE"/>
    <w:rsid w:val="00122B4C"/>
    <w:rsid w:val="001241FF"/>
    <w:rsid w:val="00125E20"/>
    <w:rsid w:val="00126882"/>
    <w:rsid w:val="00126AFE"/>
    <w:rsid w:val="00131ECB"/>
    <w:rsid w:val="00133292"/>
    <w:rsid w:val="00135E6A"/>
    <w:rsid w:val="00140492"/>
    <w:rsid w:val="00146451"/>
    <w:rsid w:val="001514E1"/>
    <w:rsid w:val="001555B8"/>
    <w:rsid w:val="00156CDA"/>
    <w:rsid w:val="001577A5"/>
    <w:rsid w:val="00172E91"/>
    <w:rsid w:val="0017476A"/>
    <w:rsid w:val="00174B30"/>
    <w:rsid w:val="00176260"/>
    <w:rsid w:val="00184FB5"/>
    <w:rsid w:val="00185100"/>
    <w:rsid w:val="001927CE"/>
    <w:rsid w:val="001930F7"/>
    <w:rsid w:val="001945C5"/>
    <w:rsid w:val="001A6386"/>
    <w:rsid w:val="001A7D53"/>
    <w:rsid w:val="001B0B8B"/>
    <w:rsid w:val="001B2650"/>
    <w:rsid w:val="001B2F2E"/>
    <w:rsid w:val="001B42DB"/>
    <w:rsid w:val="001C1DE5"/>
    <w:rsid w:val="001C6DF0"/>
    <w:rsid w:val="001D2E3C"/>
    <w:rsid w:val="001D3D1B"/>
    <w:rsid w:val="001D40AA"/>
    <w:rsid w:val="001D52EB"/>
    <w:rsid w:val="001D5892"/>
    <w:rsid w:val="001D7264"/>
    <w:rsid w:val="001E26F1"/>
    <w:rsid w:val="001E2AA0"/>
    <w:rsid w:val="001E36E3"/>
    <w:rsid w:val="001E389D"/>
    <w:rsid w:val="001E41C5"/>
    <w:rsid w:val="001E482A"/>
    <w:rsid w:val="001E7EDA"/>
    <w:rsid w:val="001E7EEA"/>
    <w:rsid w:val="001F051F"/>
    <w:rsid w:val="001F6C5A"/>
    <w:rsid w:val="00202979"/>
    <w:rsid w:val="00205143"/>
    <w:rsid w:val="002101DD"/>
    <w:rsid w:val="00211159"/>
    <w:rsid w:val="00213753"/>
    <w:rsid w:val="00222BAA"/>
    <w:rsid w:val="00226904"/>
    <w:rsid w:val="002278A9"/>
    <w:rsid w:val="002313EE"/>
    <w:rsid w:val="0023274C"/>
    <w:rsid w:val="00233B4F"/>
    <w:rsid w:val="0023557E"/>
    <w:rsid w:val="00235A1E"/>
    <w:rsid w:val="00241C22"/>
    <w:rsid w:val="00242A54"/>
    <w:rsid w:val="00243994"/>
    <w:rsid w:val="00247D07"/>
    <w:rsid w:val="00247D3E"/>
    <w:rsid w:val="002518C6"/>
    <w:rsid w:val="0025445E"/>
    <w:rsid w:val="00255562"/>
    <w:rsid w:val="00257B13"/>
    <w:rsid w:val="00260754"/>
    <w:rsid w:val="00261C17"/>
    <w:rsid w:val="002670F9"/>
    <w:rsid w:val="0027464C"/>
    <w:rsid w:val="00280253"/>
    <w:rsid w:val="002860D0"/>
    <w:rsid w:val="002915BE"/>
    <w:rsid w:val="00291F41"/>
    <w:rsid w:val="002938BF"/>
    <w:rsid w:val="002942A3"/>
    <w:rsid w:val="002A090A"/>
    <w:rsid w:val="002A1F61"/>
    <w:rsid w:val="002A3EC9"/>
    <w:rsid w:val="002A6581"/>
    <w:rsid w:val="002B1124"/>
    <w:rsid w:val="002B17E3"/>
    <w:rsid w:val="002B1F54"/>
    <w:rsid w:val="002B2A70"/>
    <w:rsid w:val="002B74C1"/>
    <w:rsid w:val="002C1229"/>
    <w:rsid w:val="002C30BC"/>
    <w:rsid w:val="002C3FBF"/>
    <w:rsid w:val="002C4341"/>
    <w:rsid w:val="002D1AA0"/>
    <w:rsid w:val="002D2B83"/>
    <w:rsid w:val="002D3AE2"/>
    <w:rsid w:val="002D3D01"/>
    <w:rsid w:val="002D6952"/>
    <w:rsid w:val="002E1D13"/>
    <w:rsid w:val="002E20E8"/>
    <w:rsid w:val="002E2513"/>
    <w:rsid w:val="002E5D27"/>
    <w:rsid w:val="002F24EA"/>
    <w:rsid w:val="002F67DD"/>
    <w:rsid w:val="00303E75"/>
    <w:rsid w:val="003048DE"/>
    <w:rsid w:val="0030554D"/>
    <w:rsid w:val="00306ABB"/>
    <w:rsid w:val="00310CCF"/>
    <w:rsid w:val="00311023"/>
    <w:rsid w:val="00316080"/>
    <w:rsid w:val="003177EE"/>
    <w:rsid w:val="003200F2"/>
    <w:rsid w:val="003210B4"/>
    <w:rsid w:val="003314AE"/>
    <w:rsid w:val="00340ED2"/>
    <w:rsid w:val="00346925"/>
    <w:rsid w:val="003556D9"/>
    <w:rsid w:val="00357E78"/>
    <w:rsid w:val="0036307E"/>
    <w:rsid w:val="0036374C"/>
    <w:rsid w:val="00363AED"/>
    <w:rsid w:val="003640B7"/>
    <w:rsid w:val="00366DCB"/>
    <w:rsid w:val="003713F6"/>
    <w:rsid w:val="0037684C"/>
    <w:rsid w:val="00377A10"/>
    <w:rsid w:val="00377FA0"/>
    <w:rsid w:val="00393542"/>
    <w:rsid w:val="00394209"/>
    <w:rsid w:val="003A1775"/>
    <w:rsid w:val="003A3B3A"/>
    <w:rsid w:val="003A6233"/>
    <w:rsid w:val="003A651D"/>
    <w:rsid w:val="003B0280"/>
    <w:rsid w:val="003B1DF3"/>
    <w:rsid w:val="003B5C11"/>
    <w:rsid w:val="003B6233"/>
    <w:rsid w:val="003B64D9"/>
    <w:rsid w:val="003B6B9A"/>
    <w:rsid w:val="003C232C"/>
    <w:rsid w:val="003D2ADA"/>
    <w:rsid w:val="003D3C33"/>
    <w:rsid w:val="003E03C6"/>
    <w:rsid w:val="003E1FD6"/>
    <w:rsid w:val="003E5765"/>
    <w:rsid w:val="003E7082"/>
    <w:rsid w:val="003E7ED6"/>
    <w:rsid w:val="00401F68"/>
    <w:rsid w:val="004221A5"/>
    <w:rsid w:val="00422F8C"/>
    <w:rsid w:val="00431027"/>
    <w:rsid w:val="00431B97"/>
    <w:rsid w:val="004340DA"/>
    <w:rsid w:val="004425A8"/>
    <w:rsid w:val="004473C1"/>
    <w:rsid w:val="004531D7"/>
    <w:rsid w:val="0045769B"/>
    <w:rsid w:val="004616AF"/>
    <w:rsid w:val="00461D65"/>
    <w:rsid w:val="004628FB"/>
    <w:rsid w:val="004643E9"/>
    <w:rsid w:val="004649E0"/>
    <w:rsid w:val="0046517C"/>
    <w:rsid w:val="00465C39"/>
    <w:rsid w:val="004670FF"/>
    <w:rsid w:val="00467833"/>
    <w:rsid w:val="00472E6B"/>
    <w:rsid w:val="00473F51"/>
    <w:rsid w:val="00477230"/>
    <w:rsid w:val="00480CB8"/>
    <w:rsid w:val="00481566"/>
    <w:rsid w:val="004862EE"/>
    <w:rsid w:val="00491492"/>
    <w:rsid w:val="00491E94"/>
    <w:rsid w:val="004940DA"/>
    <w:rsid w:val="004A1FBA"/>
    <w:rsid w:val="004A5151"/>
    <w:rsid w:val="004A6F0D"/>
    <w:rsid w:val="004B1384"/>
    <w:rsid w:val="004B4375"/>
    <w:rsid w:val="004B52C4"/>
    <w:rsid w:val="004B71B5"/>
    <w:rsid w:val="004C0C16"/>
    <w:rsid w:val="004C349E"/>
    <w:rsid w:val="004C4932"/>
    <w:rsid w:val="004C4A41"/>
    <w:rsid w:val="004C6549"/>
    <w:rsid w:val="004D0800"/>
    <w:rsid w:val="004D1BF9"/>
    <w:rsid w:val="004D1C46"/>
    <w:rsid w:val="004D21E6"/>
    <w:rsid w:val="004D3133"/>
    <w:rsid w:val="004E2170"/>
    <w:rsid w:val="004E3707"/>
    <w:rsid w:val="004E745A"/>
    <w:rsid w:val="004F1CEC"/>
    <w:rsid w:val="004F23D4"/>
    <w:rsid w:val="00502907"/>
    <w:rsid w:val="00504C01"/>
    <w:rsid w:val="00506E7B"/>
    <w:rsid w:val="005155EB"/>
    <w:rsid w:val="00515FED"/>
    <w:rsid w:val="00517564"/>
    <w:rsid w:val="005218B0"/>
    <w:rsid w:val="00523159"/>
    <w:rsid w:val="00523761"/>
    <w:rsid w:val="00525D1F"/>
    <w:rsid w:val="005262AC"/>
    <w:rsid w:val="00526FA8"/>
    <w:rsid w:val="00536835"/>
    <w:rsid w:val="0053781E"/>
    <w:rsid w:val="0054163F"/>
    <w:rsid w:val="00543746"/>
    <w:rsid w:val="0054618F"/>
    <w:rsid w:val="00550256"/>
    <w:rsid w:val="00553FAF"/>
    <w:rsid w:val="0055471B"/>
    <w:rsid w:val="0056264C"/>
    <w:rsid w:val="005635C9"/>
    <w:rsid w:val="005819E6"/>
    <w:rsid w:val="00585217"/>
    <w:rsid w:val="005860EE"/>
    <w:rsid w:val="00587175"/>
    <w:rsid w:val="0058727B"/>
    <w:rsid w:val="0059119E"/>
    <w:rsid w:val="005A1BAE"/>
    <w:rsid w:val="005A2C43"/>
    <w:rsid w:val="005A7322"/>
    <w:rsid w:val="005A77DB"/>
    <w:rsid w:val="005B02B5"/>
    <w:rsid w:val="005B06AD"/>
    <w:rsid w:val="005B53F8"/>
    <w:rsid w:val="005B732E"/>
    <w:rsid w:val="005C1B5E"/>
    <w:rsid w:val="005C75AA"/>
    <w:rsid w:val="005C7BF1"/>
    <w:rsid w:val="005D65B5"/>
    <w:rsid w:val="005D7B78"/>
    <w:rsid w:val="005E2B57"/>
    <w:rsid w:val="005E3B32"/>
    <w:rsid w:val="005E5A36"/>
    <w:rsid w:val="005E631D"/>
    <w:rsid w:val="005F13B8"/>
    <w:rsid w:val="005F2BA1"/>
    <w:rsid w:val="005F343A"/>
    <w:rsid w:val="005F3A42"/>
    <w:rsid w:val="005F6CFD"/>
    <w:rsid w:val="00606EE6"/>
    <w:rsid w:val="006072FD"/>
    <w:rsid w:val="00613314"/>
    <w:rsid w:val="00614A85"/>
    <w:rsid w:val="006158E4"/>
    <w:rsid w:val="00616EC4"/>
    <w:rsid w:val="00621389"/>
    <w:rsid w:val="00621D53"/>
    <w:rsid w:val="00626DF7"/>
    <w:rsid w:val="006271A4"/>
    <w:rsid w:val="00630686"/>
    <w:rsid w:val="00633621"/>
    <w:rsid w:val="006452A2"/>
    <w:rsid w:val="0065245B"/>
    <w:rsid w:val="00654091"/>
    <w:rsid w:val="00660EDA"/>
    <w:rsid w:val="00662F37"/>
    <w:rsid w:val="0066386E"/>
    <w:rsid w:val="00667F6F"/>
    <w:rsid w:val="00670ED3"/>
    <w:rsid w:val="00677C6A"/>
    <w:rsid w:val="00680343"/>
    <w:rsid w:val="00681036"/>
    <w:rsid w:val="00683A21"/>
    <w:rsid w:val="00684A95"/>
    <w:rsid w:val="00690F91"/>
    <w:rsid w:val="006961EF"/>
    <w:rsid w:val="006A0831"/>
    <w:rsid w:val="006A32E8"/>
    <w:rsid w:val="006A711F"/>
    <w:rsid w:val="006B2B6C"/>
    <w:rsid w:val="006C11E8"/>
    <w:rsid w:val="006C4922"/>
    <w:rsid w:val="006C4960"/>
    <w:rsid w:val="006C4FD7"/>
    <w:rsid w:val="006C7A7C"/>
    <w:rsid w:val="006D4470"/>
    <w:rsid w:val="006D44C9"/>
    <w:rsid w:val="006D521B"/>
    <w:rsid w:val="006D5335"/>
    <w:rsid w:val="006E018E"/>
    <w:rsid w:val="006E1B96"/>
    <w:rsid w:val="006E1D5A"/>
    <w:rsid w:val="006E6172"/>
    <w:rsid w:val="006F1C90"/>
    <w:rsid w:val="006F268E"/>
    <w:rsid w:val="006F2944"/>
    <w:rsid w:val="006F3FC6"/>
    <w:rsid w:val="00706F8E"/>
    <w:rsid w:val="00707E08"/>
    <w:rsid w:val="00707F4E"/>
    <w:rsid w:val="00715278"/>
    <w:rsid w:val="007156BB"/>
    <w:rsid w:val="00716B3A"/>
    <w:rsid w:val="007229B3"/>
    <w:rsid w:val="00724CDD"/>
    <w:rsid w:val="0072782D"/>
    <w:rsid w:val="007301B9"/>
    <w:rsid w:val="00730253"/>
    <w:rsid w:val="007315BF"/>
    <w:rsid w:val="00737041"/>
    <w:rsid w:val="007371D2"/>
    <w:rsid w:val="00741CCA"/>
    <w:rsid w:val="00742BA4"/>
    <w:rsid w:val="00744F3F"/>
    <w:rsid w:val="007520EB"/>
    <w:rsid w:val="00752F18"/>
    <w:rsid w:val="007530BC"/>
    <w:rsid w:val="0075325A"/>
    <w:rsid w:val="0075382C"/>
    <w:rsid w:val="0075720D"/>
    <w:rsid w:val="0077342F"/>
    <w:rsid w:val="00773C4D"/>
    <w:rsid w:val="007747FF"/>
    <w:rsid w:val="0077669E"/>
    <w:rsid w:val="00786EE6"/>
    <w:rsid w:val="00787FC8"/>
    <w:rsid w:val="0079021E"/>
    <w:rsid w:val="00791602"/>
    <w:rsid w:val="007A0CCF"/>
    <w:rsid w:val="007A65F8"/>
    <w:rsid w:val="007A7CB7"/>
    <w:rsid w:val="007B0651"/>
    <w:rsid w:val="007B2CBD"/>
    <w:rsid w:val="007B3CC2"/>
    <w:rsid w:val="007B553A"/>
    <w:rsid w:val="007B7544"/>
    <w:rsid w:val="007C0F7D"/>
    <w:rsid w:val="007C31B6"/>
    <w:rsid w:val="007C583B"/>
    <w:rsid w:val="007D1A30"/>
    <w:rsid w:val="007D227B"/>
    <w:rsid w:val="007D3B6A"/>
    <w:rsid w:val="007D5865"/>
    <w:rsid w:val="007D6FE5"/>
    <w:rsid w:val="007D7F5C"/>
    <w:rsid w:val="007E04D6"/>
    <w:rsid w:val="007E3303"/>
    <w:rsid w:val="007E438F"/>
    <w:rsid w:val="007E5516"/>
    <w:rsid w:val="007E7438"/>
    <w:rsid w:val="00802C8E"/>
    <w:rsid w:val="00802E50"/>
    <w:rsid w:val="00803B9F"/>
    <w:rsid w:val="00804A65"/>
    <w:rsid w:val="00804D1B"/>
    <w:rsid w:val="008059E1"/>
    <w:rsid w:val="00805B1B"/>
    <w:rsid w:val="00805BC6"/>
    <w:rsid w:val="00807B74"/>
    <w:rsid w:val="008101CD"/>
    <w:rsid w:val="00811B18"/>
    <w:rsid w:val="00812FC0"/>
    <w:rsid w:val="00814A26"/>
    <w:rsid w:val="00815D9F"/>
    <w:rsid w:val="00815E0D"/>
    <w:rsid w:val="00816CA5"/>
    <w:rsid w:val="00822235"/>
    <w:rsid w:val="00824F24"/>
    <w:rsid w:val="008270E8"/>
    <w:rsid w:val="00827443"/>
    <w:rsid w:val="00830AF8"/>
    <w:rsid w:val="00833AD9"/>
    <w:rsid w:val="00835160"/>
    <w:rsid w:val="00835AC7"/>
    <w:rsid w:val="00835B44"/>
    <w:rsid w:val="008378D9"/>
    <w:rsid w:val="00840A32"/>
    <w:rsid w:val="0084209E"/>
    <w:rsid w:val="00847481"/>
    <w:rsid w:val="0085121F"/>
    <w:rsid w:val="00852F2C"/>
    <w:rsid w:val="00857643"/>
    <w:rsid w:val="00857E4C"/>
    <w:rsid w:val="00862404"/>
    <w:rsid w:val="00870925"/>
    <w:rsid w:val="0087153C"/>
    <w:rsid w:val="0087798D"/>
    <w:rsid w:val="00880804"/>
    <w:rsid w:val="00882199"/>
    <w:rsid w:val="00892FE8"/>
    <w:rsid w:val="00897076"/>
    <w:rsid w:val="008A3957"/>
    <w:rsid w:val="008A63A4"/>
    <w:rsid w:val="008B0798"/>
    <w:rsid w:val="008B3243"/>
    <w:rsid w:val="008C29B8"/>
    <w:rsid w:val="008D3DB5"/>
    <w:rsid w:val="008D4958"/>
    <w:rsid w:val="008E25F4"/>
    <w:rsid w:val="008E37CF"/>
    <w:rsid w:val="008E7202"/>
    <w:rsid w:val="008F0FFF"/>
    <w:rsid w:val="008F2E39"/>
    <w:rsid w:val="008F41C7"/>
    <w:rsid w:val="009005DE"/>
    <w:rsid w:val="00902173"/>
    <w:rsid w:val="00911200"/>
    <w:rsid w:val="00915FE8"/>
    <w:rsid w:val="0092199C"/>
    <w:rsid w:val="00922FE8"/>
    <w:rsid w:val="009255A4"/>
    <w:rsid w:val="0093367A"/>
    <w:rsid w:val="009341CA"/>
    <w:rsid w:val="00940F02"/>
    <w:rsid w:val="00942001"/>
    <w:rsid w:val="00942B4C"/>
    <w:rsid w:val="00950475"/>
    <w:rsid w:val="00954FBD"/>
    <w:rsid w:val="009559D0"/>
    <w:rsid w:val="00956956"/>
    <w:rsid w:val="00961A7C"/>
    <w:rsid w:val="00964CB4"/>
    <w:rsid w:val="00966ECE"/>
    <w:rsid w:val="009710D2"/>
    <w:rsid w:val="00975142"/>
    <w:rsid w:val="00975B3E"/>
    <w:rsid w:val="00981AE0"/>
    <w:rsid w:val="00982665"/>
    <w:rsid w:val="009830B7"/>
    <w:rsid w:val="009856F7"/>
    <w:rsid w:val="00985937"/>
    <w:rsid w:val="00986E69"/>
    <w:rsid w:val="009939C3"/>
    <w:rsid w:val="00996CB9"/>
    <w:rsid w:val="009A0A17"/>
    <w:rsid w:val="009A0AB0"/>
    <w:rsid w:val="009A4879"/>
    <w:rsid w:val="009B40E1"/>
    <w:rsid w:val="009B44D0"/>
    <w:rsid w:val="009C06AF"/>
    <w:rsid w:val="009C13AF"/>
    <w:rsid w:val="009C15D2"/>
    <w:rsid w:val="009C1FC8"/>
    <w:rsid w:val="009C37B3"/>
    <w:rsid w:val="009C44B2"/>
    <w:rsid w:val="009C5A49"/>
    <w:rsid w:val="009D71DE"/>
    <w:rsid w:val="009F1763"/>
    <w:rsid w:val="009F2021"/>
    <w:rsid w:val="009F34A2"/>
    <w:rsid w:val="009F4B33"/>
    <w:rsid w:val="009F7421"/>
    <w:rsid w:val="00A01F07"/>
    <w:rsid w:val="00A02CB8"/>
    <w:rsid w:val="00A03088"/>
    <w:rsid w:val="00A03187"/>
    <w:rsid w:val="00A0405D"/>
    <w:rsid w:val="00A042F3"/>
    <w:rsid w:val="00A12A96"/>
    <w:rsid w:val="00A1459D"/>
    <w:rsid w:val="00A16C88"/>
    <w:rsid w:val="00A26927"/>
    <w:rsid w:val="00A26F45"/>
    <w:rsid w:val="00A334CD"/>
    <w:rsid w:val="00A3398F"/>
    <w:rsid w:val="00A36DD7"/>
    <w:rsid w:val="00A37338"/>
    <w:rsid w:val="00A50E51"/>
    <w:rsid w:val="00A545F0"/>
    <w:rsid w:val="00A54D89"/>
    <w:rsid w:val="00A55B6D"/>
    <w:rsid w:val="00A56EDC"/>
    <w:rsid w:val="00A60035"/>
    <w:rsid w:val="00A62B77"/>
    <w:rsid w:val="00A64263"/>
    <w:rsid w:val="00A65941"/>
    <w:rsid w:val="00A6721F"/>
    <w:rsid w:val="00A6790B"/>
    <w:rsid w:val="00A73E38"/>
    <w:rsid w:val="00A7574A"/>
    <w:rsid w:val="00A778B9"/>
    <w:rsid w:val="00A86363"/>
    <w:rsid w:val="00A912D0"/>
    <w:rsid w:val="00A921D7"/>
    <w:rsid w:val="00AA0E39"/>
    <w:rsid w:val="00AA16E1"/>
    <w:rsid w:val="00AA213D"/>
    <w:rsid w:val="00AA375A"/>
    <w:rsid w:val="00AA5DA8"/>
    <w:rsid w:val="00AB04EE"/>
    <w:rsid w:val="00AB0688"/>
    <w:rsid w:val="00AB08E4"/>
    <w:rsid w:val="00AB245A"/>
    <w:rsid w:val="00AB56C6"/>
    <w:rsid w:val="00AB5824"/>
    <w:rsid w:val="00AB7E1E"/>
    <w:rsid w:val="00AC309B"/>
    <w:rsid w:val="00AC3ED2"/>
    <w:rsid w:val="00AC5F2A"/>
    <w:rsid w:val="00AD077D"/>
    <w:rsid w:val="00AD1ACD"/>
    <w:rsid w:val="00AD356E"/>
    <w:rsid w:val="00AD361B"/>
    <w:rsid w:val="00AE7020"/>
    <w:rsid w:val="00AF3DE2"/>
    <w:rsid w:val="00AF7464"/>
    <w:rsid w:val="00B02CE6"/>
    <w:rsid w:val="00B069B2"/>
    <w:rsid w:val="00B07156"/>
    <w:rsid w:val="00B1283B"/>
    <w:rsid w:val="00B14E2B"/>
    <w:rsid w:val="00B21CE9"/>
    <w:rsid w:val="00B22772"/>
    <w:rsid w:val="00B240BF"/>
    <w:rsid w:val="00B26246"/>
    <w:rsid w:val="00B324F8"/>
    <w:rsid w:val="00B34B9B"/>
    <w:rsid w:val="00B42339"/>
    <w:rsid w:val="00B43C50"/>
    <w:rsid w:val="00B442E4"/>
    <w:rsid w:val="00B44F5B"/>
    <w:rsid w:val="00B45156"/>
    <w:rsid w:val="00B5421D"/>
    <w:rsid w:val="00B57187"/>
    <w:rsid w:val="00B60559"/>
    <w:rsid w:val="00B634D2"/>
    <w:rsid w:val="00B648F4"/>
    <w:rsid w:val="00B67762"/>
    <w:rsid w:val="00B74D44"/>
    <w:rsid w:val="00B755DE"/>
    <w:rsid w:val="00B76FA6"/>
    <w:rsid w:val="00B838CD"/>
    <w:rsid w:val="00B84725"/>
    <w:rsid w:val="00B85AFE"/>
    <w:rsid w:val="00B87E5A"/>
    <w:rsid w:val="00B91365"/>
    <w:rsid w:val="00B949DC"/>
    <w:rsid w:val="00B95B26"/>
    <w:rsid w:val="00BA0717"/>
    <w:rsid w:val="00BA37D9"/>
    <w:rsid w:val="00BA46A9"/>
    <w:rsid w:val="00BA5308"/>
    <w:rsid w:val="00BA6206"/>
    <w:rsid w:val="00BB3D16"/>
    <w:rsid w:val="00BB6AF5"/>
    <w:rsid w:val="00BB775F"/>
    <w:rsid w:val="00BD2DDA"/>
    <w:rsid w:val="00BD387E"/>
    <w:rsid w:val="00BD5063"/>
    <w:rsid w:val="00BD5B5E"/>
    <w:rsid w:val="00BE00A1"/>
    <w:rsid w:val="00BE02AD"/>
    <w:rsid w:val="00BF06D8"/>
    <w:rsid w:val="00BF0B07"/>
    <w:rsid w:val="00BF13D8"/>
    <w:rsid w:val="00BF25C1"/>
    <w:rsid w:val="00BF3B8E"/>
    <w:rsid w:val="00BF71FE"/>
    <w:rsid w:val="00C03516"/>
    <w:rsid w:val="00C05785"/>
    <w:rsid w:val="00C066D3"/>
    <w:rsid w:val="00C10A65"/>
    <w:rsid w:val="00C113EF"/>
    <w:rsid w:val="00C12BD6"/>
    <w:rsid w:val="00C162F1"/>
    <w:rsid w:val="00C342B2"/>
    <w:rsid w:val="00C36A9C"/>
    <w:rsid w:val="00C45F42"/>
    <w:rsid w:val="00C46BE4"/>
    <w:rsid w:val="00C47BDA"/>
    <w:rsid w:val="00C47D6A"/>
    <w:rsid w:val="00C53F3B"/>
    <w:rsid w:val="00C55912"/>
    <w:rsid w:val="00C55D9E"/>
    <w:rsid w:val="00C55FA0"/>
    <w:rsid w:val="00C600C7"/>
    <w:rsid w:val="00C64577"/>
    <w:rsid w:val="00C66F2A"/>
    <w:rsid w:val="00C67454"/>
    <w:rsid w:val="00C711F7"/>
    <w:rsid w:val="00C71FD9"/>
    <w:rsid w:val="00C730A6"/>
    <w:rsid w:val="00C74BF1"/>
    <w:rsid w:val="00C75281"/>
    <w:rsid w:val="00C761C8"/>
    <w:rsid w:val="00C7708C"/>
    <w:rsid w:val="00C8065A"/>
    <w:rsid w:val="00C80BCC"/>
    <w:rsid w:val="00C90906"/>
    <w:rsid w:val="00C9161B"/>
    <w:rsid w:val="00C92061"/>
    <w:rsid w:val="00C92F0A"/>
    <w:rsid w:val="00C9358D"/>
    <w:rsid w:val="00C9419D"/>
    <w:rsid w:val="00C948D1"/>
    <w:rsid w:val="00CA6252"/>
    <w:rsid w:val="00CA64CC"/>
    <w:rsid w:val="00CB23F4"/>
    <w:rsid w:val="00CB290F"/>
    <w:rsid w:val="00CB2F9A"/>
    <w:rsid w:val="00CB330D"/>
    <w:rsid w:val="00CB3BDF"/>
    <w:rsid w:val="00CB3D80"/>
    <w:rsid w:val="00CB5153"/>
    <w:rsid w:val="00CB54F7"/>
    <w:rsid w:val="00CC26BA"/>
    <w:rsid w:val="00CC2855"/>
    <w:rsid w:val="00CC2CC2"/>
    <w:rsid w:val="00CC6855"/>
    <w:rsid w:val="00CC68F1"/>
    <w:rsid w:val="00CC7DB5"/>
    <w:rsid w:val="00CD0629"/>
    <w:rsid w:val="00CD1DA1"/>
    <w:rsid w:val="00CD491A"/>
    <w:rsid w:val="00CE29F5"/>
    <w:rsid w:val="00CE4EAA"/>
    <w:rsid w:val="00CF697F"/>
    <w:rsid w:val="00CF7E2D"/>
    <w:rsid w:val="00D03252"/>
    <w:rsid w:val="00D03ACD"/>
    <w:rsid w:val="00D04E9A"/>
    <w:rsid w:val="00D051AF"/>
    <w:rsid w:val="00D05D5F"/>
    <w:rsid w:val="00D06685"/>
    <w:rsid w:val="00D126EA"/>
    <w:rsid w:val="00D13E9E"/>
    <w:rsid w:val="00D16597"/>
    <w:rsid w:val="00D206BD"/>
    <w:rsid w:val="00D30AE9"/>
    <w:rsid w:val="00D37069"/>
    <w:rsid w:val="00D41AFA"/>
    <w:rsid w:val="00D456DF"/>
    <w:rsid w:val="00D52635"/>
    <w:rsid w:val="00D5316E"/>
    <w:rsid w:val="00D62B64"/>
    <w:rsid w:val="00D6464A"/>
    <w:rsid w:val="00D66FB2"/>
    <w:rsid w:val="00D7228E"/>
    <w:rsid w:val="00D74240"/>
    <w:rsid w:val="00D75549"/>
    <w:rsid w:val="00D774EB"/>
    <w:rsid w:val="00D81702"/>
    <w:rsid w:val="00D84DA9"/>
    <w:rsid w:val="00D90C4E"/>
    <w:rsid w:val="00D91936"/>
    <w:rsid w:val="00D93318"/>
    <w:rsid w:val="00D93540"/>
    <w:rsid w:val="00D9655C"/>
    <w:rsid w:val="00D97E1D"/>
    <w:rsid w:val="00DA4C74"/>
    <w:rsid w:val="00DA7831"/>
    <w:rsid w:val="00DA7B6A"/>
    <w:rsid w:val="00DB27C1"/>
    <w:rsid w:val="00DB4853"/>
    <w:rsid w:val="00DC07CC"/>
    <w:rsid w:val="00DC0B52"/>
    <w:rsid w:val="00DC0EF1"/>
    <w:rsid w:val="00DC2421"/>
    <w:rsid w:val="00DC3FD8"/>
    <w:rsid w:val="00DC7C05"/>
    <w:rsid w:val="00DD3BD6"/>
    <w:rsid w:val="00DD6110"/>
    <w:rsid w:val="00DD7460"/>
    <w:rsid w:val="00DE4132"/>
    <w:rsid w:val="00DE48B4"/>
    <w:rsid w:val="00DE57A8"/>
    <w:rsid w:val="00DE5B33"/>
    <w:rsid w:val="00DF19C0"/>
    <w:rsid w:val="00DF1BF4"/>
    <w:rsid w:val="00DF5127"/>
    <w:rsid w:val="00DF592B"/>
    <w:rsid w:val="00DF766D"/>
    <w:rsid w:val="00DF7A5E"/>
    <w:rsid w:val="00E01137"/>
    <w:rsid w:val="00E0579B"/>
    <w:rsid w:val="00E1150F"/>
    <w:rsid w:val="00E1194B"/>
    <w:rsid w:val="00E14F31"/>
    <w:rsid w:val="00E15B69"/>
    <w:rsid w:val="00E1767A"/>
    <w:rsid w:val="00E22420"/>
    <w:rsid w:val="00E24A25"/>
    <w:rsid w:val="00E30205"/>
    <w:rsid w:val="00E31A0B"/>
    <w:rsid w:val="00E343E5"/>
    <w:rsid w:val="00E402F7"/>
    <w:rsid w:val="00E40731"/>
    <w:rsid w:val="00E451B7"/>
    <w:rsid w:val="00E4757B"/>
    <w:rsid w:val="00E475A6"/>
    <w:rsid w:val="00E5040D"/>
    <w:rsid w:val="00E5620B"/>
    <w:rsid w:val="00E56FBA"/>
    <w:rsid w:val="00E618BB"/>
    <w:rsid w:val="00E628BE"/>
    <w:rsid w:val="00E66E9A"/>
    <w:rsid w:val="00E722B9"/>
    <w:rsid w:val="00E73A55"/>
    <w:rsid w:val="00E74614"/>
    <w:rsid w:val="00E74A11"/>
    <w:rsid w:val="00E81B7A"/>
    <w:rsid w:val="00E83783"/>
    <w:rsid w:val="00E87866"/>
    <w:rsid w:val="00E902CB"/>
    <w:rsid w:val="00E941E7"/>
    <w:rsid w:val="00E94B1B"/>
    <w:rsid w:val="00E9613F"/>
    <w:rsid w:val="00E96720"/>
    <w:rsid w:val="00EA589C"/>
    <w:rsid w:val="00EA69C8"/>
    <w:rsid w:val="00EB23B5"/>
    <w:rsid w:val="00EB6B23"/>
    <w:rsid w:val="00EB6C89"/>
    <w:rsid w:val="00EC0F1C"/>
    <w:rsid w:val="00ED1C6B"/>
    <w:rsid w:val="00ED24F9"/>
    <w:rsid w:val="00ED25EA"/>
    <w:rsid w:val="00ED3246"/>
    <w:rsid w:val="00ED5BBE"/>
    <w:rsid w:val="00ED5E5F"/>
    <w:rsid w:val="00EE71A8"/>
    <w:rsid w:val="00EF06CD"/>
    <w:rsid w:val="00EF1A1D"/>
    <w:rsid w:val="00EF26CB"/>
    <w:rsid w:val="00EF279C"/>
    <w:rsid w:val="00EF430B"/>
    <w:rsid w:val="00EF6198"/>
    <w:rsid w:val="00EF6581"/>
    <w:rsid w:val="00EF72F0"/>
    <w:rsid w:val="00F0112D"/>
    <w:rsid w:val="00F01312"/>
    <w:rsid w:val="00F04A27"/>
    <w:rsid w:val="00F05262"/>
    <w:rsid w:val="00F115B9"/>
    <w:rsid w:val="00F1341C"/>
    <w:rsid w:val="00F2111E"/>
    <w:rsid w:val="00F26F90"/>
    <w:rsid w:val="00F27552"/>
    <w:rsid w:val="00F3410A"/>
    <w:rsid w:val="00F36551"/>
    <w:rsid w:val="00F41458"/>
    <w:rsid w:val="00F47A71"/>
    <w:rsid w:val="00F52FBA"/>
    <w:rsid w:val="00F532E2"/>
    <w:rsid w:val="00F53FC6"/>
    <w:rsid w:val="00F55C53"/>
    <w:rsid w:val="00F55CB9"/>
    <w:rsid w:val="00F562AB"/>
    <w:rsid w:val="00F57BDC"/>
    <w:rsid w:val="00F6689F"/>
    <w:rsid w:val="00F717C8"/>
    <w:rsid w:val="00F72983"/>
    <w:rsid w:val="00F742B0"/>
    <w:rsid w:val="00F77979"/>
    <w:rsid w:val="00F8101A"/>
    <w:rsid w:val="00F817A4"/>
    <w:rsid w:val="00F851E5"/>
    <w:rsid w:val="00F86A0C"/>
    <w:rsid w:val="00F86F19"/>
    <w:rsid w:val="00F87850"/>
    <w:rsid w:val="00F879DC"/>
    <w:rsid w:val="00F9394B"/>
    <w:rsid w:val="00F9552C"/>
    <w:rsid w:val="00FA1089"/>
    <w:rsid w:val="00FA432E"/>
    <w:rsid w:val="00FA674A"/>
    <w:rsid w:val="00FB4475"/>
    <w:rsid w:val="00FC0917"/>
    <w:rsid w:val="00FC23B4"/>
    <w:rsid w:val="00FC5CD6"/>
    <w:rsid w:val="00FC6FF5"/>
    <w:rsid w:val="00FD4796"/>
    <w:rsid w:val="00FE07F2"/>
    <w:rsid w:val="00FE11CB"/>
    <w:rsid w:val="00FE4014"/>
    <w:rsid w:val="00FF30AD"/>
    <w:rsid w:val="00FF71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246"/>
    <w:pPr>
      <w:spacing w:line="480" w:lineRule="auto"/>
      <w:jc w:val="both"/>
    </w:pPr>
    <w:rPr>
      <w:sz w:val="24"/>
      <w:szCs w:val="24"/>
      <w:lang w:val="en-GB" w:eastAsia="en-IN"/>
    </w:rPr>
  </w:style>
  <w:style w:type="paragraph" w:styleId="Titre1">
    <w:name w:val="heading 1"/>
    <w:basedOn w:val="Normal"/>
    <w:next w:val="Normal"/>
    <w:qFormat/>
    <w:rsid w:val="00504C01"/>
    <w:pPr>
      <w:keepNext/>
      <w:numPr>
        <w:numId w:val="3"/>
      </w:numPr>
      <w:spacing w:before="240" w:after="60"/>
      <w:outlineLvl w:val="0"/>
    </w:pPr>
    <w:rPr>
      <w:rFonts w:cs="Arial"/>
      <w:b/>
      <w:bCs/>
      <w:caps/>
      <w:kern w:val="32"/>
      <w:szCs w:val="32"/>
    </w:rPr>
  </w:style>
  <w:style w:type="paragraph" w:styleId="Titre2">
    <w:name w:val="heading 2"/>
    <w:basedOn w:val="Normal"/>
    <w:next w:val="Normal"/>
    <w:qFormat/>
    <w:rsid w:val="00B42339"/>
    <w:pPr>
      <w:keepNext/>
      <w:numPr>
        <w:ilvl w:val="1"/>
        <w:numId w:val="3"/>
      </w:numPr>
      <w:ind w:left="788" w:hanging="431"/>
      <w:outlineLvl w:val="1"/>
    </w:pPr>
    <w:rPr>
      <w:rFonts w:cs="Arial"/>
      <w:b/>
      <w:bCs/>
      <w:iCs/>
      <w:szCs w:val="28"/>
    </w:rPr>
  </w:style>
  <w:style w:type="paragraph" w:styleId="Titre3">
    <w:name w:val="heading 3"/>
    <w:basedOn w:val="Normal"/>
    <w:next w:val="Normal"/>
    <w:link w:val="Titre3Car"/>
    <w:qFormat/>
    <w:rsid w:val="00B42339"/>
    <w:pPr>
      <w:keepNext/>
      <w:spacing w:before="240" w:after="60"/>
      <w:outlineLvl w:val="2"/>
    </w:pPr>
    <w:rPr>
      <w:rFonts w:cs="Arial"/>
      <w:b/>
      <w:bCs/>
      <w:szCs w:val="26"/>
    </w:rPr>
  </w:style>
  <w:style w:type="paragraph" w:styleId="Titre4">
    <w:name w:val="heading 4"/>
    <w:basedOn w:val="Normal"/>
    <w:next w:val="Normal"/>
    <w:qFormat/>
    <w:rsid w:val="0055471B"/>
    <w:pPr>
      <w:keepNext/>
      <w:spacing w:before="240" w:after="60"/>
      <w:outlineLvl w:val="3"/>
    </w:pPr>
    <w:rPr>
      <w:b/>
      <w:bCs/>
      <w:sz w:val="28"/>
      <w:szCs w:val="28"/>
    </w:rPr>
  </w:style>
  <w:style w:type="paragraph" w:styleId="Titre9">
    <w:name w:val="heading 9"/>
    <w:basedOn w:val="Normal"/>
    <w:next w:val="Normal"/>
    <w:link w:val="Titre9Car"/>
    <w:semiHidden/>
    <w:unhideWhenUsed/>
    <w:qFormat/>
    <w:rsid w:val="007229B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yleAqua">
    <w:name w:val="Style Aqua"/>
    <w:basedOn w:val="Policepardfaut"/>
    <w:rsid w:val="0055471B"/>
    <w:rPr>
      <w:color w:val="3366FF"/>
    </w:rPr>
  </w:style>
  <w:style w:type="paragraph" w:styleId="TM1">
    <w:name w:val="toc 1"/>
    <w:basedOn w:val="Normal"/>
    <w:next w:val="Normal"/>
    <w:autoRedefine/>
    <w:semiHidden/>
    <w:rsid w:val="00504C01"/>
    <w:pPr>
      <w:spacing w:before="120" w:after="120"/>
      <w:jc w:val="left"/>
    </w:pPr>
    <w:rPr>
      <w:b/>
      <w:bCs/>
      <w:caps/>
      <w:sz w:val="20"/>
      <w:szCs w:val="20"/>
    </w:rPr>
  </w:style>
  <w:style w:type="numbering" w:styleId="111111">
    <w:name w:val="Outline List 2"/>
    <w:basedOn w:val="Aucuneliste"/>
    <w:rsid w:val="000D035F"/>
    <w:pPr>
      <w:numPr>
        <w:numId w:val="1"/>
      </w:numPr>
    </w:pPr>
  </w:style>
  <w:style w:type="paragraph" w:styleId="TM2">
    <w:name w:val="toc 2"/>
    <w:basedOn w:val="Normal"/>
    <w:next w:val="Normal"/>
    <w:autoRedefine/>
    <w:semiHidden/>
    <w:rsid w:val="00504C01"/>
    <w:pPr>
      <w:ind w:left="240"/>
      <w:jc w:val="left"/>
    </w:pPr>
    <w:rPr>
      <w:smallCaps/>
      <w:sz w:val="20"/>
      <w:szCs w:val="20"/>
    </w:rPr>
  </w:style>
  <w:style w:type="paragraph" w:styleId="TM3">
    <w:name w:val="toc 3"/>
    <w:basedOn w:val="Normal"/>
    <w:next w:val="Normal"/>
    <w:autoRedefine/>
    <w:semiHidden/>
    <w:rsid w:val="00504C01"/>
    <w:pPr>
      <w:ind w:left="480"/>
      <w:jc w:val="left"/>
    </w:pPr>
    <w:rPr>
      <w:i/>
      <w:iCs/>
      <w:sz w:val="20"/>
      <w:szCs w:val="20"/>
    </w:rPr>
  </w:style>
  <w:style w:type="paragraph" w:styleId="TM4">
    <w:name w:val="toc 4"/>
    <w:basedOn w:val="Normal"/>
    <w:next w:val="Normal"/>
    <w:autoRedefine/>
    <w:semiHidden/>
    <w:rsid w:val="00504C01"/>
    <w:pPr>
      <w:ind w:left="720"/>
      <w:jc w:val="left"/>
    </w:pPr>
    <w:rPr>
      <w:sz w:val="18"/>
      <w:szCs w:val="18"/>
    </w:rPr>
  </w:style>
  <w:style w:type="paragraph" w:styleId="TM5">
    <w:name w:val="toc 5"/>
    <w:basedOn w:val="Normal"/>
    <w:next w:val="Normal"/>
    <w:autoRedefine/>
    <w:semiHidden/>
    <w:rsid w:val="00504C01"/>
    <w:pPr>
      <w:ind w:left="960"/>
      <w:jc w:val="left"/>
    </w:pPr>
    <w:rPr>
      <w:sz w:val="18"/>
      <w:szCs w:val="18"/>
    </w:rPr>
  </w:style>
  <w:style w:type="paragraph" w:styleId="TM6">
    <w:name w:val="toc 6"/>
    <w:basedOn w:val="Normal"/>
    <w:next w:val="Normal"/>
    <w:autoRedefine/>
    <w:semiHidden/>
    <w:rsid w:val="00504C01"/>
    <w:pPr>
      <w:ind w:left="1200"/>
      <w:jc w:val="left"/>
    </w:pPr>
    <w:rPr>
      <w:sz w:val="18"/>
      <w:szCs w:val="18"/>
    </w:rPr>
  </w:style>
  <w:style w:type="paragraph" w:styleId="TM7">
    <w:name w:val="toc 7"/>
    <w:basedOn w:val="Normal"/>
    <w:next w:val="Normal"/>
    <w:autoRedefine/>
    <w:semiHidden/>
    <w:rsid w:val="00504C01"/>
    <w:pPr>
      <w:ind w:left="1440"/>
      <w:jc w:val="left"/>
    </w:pPr>
    <w:rPr>
      <w:sz w:val="18"/>
      <w:szCs w:val="18"/>
    </w:rPr>
  </w:style>
  <w:style w:type="paragraph" w:styleId="TM8">
    <w:name w:val="toc 8"/>
    <w:basedOn w:val="Normal"/>
    <w:next w:val="Normal"/>
    <w:autoRedefine/>
    <w:semiHidden/>
    <w:rsid w:val="00504C01"/>
    <w:pPr>
      <w:ind w:left="1680"/>
      <w:jc w:val="left"/>
    </w:pPr>
    <w:rPr>
      <w:sz w:val="18"/>
      <w:szCs w:val="18"/>
    </w:rPr>
  </w:style>
  <w:style w:type="paragraph" w:styleId="TM9">
    <w:name w:val="toc 9"/>
    <w:basedOn w:val="Normal"/>
    <w:next w:val="Normal"/>
    <w:autoRedefine/>
    <w:semiHidden/>
    <w:rsid w:val="00504C01"/>
    <w:pPr>
      <w:ind w:left="1920"/>
      <w:jc w:val="left"/>
    </w:pPr>
    <w:rPr>
      <w:sz w:val="18"/>
      <w:szCs w:val="18"/>
    </w:rPr>
  </w:style>
  <w:style w:type="character" w:styleId="Lienhypertexte">
    <w:name w:val="Hyperlink"/>
    <w:basedOn w:val="Policepardfaut"/>
    <w:uiPriority w:val="99"/>
    <w:rsid w:val="00504C01"/>
    <w:rPr>
      <w:color w:val="0000FF"/>
      <w:u w:val="single"/>
    </w:rPr>
  </w:style>
  <w:style w:type="table" w:styleId="Tableauclassique1">
    <w:name w:val="Table Classic 1"/>
    <w:basedOn w:val="TableauNormal"/>
    <w:rsid w:val="00BD5063"/>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reference-text">
    <w:name w:val="reference-text"/>
    <w:basedOn w:val="Policepardfaut"/>
    <w:rsid w:val="004C4932"/>
  </w:style>
  <w:style w:type="character" w:customStyle="1" w:styleId="mw-cite-backlink">
    <w:name w:val="mw-cite-backlink"/>
    <w:basedOn w:val="Policepardfaut"/>
    <w:rsid w:val="004C4932"/>
  </w:style>
  <w:style w:type="paragraph" w:customStyle="1" w:styleId="Diag">
    <w:name w:val="Diag"/>
    <w:basedOn w:val="Normal"/>
    <w:link w:val="DiagCar"/>
    <w:rsid w:val="00491E94"/>
    <w:pPr>
      <w:autoSpaceDE w:val="0"/>
      <w:autoSpaceDN w:val="0"/>
      <w:adjustRightInd w:val="0"/>
      <w:jc w:val="center"/>
    </w:pPr>
    <w:rPr>
      <w:rFonts w:ascii="Calibri" w:hAnsi="Calibri" w:cs="Garamond-Book"/>
      <w:sz w:val="18"/>
      <w:szCs w:val="18"/>
      <w:lang w:val="fr-FR" w:eastAsia="fr-FR"/>
    </w:rPr>
  </w:style>
  <w:style w:type="character" w:customStyle="1" w:styleId="DiagCar">
    <w:name w:val="Diag Car"/>
    <w:basedOn w:val="Policepardfaut"/>
    <w:link w:val="Diag"/>
    <w:locked/>
    <w:rsid w:val="00491E94"/>
    <w:rPr>
      <w:rFonts w:ascii="Calibri" w:hAnsi="Calibri" w:cs="Garamond-Book"/>
      <w:sz w:val="18"/>
      <w:szCs w:val="18"/>
      <w:lang w:val="fr-FR" w:eastAsia="fr-FR" w:bidi="ar-SA"/>
    </w:rPr>
  </w:style>
  <w:style w:type="paragraph" w:customStyle="1" w:styleId="Figure">
    <w:name w:val="Figure"/>
    <w:basedOn w:val="Normal"/>
    <w:next w:val="Normal"/>
    <w:link w:val="FigureCar"/>
    <w:rsid w:val="006452A2"/>
    <w:pPr>
      <w:numPr>
        <w:numId w:val="7"/>
      </w:numPr>
    </w:pPr>
    <w:rPr>
      <w:noProof/>
      <w:sz w:val="20"/>
    </w:rPr>
  </w:style>
  <w:style w:type="paragraph" w:customStyle="1" w:styleId="StyleFigureLeft0cmFirstline0cm">
    <w:name w:val="Style Figure + Left:  0 cm First line:  0 cm"/>
    <w:basedOn w:val="Figure"/>
    <w:next w:val="Normal"/>
    <w:rsid w:val="00491E94"/>
    <w:pPr>
      <w:ind w:left="0" w:firstLine="0"/>
    </w:pPr>
    <w:rPr>
      <w:szCs w:val="20"/>
    </w:rPr>
  </w:style>
  <w:style w:type="character" w:customStyle="1" w:styleId="apple-converted-space">
    <w:name w:val="apple-converted-space"/>
    <w:basedOn w:val="Policepardfaut"/>
    <w:rsid w:val="000C24A3"/>
  </w:style>
  <w:style w:type="paragraph" w:customStyle="1" w:styleId="Table">
    <w:name w:val="Table"/>
    <w:basedOn w:val="Figure"/>
    <w:next w:val="Normal"/>
    <w:link w:val="TableCar"/>
    <w:rsid w:val="006452A2"/>
    <w:pPr>
      <w:numPr>
        <w:numId w:val="4"/>
      </w:numPr>
    </w:pPr>
  </w:style>
  <w:style w:type="paragraph" w:styleId="Tabledesillustrations">
    <w:name w:val="table of figures"/>
    <w:basedOn w:val="Normal"/>
    <w:next w:val="Normal"/>
    <w:semiHidden/>
    <w:rsid w:val="00477230"/>
  </w:style>
  <w:style w:type="character" w:customStyle="1" w:styleId="Titre9Car">
    <w:name w:val="Titre 9 Car"/>
    <w:basedOn w:val="Policepardfaut"/>
    <w:link w:val="Titre9"/>
    <w:semiHidden/>
    <w:rsid w:val="007229B3"/>
    <w:rPr>
      <w:rFonts w:asciiTheme="majorHAnsi" w:eastAsiaTheme="majorEastAsia" w:hAnsiTheme="majorHAnsi" w:cstheme="majorBidi"/>
      <w:i/>
      <w:iCs/>
      <w:color w:val="404040" w:themeColor="text1" w:themeTint="BF"/>
      <w:lang w:val="en-IN" w:eastAsia="en-IN"/>
    </w:rPr>
  </w:style>
  <w:style w:type="paragraph" w:styleId="Corpsdetexte">
    <w:name w:val="Body Text"/>
    <w:basedOn w:val="Normal"/>
    <w:link w:val="CorpsdetexteCar"/>
    <w:uiPriority w:val="99"/>
    <w:rsid w:val="007229B3"/>
    <w:pPr>
      <w:autoSpaceDE w:val="0"/>
      <w:autoSpaceDN w:val="0"/>
      <w:spacing w:line="240" w:lineRule="auto"/>
    </w:pPr>
    <w:rPr>
      <w:lang w:eastAsia="en-US"/>
    </w:rPr>
  </w:style>
  <w:style w:type="character" w:customStyle="1" w:styleId="CorpsdetexteCar">
    <w:name w:val="Corps de texte Car"/>
    <w:basedOn w:val="Policepardfaut"/>
    <w:link w:val="Corpsdetexte"/>
    <w:uiPriority w:val="99"/>
    <w:rsid w:val="007229B3"/>
    <w:rPr>
      <w:sz w:val="24"/>
      <w:szCs w:val="24"/>
      <w:lang w:val="en-GB" w:eastAsia="en-US"/>
    </w:rPr>
  </w:style>
  <w:style w:type="paragraph" w:styleId="Textedebulles">
    <w:name w:val="Balloon Text"/>
    <w:basedOn w:val="Normal"/>
    <w:link w:val="TextedebullesCar"/>
    <w:rsid w:val="00120DBE"/>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120DBE"/>
    <w:rPr>
      <w:rFonts w:ascii="Tahoma" w:hAnsi="Tahoma" w:cs="Tahoma"/>
      <w:sz w:val="16"/>
      <w:szCs w:val="16"/>
      <w:lang w:val="en-IN" w:eastAsia="en-IN"/>
    </w:rPr>
  </w:style>
  <w:style w:type="paragraph" w:styleId="En-tte">
    <w:name w:val="header"/>
    <w:basedOn w:val="Normal"/>
    <w:link w:val="En-tteCar"/>
    <w:rsid w:val="00C55FA0"/>
    <w:pPr>
      <w:tabs>
        <w:tab w:val="center" w:pos="4536"/>
        <w:tab w:val="right" w:pos="9072"/>
      </w:tabs>
      <w:spacing w:line="240" w:lineRule="auto"/>
    </w:pPr>
  </w:style>
  <w:style w:type="character" w:customStyle="1" w:styleId="En-tteCar">
    <w:name w:val="En-tête Car"/>
    <w:basedOn w:val="Policepardfaut"/>
    <w:link w:val="En-tte"/>
    <w:rsid w:val="00C55FA0"/>
    <w:rPr>
      <w:sz w:val="24"/>
      <w:szCs w:val="24"/>
      <w:lang w:val="en-IN" w:eastAsia="en-IN"/>
    </w:rPr>
  </w:style>
  <w:style w:type="paragraph" w:styleId="Pieddepage">
    <w:name w:val="footer"/>
    <w:basedOn w:val="Normal"/>
    <w:link w:val="PieddepageCar"/>
    <w:uiPriority w:val="99"/>
    <w:rsid w:val="00C55FA0"/>
    <w:pPr>
      <w:tabs>
        <w:tab w:val="center" w:pos="4536"/>
        <w:tab w:val="right" w:pos="9072"/>
      </w:tabs>
      <w:spacing w:line="240" w:lineRule="auto"/>
    </w:pPr>
  </w:style>
  <w:style w:type="character" w:customStyle="1" w:styleId="PieddepageCar">
    <w:name w:val="Pied de page Car"/>
    <w:basedOn w:val="Policepardfaut"/>
    <w:link w:val="Pieddepage"/>
    <w:uiPriority w:val="99"/>
    <w:rsid w:val="00C55FA0"/>
    <w:rPr>
      <w:sz w:val="24"/>
      <w:szCs w:val="24"/>
      <w:lang w:val="en-IN" w:eastAsia="en-IN"/>
    </w:rPr>
  </w:style>
  <w:style w:type="character" w:styleId="Marquedecommentaire">
    <w:name w:val="annotation reference"/>
    <w:basedOn w:val="Policepardfaut"/>
    <w:rsid w:val="001D7264"/>
    <w:rPr>
      <w:sz w:val="16"/>
      <w:szCs w:val="16"/>
    </w:rPr>
  </w:style>
  <w:style w:type="paragraph" w:styleId="Commentaire">
    <w:name w:val="annotation text"/>
    <w:basedOn w:val="Normal"/>
    <w:link w:val="CommentaireCar"/>
    <w:rsid w:val="001D7264"/>
    <w:pPr>
      <w:spacing w:line="240" w:lineRule="auto"/>
    </w:pPr>
    <w:rPr>
      <w:sz w:val="20"/>
      <w:szCs w:val="20"/>
    </w:rPr>
  </w:style>
  <w:style w:type="character" w:customStyle="1" w:styleId="CommentaireCar">
    <w:name w:val="Commentaire Car"/>
    <w:basedOn w:val="Policepardfaut"/>
    <w:link w:val="Commentaire"/>
    <w:rsid w:val="001D7264"/>
    <w:rPr>
      <w:lang w:val="en-IN" w:eastAsia="en-IN"/>
    </w:rPr>
  </w:style>
  <w:style w:type="paragraph" w:styleId="Objetducommentaire">
    <w:name w:val="annotation subject"/>
    <w:basedOn w:val="Commentaire"/>
    <w:next w:val="Commentaire"/>
    <w:link w:val="ObjetducommentaireCar"/>
    <w:rsid w:val="001D7264"/>
    <w:rPr>
      <w:b/>
      <w:bCs/>
    </w:rPr>
  </w:style>
  <w:style w:type="character" w:customStyle="1" w:styleId="ObjetducommentaireCar">
    <w:name w:val="Objet du commentaire Car"/>
    <w:basedOn w:val="CommentaireCar"/>
    <w:link w:val="Objetducommentaire"/>
    <w:rsid w:val="001D7264"/>
    <w:rPr>
      <w:b/>
      <w:bCs/>
      <w:lang w:val="en-IN" w:eastAsia="en-IN"/>
    </w:rPr>
  </w:style>
  <w:style w:type="paragraph" w:customStyle="1" w:styleId="Table1">
    <w:name w:val="Table1"/>
    <w:basedOn w:val="Table"/>
    <w:link w:val="Table1Car"/>
    <w:qFormat/>
    <w:rsid w:val="00EC0F1C"/>
    <w:pPr>
      <w:numPr>
        <w:numId w:val="12"/>
      </w:numPr>
    </w:pPr>
    <w:rPr>
      <w:szCs w:val="20"/>
    </w:rPr>
  </w:style>
  <w:style w:type="paragraph" w:customStyle="1" w:styleId="Figure1">
    <w:name w:val="Figure1"/>
    <w:basedOn w:val="Figure"/>
    <w:link w:val="Figure1Car"/>
    <w:qFormat/>
    <w:rsid w:val="00EC0F1C"/>
    <w:pPr>
      <w:numPr>
        <w:numId w:val="13"/>
      </w:numPr>
      <w:spacing w:line="240" w:lineRule="auto"/>
      <w:ind w:left="828" w:hanging="357"/>
    </w:pPr>
  </w:style>
  <w:style w:type="character" w:customStyle="1" w:styleId="FigureCar">
    <w:name w:val="Figure Car"/>
    <w:basedOn w:val="Policepardfaut"/>
    <w:link w:val="Figure"/>
    <w:rsid w:val="00EC0F1C"/>
    <w:rPr>
      <w:noProof/>
      <w:szCs w:val="24"/>
      <w:lang w:val="en-IN" w:eastAsia="en-IN"/>
    </w:rPr>
  </w:style>
  <w:style w:type="character" w:customStyle="1" w:styleId="TableCar">
    <w:name w:val="Table Car"/>
    <w:basedOn w:val="FigureCar"/>
    <w:link w:val="Table"/>
    <w:rsid w:val="00EC0F1C"/>
    <w:rPr>
      <w:noProof/>
      <w:szCs w:val="24"/>
      <w:lang w:val="en-IN" w:eastAsia="en-IN"/>
    </w:rPr>
  </w:style>
  <w:style w:type="character" w:customStyle="1" w:styleId="Table1Car">
    <w:name w:val="Table1 Car"/>
    <w:basedOn w:val="TableCar"/>
    <w:link w:val="Table1"/>
    <w:rsid w:val="00EC0F1C"/>
    <w:rPr>
      <w:noProof/>
      <w:szCs w:val="24"/>
      <w:lang w:val="en-IN" w:eastAsia="en-IN"/>
    </w:rPr>
  </w:style>
  <w:style w:type="character" w:customStyle="1" w:styleId="Figure1Car">
    <w:name w:val="Figure1 Car"/>
    <w:basedOn w:val="FigureCar"/>
    <w:link w:val="Figure1"/>
    <w:rsid w:val="00EC0F1C"/>
    <w:rPr>
      <w:noProof/>
      <w:szCs w:val="24"/>
      <w:lang w:val="en-IN" w:eastAsia="en-IN"/>
    </w:rPr>
  </w:style>
  <w:style w:type="paragraph" w:styleId="Paragraphedeliste">
    <w:name w:val="List Paragraph"/>
    <w:basedOn w:val="Normal"/>
    <w:uiPriority w:val="34"/>
    <w:qFormat/>
    <w:rsid w:val="00F01312"/>
    <w:pPr>
      <w:ind w:left="720"/>
      <w:contextualSpacing/>
    </w:pPr>
  </w:style>
  <w:style w:type="paragraph" w:styleId="Rvision">
    <w:name w:val="Revision"/>
    <w:hidden/>
    <w:uiPriority w:val="99"/>
    <w:semiHidden/>
    <w:rsid w:val="00401F68"/>
    <w:rPr>
      <w:sz w:val="24"/>
      <w:szCs w:val="24"/>
      <w:lang w:val="en-IN" w:eastAsia="en-IN"/>
    </w:rPr>
  </w:style>
  <w:style w:type="character" w:styleId="Numrodeligne">
    <w:name w:val="line number"/>
    <w:basedOn w:val="Policepardfaut"/>
    <w:rsid w:val="00882199"/>
  </w:style>
  <w:style w:type="paragraph" w:styleId="Notedebasdepage">
    <w:name w:val="footnote text"/>
    <w:basedOn w:val="Normal"/>
    <w:link w:val="NotedebasdepageCar"/>
    <w:rsid w:val="00472E6B"/>
    <w:pPr>
      <w:spacing w:before="120" w:after="120" w:line="240" w:lineRule="auto"/>
      <w:ind w:firstLine="425"/>
    </w:pPr>
    <w:rPr>
      <w:rFonts w:asciiTheme="minorHAnsi" w:eastAsia="Calibri" w:hAnsiTheme="minorHAnsi" w:cs="Arial"/>
      <w:sz w:val="20"/>
      <w:szCs w:val="20"/>
      <w:lang w:val="en-US" w:eastAsia="en-US"/>
    </w:rPr>
  </w:style>
  <w:style w:type="character" w:customStyle="1" w:styleId="NotedebasdepageCar">
    <w:name w:val="Note de bas de page Car"/>
    <w:basedOn w:val="Policepardfaut"/>
    <w:link w:val="Notedebasdepage"/>
    <w:rsid w:val="00472E6B"/>
    <w:rPr>
      <w:rFonts w:asciiTheme="minorHAnsi" w:eastAsia="Calibri" w:hAnsiTheme="minorHAnsi" w:cs="Arial"/>
      <w:lang w:val="en-US" w:eastAsia="en-US"/>
    </w:rPr>
  </w:style>
  <w:style w:type="character" w:styleId="Appelnotedebasdep">
    <w:name w:val="footnote reference"/>
    <w:rsid w:val="00472E6B"/>
    <w:rPr>
      <w:vertAlign w:val="superscript"/>
    </w:rPr>
  </w:style>
  <w:style w:type="character" w:customStyle="1" w:styleId="Titre3Car">
    <w:name w:val="Titre 3 Car"/>
    <w:basedOn w:val="Policepardfaut"/>
    <w:link w:val="Titre3"/>
    <w:rsid w:val="00633621"/>
    <w:rPr>
      <w:rFonts w:cs="Arial"/>
      <w:b/>
      <w:bCs/>
      <w:sz w:val="24"/>
      <w:szCs w:val="26"/>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Aqua">
    <w:name w:val="1111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7970">
      <w:bodyDiv w:val="1"/>
      <w:marLeft w:val="0"/>
      <w:marRight w:val="0"/>
      <w:marTop w:val="0"/>
      <w:marBottom w:val="0"/>
      <w:divBdr>
        <w:top w:val="none" w:sz="0" w:space="0" w:color="auto"/>
        <w:left w:val="none" w:sz="0" w:space="0" w:color="auto"/>
        <w:bottom w:val="none" w:sz="0" w:space="0" w:color="auto"/>
        <w:right w:val="none" w:sz="0" w:space="0" w:color="auto"/>
      </w:divBdr>
    </w:div>
    <w:div w:id="252133899">
      <w:bodyDiv w:val="1"/>
      <w:marLeft w:val="0"/>
      <w:marRight w:val="0"/>
      <w:marTop w:val="0"/>
      <w:marBottom w:val="0"/>
      <w:divBdr>
        <w:top w:val="none" w:sz="0" w:space="0" w:color="auto"/>
        <w:left w:val="none" w:sz="0" w:space="0" w:color="auto"/>
        <w:bottom w:val="none" w:sz="0" w:space="0" w:color="auto"/>
        <w:right w:val="none" w:sz="0" w:space="0" w:color="auto"/>
      </w:divBdr>
    </w:div>
    <w:div w:id="486170170">
      <w:bodyDiv w:val="1"/>
      <w:marLeft w:val="0"/>
      <w:marRight w:val="0"/>
      <w:marTop w:val="0"/>
      <w:marBottom w:val="0"/>
      <w:divBdr>
        <w:top w:val="none" w:sz="0" w:space="0" w:color="auto"/>
        <w:left w:val="none" w:sz="0" w:space="0" w:color="auto"/>
        <w:bottom w:val="none" w:sz="0" w:space="0" w:color="auto"/>
        <w:right w:val="none" w:sz="0" w:space="0" w:color="auto"/>
      </w:divBdr>
    </w:div>
    <w:div w:id="830217825">
      <w:bodyDiv w:val="1"/>
      <w:marLeft w:val="0"/>
      <w:marRight w:val="0"/>
      <w:marTop w:val="0"/>
      <w:marBottom w:val="0"/>
      <w:divBdr>
        <w:top w:val="none" w:sz="0" w:space="0" w:color="auto"/>
        <w:left w:val="none" w:sz="0" w:space="0" w:color="auto"/>
        <w:bottom w:val="none" w:sz="0" w:space="0" w:color="auto"/>
        <w:right w:val="none" w:sz="0" w:space="0" w:color="auto"/>
      </w:divBdr>
    </w:div>
    <w:div w:id="1079014450">
      <w:bodyDiv w:val="1"/>
      <w:marLeft w:val="0"/>
      <w:marRight w:val="0"/>
      <w:marTop w:val="0"/>
      <w:marBottom w:val="0"/>
      <w:divBdr>
        <w:top w:val="none" w:sz="0" w:space="0" w:color="auto"/>
        <w:left w:val="none" w:sz="0" w:space="0" w:color="auto"/>
        <w:bottom w:val="none" w:sz="0" w:space="0" w:color="auto"/>
        <w:right w:val="none" w:sz="0" w:space="0" w:color="auto"/>
      </w:divBdr>
    </w:div>
    <w:div w:id="1511336994">
      <w:bodyDiv w:val="1"/>
      <w:marLeft w:val="0"/>
      <w:marRight w:val="0"/>
      <w:marTop w:val="0"/>
      <w:marBottom w:val="0"/>
      <w:divBdr>
        <w:top w:val="none" w:sz="0" w:space="0" w:color="auto"/>
        <w:left w:val="none" w:sz="0" w:space="0" w:color="auto"/>
        <w:bottom w:val="none" w:sz="0" w:space="0" w:color="auto"/>
        <w:right w:val="none" w:sz="0" w:space="0" w:color="auto"/>
      </w:divBdr>
    </w:div>
    <w:div w:id="2012557596">
      <w:bodyDiv w:val="1"/>
      <w:marLeft w:val="0"/>
      <w:marRight w:val="0"/>
      <w:marTop w:val="0"/>
      <w:marBottom w:val="0"/>
      <w:divBdr>
        <w:top w:val="none" w:sz="0" w:space="0" w:color="auto"/>
        <w:left w:val="none" w:sz="0" w:space="0" w:color="auto"/>
        <w:bottom w:val="none" w:sz="0" w:space="0" w:color="auto"/>
        <w:right w:val="none" w:sz="0" w:space="0" w:color="auto"/>
      </w:divBdr>
      <w:divsChild>
        <w:div w:id="1062753025">
          <w:marLeft w:val="806"/>
          <w:marRight w:val="0"/>
          <w:marTop w:val="0"/>
          <w:marBottom w:val="0"/>
          <w:divBdr>
            <w:top w:val="none" w:sz="0" w:space="0" w:color="auto"/>
            <w:left w:val="none" w:sz="0" w:space="0" w:color="auto"/>
            <w:bottom w:val="none" w:sz="0" w:space="0" w:color="auto"/>
            <w:right w:val="none" w:sz="0" w:space="0" w:color="auto"/>
          </w:divBdr>
        </w:div>
        <w:div w:id="1219587261">
          <w:marLeft w:val="806"/>
          <w:marRight w:val="0"/>
          <w:marTop w:val="0"/>
          <w:marBottom w:val="0"/>
          <w:divBdr>
            <w:top w:val="none" w:sz="0" w:space="0" w:color="auto"/>
            <w:left w:val="none" w:sz="0" w:space="0" w:color="auto"/>
            <w:bottom w:val="none" w:sz="0" w:space="0" w:color="auto"/>
            <w:right w:val="none" w:sz="0" w:space="0" w:color="auto"/>
          </w:divBdr>
        </w:div>
      </w:divsChild>
    </w:div>
    <w:div w:id="2046170402">
      <w:bodyDiv w:val="1"/>
      <w:marLeft w:val="0"/>
      <w:marRight w:val="0"/>
      <w:marTop w:val="0"/>
      <w:marBottom w:val="0"/>
      <w:divBdr>
        <w:top w:val="none" w:sz="0" w:space="0" w:color="auto"/>
        <w:left w:val="none" w:sz="0" w:space="0" w:color="auto"/>
        <w:bottom w:val="none" w:sz="0" w:space="0" w:color="auto"/>
        <w:right w:val="none" w:sz="0" w:space="0" w:color="auto"/>
      </w:divBdr>
    </w:div>
    <w:div w:id="2052880209">
      <w:bodyDiv w:val="1"/>
      <w:marLeft w:val="0"/>
      <w:marRight w:val="0"/>
      <w:marTop w:val="0"/>
      <w:marBottom w:val="0"/>
      <w:divBdr>
        <w:top w:val="none" w:sz="0" w:space="0" w:color="auto"/>
        <w:left w:val="none" w:sz="0" w:space="0" w:color="auto"/>
        <w:bottom w:val="none" w:sz="0" w:space="0" w:color="auto"/>
        <w:right w:val="none" w:sz="0" w:space="0" w:color="auto"/>
      </w:divBdr>
    </w:div>
    <w:div w:id="206683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map-collaboratif.cirad.fr/pages_chercheurs/index.php?page=softwar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map-collaboratif.cirad.fr/pages_chercheurs/index.php?page=softwar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762B5-0F22-4D3B-8DE2-6457C60C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12</Pages>
  <Words>3218</Words>
  <Characters>17705</Characters>
  <Application>Microsoft Office Word</Application>
  <DocSecurity>0</DocSecurity>
  <Lines>147</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Current and possible future dynamics of the agricultural landscapes in the Western Ghats of India</vt:lpstr>
      <vt:lpstr>Current and possible future dynamics of the agricultural landscapes in the Western Ghats of India</vt:lpstr>
    </vt:vector>
  </TitlesOfParts>
  <Company>Microsoft</Company>
  <LinksUpToDate>false</LinksUpToDate>
  <CharactersWithSpaces>20882</CharactersWithSpaces>
  <SharedDoc>false</SharedDoc>
  <HLinks>
    <vt:vector size="132" baseType="variant">
      <vt:variant>
        <vt:i4>5963874</vt:i4>
      </vt:variant>
      <vt:variant>
        <vt:i4>129</vt:i4>
      </vt:variant>
      <vt:variant>
        <vt:i4>0</vt:i4>
      </vt:variant>
      <vt:variant>
        <vt:i4>5</vt:i4>
      </vt:variant>
      <vt:variant>
        <vt:lpwstr>http://esa.un.org/unpd/wpp/unpp/Panel_profiles.htm</vt:lpwstr>
      </vt:variant>
      <vt:variant>
        <vt:lpwstr/>
      </vt:variant>
      <vt:variant>
        <vt:i4>1769529</vt:i4>
      </vt:variant>
      <vt:variant>
        <vt:i4>122</vt:i4>
      </vt:variant>
      <vt:variant>
        <vt:i4>0</vt:i4>
      </vt:variant>
      <vt:variant>
        <vt:i4>5</vt:i4>
      </vt:variant>
      <vt:variant>
        <vt:lpwstr/>
      </vt:variant>
      <vt:variant>
        <vt:lpwstr>_Toc337453881</vt:lpwstr>
      </vt:variant>
      <vt:variant>
        <vt:i4>1769529</vt:i4>
      </vt:variant>
      <vt:variant>
        <vt:i4>116</vt:i4>
      </vt:variant>
      <vt:variant>
        <vt:i4>0</vt:i4>
      </vt:variant>
      <vt:variant>
        <vt:i4>5</vt:i4>
      </vt:variant>
      <vt:variant>
        <vt:lpwstr/>
      </vt:variant>
      <vt:variant>
        <vt:lpwstr>_Toc337453880</vt:lpwstr>
      </vt:variant>
      <vt:variant>
        <vt:i4>1310777</vt:i4>
      </vt:variant>
      <vt:variant>
        <vt:i4>110</vt:i4>
      </vt:variant>
      <vt:variant>
        <vt:i4>0</vt:i4>
      </vt:variant>
      <vt:variant>
        <vt:i4>5</vt:i4>
      </vt:variant>
      <vt:variant>
        <vt:lpwstr/>
      </vt:variant>
      <vt:variant>
        <vt:lpwstr>_Toc337453879</vt:lpwstr>
      </vt:variant>
      <vt:variant>
        <vt:i4>1310777</vt:i4>
      </vt:variant>
      <vt:variant>
        <vt:i4>104</vt:i4>
      </vt:variant>
      <vt:variant>
        <vt:i4>0</vt:i4>
      </vt:variant>
      <vt:variant>
        <vt:i4>5</vt:i4>
      </vt:variant>
      <vt:variant>
        <vt:lpwstr/>
      </vt:variant>
      <vt:variant>
        <vt:lpwstr>_Toc337453878</vt:lpwstr>
      </vt:variant>
      <vt:variant>
        <vt:i4>1310777</vt:i4>
      </vt:variant>
      <vt:variant>
        <vt:i4>98</vt:i4>
      </vt:variant>
      <vt:variant>
        <vt:i4>0</vt:i4>
      </vt:variant>
      <vt:variant>
        <vt:i4>5</vt:i4>
      </vt:variant>
      <vt:variant>
        <vt:lpwstr/>
      </vt:variant>
      <vt:variant>
        <vt:lpwstr>_Toc337453877</vt:lpwstr>
      </vt:variant>
      <vt:variant>
        <vt:i4>1310777</vt:i4>
      </vt:variant>
      <vt:variant>
        <vt:i4>92</vt:i4>
      </vt:variant>
      <vt:variant>
        <vt:i4>0</vt:i4>
      </vt:variant>
      <vt:variant>
        <vt:i4>5</vt:i4>
      </vt:variant>
      <vt:variant>
        <vt:lpwstr/>
      </vt:variant>
      <vt:variant>
        <vt:lpwstr>_Toc337453876</vt:lpwstr>
      </vt:variant>
      <vt:variant>
        <vt:i4>1310777</vt:i4>
      </vt:variant>
      <vt:variant>
        <vt:i4>86</vt:i4>
      </vt:variant>
      <vt:variant>
        <vt:i4>0</vt:i4>
      </vt:variant>
      <vt:variant>
        <vt:i4>5</vt:i4>
      </vt:variant>
      <vt:variant>
        <vt:lpwstr/>
      </vt:variant>
      <vt:variant>
        <vt:lpwstr>_Toc337453875</vt:lpwstr>
      </vt:variant>
      <vt:variant>
        <vt:i4>1310777</vt:i4>
      </vt:variant>
      <vt:variant>
        <vt:i4>80</vt:i4>
      </vt:variant>
      <vt:variant>
        <vt:i4>0</vt:i4>
      </vt:variant>
      <vt:variant>
        <vt:i4>5</vt:i4>
      </vt:variant>
      <vt:variant>
        <vt:lpwstr/>
      </vt:variant>
      <vt:variant>
        <vt:lpwstr>_Toc337453874</vt:lpwstr>
      </vt:variant>
      <vt:variant>
        <vt:i4>1310777</vt:i4>
      </vt:variant>
      <vt:variant>
        <vt:i4>74</vt:i4>
      </vt:variant>
      <vt:variant>
        <vt:i4>0</vt:i4>
      </vt:variant>
      <vt:variant>
        <vt:i4>5</vt:i4>
      </vt:variant>
      <vt:variant>
        <vt:lpwstr/>
      </vt:variant>
      <vt:variant>
        <vt:lpwstr>_Toc337453873</vt:lpwstr>
      </vt:variant>
      <vt:variant>
        <vt:i4>1310777</vt:i4>
      </vt:variant>
      <vt:variant>
        <vt:i4>68</vt:i4>
      </vt:variant>
      <vt:variant>
        <vt:i4>0</vt:i4>
      </vt:variant>
      <vt:variant>
        <vt:i4>5</vt:i4>
      </vt:variant>
      <vt:variant>
        <vt:lpwstr/>
      </vt:variant>
      <vt:variant>
        <vt:lpwstr>_Toc337453872</vt:lpwstr>
      </vt:variant>
      <vt:variant>
        <vt:i4>1310777</vt:i4>
      </vt:variant>
      <vt:variant>
        <vt:i4>62</vt:i4>
      </vt:variant>
      <vt:variant>
        <vt:i4>0</vt:i4>
      </vt:variant>
      <vt:variant>
        <vt:i4>5</vt:i4>
      </vt:variant>
      <vt:variant>
        <vt:lpwstr/>
      </vt:variant>
      <vt:variant>
        <vt:lpwstr>_Toc337453871</vt:lpwstr>
      </vt:variant>
      <vt:variant>
        <vt:i4>1310777</vt:i4>
      </vt:variant>
      <vt:variant>
        <vt:i4>56</vt:i4>
      </vt:variant>
      <vt:variant>
        <vt:i4>0</vt:i4>
      </vt:variant>
      <vt:variant>
        <vt:i4>5</vt:i4>
      </vt:variant>
      <vt:variant>
        <vt:lpwstr/>
      </vt:variant>
      <vt:variant>
        <vt:lpwstr>_Toc337453870</vt:lpwstr>
      </vt:variant>
      <vt:variant>
        <vt:i4>1376313</vt:i4>
      </vt:variant>
      <vt:variant>
        <vt:i4>50</vt:i4>
      </vt:variant>
      <vt:variant>
        <vt:i4>0</vt:i4>
      </vt:variant>
      <vt:variant>
        <vt:i4>5</vt:i4>
      </vt:variant>
      <vt:variant>
        <vt:lpwstr/>
      </vt:variant>
      <vt:variant>
        <vt:lpwstr>_Toc337453869</vt:lpwstr>
      </vt:variant>
      <vt:variant>
        <vt:i4>1376313</vt:i4>
      </vt:variant>
      <vt:variant>
        <vt:i4>44</vt:i4>
      </vt:variant>
      <vt:variant>
        <vt:i4>0</vt:i4>
      </vt:variant>
      <vt:variant>
        <vt:i4>5</vt:i4>
      </vt:variant>
      <vt:variant>
        <vt:lpwstr/>
      </vt:variant>
      <vt:variant>
        <vt:lpwstr>_Toc337453868</vt:lpwstr>
      </vt:variant>
      <vt:variant>
        <vt:i4>1376313</vt:i4>
      </vt:variant>
      <vt:variant>
        <vt:i4>38</vt:i4>
      </vt:variant>
      <vt:variant>
        <vt:i4>0</vt:i4>
      </vt:variant>
      <vt:variant>
        <vt:i4>5</vt:i4>
      </vt:variant>
      <vt:variant>
        <vt:lpwstr/>
      </vt:variant>
      <vt:variant>
        <vt:lpwstr>_Toc337453867</vt:lpwstr>
      </vt:variant>
      <vt:variant>
        <vt:i4>1376313</vt:i4>
      </vt:variant>
      <vt:variant>
        <vt:i4>32</vt:i4>
      </vt:variant>
      <vt:variant>
        <vt:i4>0</vt:i4>
      </vt:variant>
      <vt:variant>
        <vt:i4>5</vt:i4>
      </vt:variant>
      <vt:variant>
        <vt:lpwstr/>
      </vt:variant>
      <vt:variant>
        <vt:lpwstr>_Toc337453866</vt:lpwstr>
      </vt:variant>
      <vt:variant>
        <vt:i4>1376313</vt:i4>
      </vt:variant>
      <vt:variant>
        <vt:i4>26</vt:i4>
      </vt:variant>
      <vt:variant>
        <vt:i4>0</vt:i4>
      </vt:variant>
      <vt:variant>
        <vt:i4>5</vt:i4>
      </vt:variant>
      <vt:variant>
        <vt:lpwstr/>
      </vt:variant>
      <vt:variant>
        <vt:lpwstr>_Toc337453865</vt:lpwstr>
      </vt:variant>
      <vt:variant>
        <vt:i4>1376313</vt:i4>
      </vt:variant>
      <vt:variant>
        <vt:i4>20</vt:i4>
      </vt:variant>
      <vt:variant>
        <vt:i4>0</vt:i4>
      </vt:variant>
      <vt:variant>
        <vt:i4>5</vt:i4>
      </vt:variant>
      <vt:variant>
        <vt:lpwstr/>
      </vt:variant>
      <vt:variant>
        <vt:lpwstr>_Toc337453864</vt:lpwstr>
      </vt:variant>
      <vt:variant>
        <vt:i4>1376313</vt:i4>
      </vt:variant>
      <vt:variant>
        <vt:i4>14</vt:i4>
      </vt:variant>
      <vt:variant>
        <vt:i4>0</vt:i4>
      </vt:variant>
      <vt:variant>
        <vt:i4>5</vt:i4>
      </vt:variant>
      <vt:variant>
        <vt:lpwstr/>
      </vt:variant>
      <vt:variant>
        <vt:lpwstr>_Toc337453863</vt:lpwstr>
      </vt:variant>
      <vt:variant>
        <vt:i4>1376313</vt:i4>
      </vt:variant>
      <vt:variant>
        <vt:i4>8</vt:i4>
      </vt:variant>
      <vt:variant>
        <vt:i4>0</vt:i4>
      </vt:variant>
      <vt:variant>
        <vt:i4>5</vt:i4>
      </vt:variant>
      <vt:variant>
        <vt:lpwstr/>
      </vt:variant>
      <vt:variant>
        <vt:lpwstr>_Toc337453862</vt:lpwstr>
      </vt:variant>
      <vt:variant>
        <vt:i4>1376313</vt:i4>
      </vt:variant>
      <vt:variant>
        <vt:i4>2</vt:i4>
      </vt:variant>
      <vt:variant>
        <vt:i4>0</vt:i4>
      </vt:variant>
      <vt:variant>
        <vt:i4>5</vt:i4>
      </vt:variant>
      <vt:variant>
        <vt:lpwstr/>
      </vt:variant>
      <vt:variant>
        <vt:lpwstr>_Toc337453861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and possible future dynamics of the agricultural landscapes in the Western Ghats of India</dc:title>
  <dc:creator>juliealet</dc:creator>
  <cp:lastModifiedBy>gaucherel</cp:lastModifiedBy>
  <cp:revision>19</cp:revision>
  <dcterms:created xsi:type="dcterms:W3CDTF">2015-02-21T10:44:00Z</dcterms:created>
  <dcterms:modified xsi:type="dcterms:W3CDTF">2016-08-04T07:58:00Z</dcterms:modified>
</cp:coreProperties>
</file>