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7F" w:rsidRPr="00266D8F" w:rsidRDefault="00A97B7F" w:rsidP="00A97B7F">
      <w:pPr>
        <w:pStyle w:val="Heading1"/>
        <w:spacing w:line="240" w:lineRule="auto"/>
        <w:jc w:val="center"/>
        <w:rPr>
          <w:rFonts w:asciiTheme="minorHAnsi" w:hAnsiTheme="minorHAnsi"/>
          <w:sz w:val="32"/>
          <w:szCs w:val="32"/>
        </w:rPr>
      </w:pPr>
      <w:r w:rsidRPr="00266D8F">
        <w:rPr>
          <w:rFonts w:asciiTheme="minorHAnsi" w:hAnsiTheme="minorHAnsi"/>
          <w:b/>
          <w:sz w:val="32"/>
          <w:szCs w:val="32"/>
        </w:rPr>
        <w:t>Appendix</w:t>
      </w:r>
      <w:r>
        <w:rPr>
          <w:rFonts w:asciiTheme="minorHAnsi" w:hAnsiTheme="minorHAnsi"/>
          <w:b/>
          <w:sz w:val="32"/>
          <w:szCs w:val="32"/>
        </w:rPr>
        <w:t xml:space="preserve"> </w:t>
      </w:r>
      <w:r>
        <w:rPr>
          <w:rFonts w:asciiTheme="minorHAnsi" w:hAnsiTheme="minorHAnsi"/>
          <w:b/>
          <w:sz w:val="32"/>
          <w:szCs w:val="32"/>
        </w:rPr>
        <w:t>S</w:t>
      </w:r>
      <w:r>
        <w:rPr>
          <w:rFonts w:asciiTheme="minorHAnsi" w:hAnsiTheme="minorHAnsi"/>
          <w:b/>
          <w:sz w:val="32"/>
          <w:szCs w:val="32"/>
        </w:rPr>
        <w:t xml:space="preserve">3 - </w:t>
      </w:r>
      <w:r w:rsidRPr="007F47F6">
        <w:rPr>
          <w:rFonts w:asciiTheme="minorHAnsi" w:hAnsiTheme="minorHAnsi"/>
          <w:b/>
          <w:bCs/>
          <w:sz w:val="32"/>
          <w:szCs w:val="32"/>
        </w:rPr>
        <w:t>MYRLIN: Data input and species grouping.</w:t>
      </w:r>
    </w:p>
    <w:p w:rsidR="00A97B7F" w:rsidRPr="007A6B22" w:rsidRDefault="00A97B7F" w:rsidP="00A97B7F">
      <w:pPr>
        <w:tabs>
          <w:tab w:val="left" w:pos="-1418"/>
        </w:tabs>
        <w:spacing w:before="100" w:beforeAutospacing="1" w:after="100" w:afterAutospacing="1"/>
        <w:rPr>
          <w:b/>
        </w:rPr>
      </w:pPr>
      <w:r w:rsidRPr="007A6B22">
        <w:rPr>
          <w:b/>
        </w:rPr>
        <w:t>Model Description</w:t>
      </w:r>
    </w:p>
    <w:p w:rsidR="00A97B7F" w:rsidRPr="007A6B22" w:rsidRDefault="00A97B7F" w:rsidP="00A97B7F">
      <w:pPr>
        <w:tabs>
          <w:tab w:val="left" w:pos="-1418"/>
        </w:tabs>
        <w:spacing w:before="100" w:beforeAutospacing="1" w:after="100" w:afterAutospacing="1"/>
        <w:jc w:val="both"/>
      </w:pPr>
      <w:r w:rsidRPr="007A6B22">
        <w:t>Methods of Yield Regulation with Limited Information (MYRLIN</w:t>
      </w:r>
      <w:r w:rsidR="00751A2C" w:rsidRPr="007A6B22">
        <w:t>; Figure S</w:t>
      </w:r>
      <w:r w:rsidRPr="007A6B22">
        <w:t xml:space="preserve">3.1) is a toolkit comprising of three tools designed to calculate timber yield for forests using limited information (Alder </w:t>
      </w:r>
      <w:r w:rsidRPr="007A6B22">
        <w:rPr>
          <w:i/>
          <w:iCs/>
        </w:rPr>
        <w:t>et al.</w:t>
      </w:r>
      <w:r w:rsidRPr="007A6B22">
        <w:t xml:space="preserve"> 2002). MYRLIN is based upon a simple diameter-class projection </w:t>
      </w:r>
      <w:r w:rsidR="007A6B22">
        <w:rPr>
          <w:rFonts w:cs="Arial"/>
          <w:lang w:val="en-US"/>
        </w:rPr>
        <w:t>(Wright &amp; Alder</w:t>
      </w:r>
      <w:r w:rsidRPr="007A6B22">
        <w:rPr>
          <w:rFonts w:cs="Arial"/>
          <w:lang w:val="en-US"/>
        </w:rPr>
        <w:t xml:space="preserve"> 2000) which allows the projection of stand tables in order to estimate growth rates. MYRLIN</w:t>
      </w:r>
      <w:r w:rsidRPr="007A6B22">
        <w:t xml:space="preserve"> is directed at organisations with a limited research base of information on</w:t>
      </w:r>
      <w:r w:rsidR="007A6B22">
        <w:t xml:space="preserve"> forest dynamics (van </w:t>
      </w:r>
      <w:proofErr w:type="spellStart"/>
      <w:r w:rsidR="007A6B22">
        <w:t>Gardingen</w:t>
      </w:r>
      <w:proofErr w:type="spellEnd"/>
      <w:r w:rsidRPr="007A6B22">
        <w:t xml:space="preserve"> 2003).</w:t>
      </w:r>
    </w:p>
    <w:p w:rsidR="00A97B7F" w:rsidRPr="007A6B22" w:rsidRDefault="00A97B7F" w:rsidP="00A97B7F">
      <w:pPr>
        <w:tabs>
          <w:tab w:val="left" w:pos="-1418"/>
        </w:tabs>
        <w:spacing w:before="100" w:beforeAutospacing="1" w:after="100" w:afterAutospacing="1"/>
        <w:jc w:val="both"/>
      </w:pPr>
    </w:p>
    <w:p w:rsidR="00A97B7F" w:rsidRPr="007A6B22" w:rsidRDefault="00A97B7F" w:rsidP="00A97B7F">
      <w:pPr>
        <w:tabs>
          <w:tab w:val="left" w:pos="-1418"/>
        </w:tabs>
        <w:spacing w:before="100" w:beforeAutospacing="1" w:after="100" w:afterAutospacing="1"/>
        <w:jc w:val="both"/>
      </w:pPr>
      <w:r w:rsidRPr="007A6B22">
        <w:rPr>
          <w:noProof/>
          <w:lang w:eastAsia="zh-CN"/>
        </w:rPr>
        <w:drawing>
          <wp:inline distT="0" distB="0" distL="0" distR="0" wp14:anchorId="769450B8" wp14:editId="32E996C2">
            <wp:extent cx="5731510" cy="5020081"/>
            <wp:effectExtent l="0" t="0" r="2540" b="9525"/>
            <wp:docPr id="2" name="Picture 2" descr="C:\Users\spw1n11\Documents\Willcock_Backup\Writing\Masters\Green\Dissertation - Simon\Final dissertation\Figur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w1n11\Documents\Willcock_Backup\Writing\Masters\Green\Dissertation - Simon\Final dissertation\Figure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2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B7F" w:rsidRPr="007A6B22" w:rsidRDefault="00751A2C" w:rsidP="00A97B7F">
      <w:pPr>
        <w:tabs>
          <w:tab w:val="left" w:pos="-1418"/>
        </w:tabs>
        <w:spacing w:before="100" w:beforeAutospacing="1" w:after="100" w:afterAutospacing="1"/>
        <w:rPr>
          <w:b/>
        </w:rPr>
      </w:pPr>
      <w:r w:rsidRPr="007A6B22">
        <w:rPr>
          <w:b/>
        </w:rPr>
        <w:t>Figure S</w:t>
      </w:r>
      <w:r w:rsidR="00A97B7F" w:rsidRPr="007A6B22">
        <w:rPr>
          <w:b/>
        </w:rPr>
        <w:t xml:space="preserve">3.1 </w:t>
      </w:r>
      <w:r w:rsidR="00A97B7F" w:rsidRPr="007A6B22">
        <w:t>Schematic of the MYRLIN methodology.</w:t>
      </w:r>
    </w:p>
    <w:p w:rsidR="00DE52C8" w:rsidRPr="007A6B22" w:rsidRDefault="00DE52C8">
      <w:pPr>
        <w:spacing w:after="160" w:line="259" w:lineRule="auto"/>
        <w:rPr>
          <w:b/>
        </w:rPr>
      </w:pPr>
      <w:r w:rsidRPr="007A6B22">
        <w:rPr>
          <w:b/>
        </w:rPr>
        <w:br w:type="page"/>
      </w:r>
    </w:p>
    <w:p w:rsidR="00DE52C8" w:rsidRPr="007A6B22" w:rsidRDefault="00DE52C8" w:rsidP="00DE52C8">
      <w:pPr>
        <w:pStyle w:val="Caption"/>
        <w:rPr>
          <w:b w:val="0"/>
          <w:color w:val="auto"/>
          <w:sz w:val="24"/>
          <w:szCs w:val="24"/>
        </w:rPr>
      </w:pPr>
      <w:r w:rsidRPr="007A6B22">
        <w:rPr>
          <w:color w:val="auto"/>
          <w:sz w:val="24"/>
          <w:szCs w:val="24"/>
        </w:rPr>
        <w:lastRenderedPageBreak/>
        <w:t xml:space="preserve">Table S3.1 </w:t>
      </w:r>
      <w:r w:rsidRPr="007A6B22">
        <w:rPr>
          <w:b w:val="0"/>
          <w:color w:val="auto"/>
          <w:sz w:val="24"/>
          <w:szCs w:val="24"/>
        </w:rPr>
        <w:t xml:space="preserve">Main functions of the MYRLIN #1 tool and values inputted into the model. Adapted from </w:t>
      </w:r>
      <w:proofErr w:type="spellStart"/>
      <w:r w:rsidRPr="007A6B22">
        <w:rPr>
          <w:b w:val="0"/>
          <w:color w:val="auto"/>
          <w:sz w:val="24"/>
          <w:szCs w:val="24"/>
        </w:rPr>
        <w:t>Nicol</w:t>
      </w:r>
      <w:proofErr w:type="spellEnd"/>
      <w:r w:rsidRPr="007A6B22">
        <w:rPr>
          <w:b w:val="0"/>
          <w:color w:val="auto"/>
          <w:sz w:val="24"/>
          <w:szCs w:val="24"/>
        </w:rPr>
        <w:t xml:space="preserve"> </w:t>
      </w:r>
      <w:r w:rsidRPr="007A6B22">
        <w:rPr>
          <w:b w:val="0"/>
          <w:i/>
          <w:iCs/>
          <w:color w:val="auto"/>
          <w:sz w:val="24"/>
          <w:szCs w:val="24"/>
        </w:rPr>
        <w:t>et al.</w:t>
      </w:r>
      <w:r w:rsidRPr="007A6B22">
        <w:rPr>
          <w:b w:val="0"/>
          <w:color w:val="auto"/>
          <w:sz w:val="24"/>
          <w:szCs w:val="24"/>
        </w:rPr>
        <w:t xml:space="preserve"> (2002).</w:t>
      </w:r>
    </w:p>
    <w:tbl>
      <w:tblPr>
        <w:tblStyle w:val="LightList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85"/>
        <w:gridCol w:w="3350"/>
        <w:gridCol w:w="1791"/>
      </w:tblGrid>
      <w:tr w:rsidR="00DE52C8" w:rsidRPr="007A6B22" w:rsidTr="00D36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E52C8" w:rsidRPr="007A6B22" w:rsidRDefault="00DE52C8" w:rsidP="00D36398">
            <w:pPr>
              <w:tabs>
                <w:tab w:val="left" w:pos="-1418"/>
              </w:tabs>
              <w:spacing w:before="100" w:beforeAutospacing="1" w:after="100" w:afterAutospacing="1"/>
              <w:rPr>
                <w:b w:val="0"/>
                <w:color w:val="auto"/>
              </w:rPr>
            </w:pPr>
            <w:r w:rsidRPr="007A6B22">
              <w:rPr>
                <w:color w:val="auto"/>
              </w:rPr>
              <w:t>Function and Features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E52C8" w:rsidRPr="007A6B22" w:rsidRDefault="00DE52C8" w:rsidP="00D36398">
            <w:pPr>
              <w:tabs>
                <w:tab w:val="left" w:pos="-1418"/>
              </w:tabs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7A6B22">
              <w:rPr>
                <w:color w:val="auto"/>
              </w:rPr>
              <w:t>Comment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E52C8" w:rsidRPr="007A6B22" w:rsidRDefault="00DE52C8" w:rsidP="00D36398">
            <w:pPr>
              <w:tabs>
                <w:tab w:val="left" w:pos="-1418"/>
              </w:tabs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A6B22">
              <w:rPr>
                <w:color w:val="auto"/>
              </w:rPr>
              <w:t>Values used</w:t>
            </w:r>
          </w:p>
        </w:tc>
      </w:tr>
      <w:tr w:rsidR="00DE52C8" w:rsidRPr="007A6B22" w:rsidTr="00D36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double" w:sz="4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E52C8" w:rsidRPr="007A6B22" w:rsidRDefault="00DE52C8" w:rsidP="00D36398">
            <w:pPr>
              <w:tabs>
                <w:tab w:val="left" w:pos="-1418"/>
              </w:tabs>
              <w:spacing w:before="100" w:beforeAutospacing="1" w:after="100" w:afterAutospacing="1"/>
              <w:rPr>
                <w:b w:val="0"/>
                <w:bCs w:val="0"/>
                <w:u w:val="single"/>
              </w:rPr>
            </w:pPr>
            <w:proofErr w:type="spellStart"/>
            <w:r w:rsidRPr="007A6B22">
              <w:rPr>
                <w:b w:val="0"/>
                <w:bCs w:val="0"/>
                <w:u w:val="single"/>
              </w:rPr>
              <w:t>PlotData</w:t>
            </w:r>
            <w:proofErr w:type="spellEnd"/>
          </w:p>
          <w:p w:rsidR="00DE52C8" w:rsidRPr="007A6B22" w:rsidRDefault="00DE52C8" w:rsidP="00D36398">
            <w:pPr>
              <w:tabs>
                <w:tab w:val="left" w:pos="-1418"/>
              </w:tabs>
              <w:spacing w:before="100" w:beforeAutospacing="1" w:after="100" w:afterAutospacing="1"/>
              <w:rPr>
                <w:b w:val="0"/>
                <w:bCs w:val="0"/>
              </w:rPr>
            </w:pPr>
            <w:r w:rsidRPr="007A6B22">
              <w:rPr>
                <w:b w:val="0"/>
                <w:bCs w:val="0"/>
              </w:rPr>
              <w:t>Data can be stratified by suitable column in the plot data (</w:t>
            </w:r>
            <w:proofErr w:type="spellStart"/>
            <w:r w:rsidRPr="007A6B22">
              <w:rPr>
                <w:b w:val="0"/>
                <w:bCs w:val="0"/>
              </w:rPr>
              <w:t>dbh</w:t>
            </w:r>
            <w:proofErr w:type="spellEnd"/>
            <w:r w:rsidRPr="007A6B22">
              <w:rPr>
                <w:b w:val="0"/>
                <w:bCs w:val="0"/>
              </w:rPr>
              <w:t xml:space="preserve">/species/tree id.) as required. </w:t>
            </w:r>
          </w:p>
          <w:p w:rsidR="00DE52C8" w:rsidRPr="007A6B22" w:rsidRDefault="00DE52C8" w:rsidP="00D36398">
            <w:pPr>
              <w:tabs>
                <w:tab w:val="left" w:pos="-1418"/>
              </w:tabs>
              <w:spacing w:before="100" w:beforeAutospacing="1" w:after="100" w:afterAutospacing="1"/>
              <w:rPr>
                <w:b w:val="0"/>
                <w:bCs w:val="0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none" w:sz="0" w:space="0" w:color="auto"/>
            </w:tcBorders>
            <w:shd w:val="clear" w:color="auto" w:fill="auto"/>
          </w:tcPr>
          <w:p w:rsidR="00DE52C8" w:rsidRPr="007A6B22" w:rsidRDefault="00DE52C8" w:rsidP="00D36398">
            <w:pPr>
              <w:tabs>
                <w:tab w:val="left" w:pos="-1418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proofErr w:type="spellStart"/>
            <w:r w:rsidRPr="007A6B22">
              <w:rPr>
                <w:u w:val="single"/>
              </w:rPr>
              <w:t>PlotData</w:t>
            </w:r>
            <w:proofErr w:type="spellEnd"/>
          </w:p>
          <w:p w:rsidR="00DE52C8" w:rsidRPr="007A6B22" w:rsidRDefault="00DE52C8" w:rsidP="00D36398">
            <w:pPr>
              <w:tabs>
                <w:tab w:val="left" w:pos="-1418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B22">
              <w:t xml:space="preserve">Stratum (land use category), Plot number, tree number, species vernacular name and tree diameter data were inserted into </w:t>
            </w:r>
            <w:proofErr w:type="spellStart"/>
            <w:r w:rsidRPr="007A6B22">
              <w:t>PlotData</w:t>
            </w:r>
            <w:proofErr w:type="spellEnd"/>
            <w:r w:rsidRPr="007A6B22">
              <w:t xml:space="preserve"> sheet. </w:t>
            </w:r>
          </w:p>
          <w:p w:rsidR="00DE52C8" w:rsidRPr="007A6B22" w:rsidRDefault="00DE52C8" w:rsidP="00D36398">
            <w:pPr>
              <w:tabs>
                <w:tab w:val="left" w:pos="-1418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top w:val="double" w:sz="4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E52C8" w:rsidRPr="007A6B22" w:rsidRDefault="00DE52C8" w:rsidP="00D36398">
            <w:pPr>
              <w:tabs>
                <w:tab w:val="left" w:pos="-1418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B22">
              <w:t>N/A</w:t>
            </w:r>
          </w:p>
        </w:tc>
      </w:tr>
      <w:tr w:rsidR="00DE52C8" w:rsidRPr="007A6B22" w:rsidTr="00D36398">
        <w:trPr>
          <w:trHeight w:val="2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DE52C8" w:rsidRPr="007A6B22" w:rsidRDefault="00DE52C8" w:rsidP="00D36398">
            <w:pPr>
              <w:tabs>
                <w:tab w:val="left" w:pos="-1418"/>
              </w:tabs>
              <w:spacing w:before="100" w:beforeAutospacing="1" w:after="100" w:afterAutospacing="1"/>
              <w:rPr>
                <w:b w:val="0"/>
                <w:bCs w:val="0"/>
                <w:u w:val="single"/>
              </w:rPr>
            </w:pPr>
            <w:proofErr w:type="spellStart"/>
            <w:r w:rsidRPr="007A6B22">
              <w:rPr>
                <w:b w:val="0"/>
                <w:bCs w:val="0"/>
                <w:u w:val="single"/>
              </w:rPr>
              <w:t>SpList</w:t>
            </w:r>
            <w:proofErr w:type="spellEnd"/>
          </w:p>
          <w:p w:rsidR="00DE52C8" w:rsidRPr="007A6B22" w:rsidRDefault="00DE52C8" w:rsidP="00D36398">
            <w:pPr>
              <w:tabs>
                <w:tab w:val="left" w:pos="-1418"/>
              </w:tabs>
              <w:spacing w:before="100" w:beforeAutospacing="1" w:after="100" w:afterAutospacing="1"/>
              <w:rPr>
                <w:b w:val="0"/>
                <w:bCs w:val="0"/>
              </w:rPr>
            </w:pPr>
            <w:r w:rsidRPr="007A6B22">
              <w:rPr>
                <w:b w:val="0"/>
                <w:bCs w:val="0"/>
              </w:rPr>
              <w:t>Species vernacular name and scientific name can be entered but are not used by MYRLIN.  A species group column is needed to reflect difference in ecology.</w:t>
            </w:r>
          </w:p>
          <w:p w:rsidR="00DE52C8" w:rsidRPr="007A6B22" w:rsidRDefault="00DE52C8" w:rsidP="00D36398">
            <w:pPr>
              <w:tabs>
                <w:tab w:val="left" w:pos="-1418"/>
              </w:tabs>
              <w:spacing w:before="100" w:beforeAutospacing="1" w:after="100" w:afterAutospacing="1"/>
              <w:rPr>
                <w:b w:val="0"/>
                <w:bCs w:val="0"/>
              </w:rPr>
            </w:pPr>
            <w:r w:rsidRPr="007A6B22">
              <w:rPr>
                <w:b w:val="0"/>
                <w:bCs w:val="0"/>
              </w:rPr>
              <w:t>Species list can be sorted by Genus/Species or grouped by growth rate.</w:t>
            </w:r>
          </w:p>
        </w:tc>
        <w:tc>
          <w:tcPr>
            <w:tcW w:w="0" w:type="auto"/>
            <w:shd w:val="clear" w:color="auto" w:fill="auto"/>
          </w:tcPr>
          <w:p w:rsidR="00DE52C8" w:rsidRPr="007A6B22" w:rsidRDefault="00DE52C8" w:rsidP="00D36398">
            <w:pPr>
              <w:tabs>
                <w:tab w:val="left" w:pos="-1418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proofErr w:type="spellStart"/>
            <w:r w:rsidRPr="007A6B22">
              <w:rPr>
                <w:u w:val="single"/>
              </w:rPr>
              <w:t>SpList</w:t>
            </w:r>
            <w:proofErr w:type="spellEnd"/>
          </w:p>
          <w:p w:rsidR="00DE52C8" w:rsidRPr="007A6B22" w:rsidRDefault="00DE52C8" w:rsidP="00D36398">
            <w:pPr>
              <w:tabs>
                <w:tab w:val="left" w:pos="-1418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B22">
              <w:t>Species vernacular and scientific name were entered into the sheet in addition to species groups:</w:t>
            </w:r>
          </w:p>
          <w:p w:rsidR="00DE52C8" w:rsidRPr="007A6B22" w:rsidRDefault="00DE52C8" w:rsidP="00D36398">
            <w:pPr>
              <w:pStyle w:val="ListParagraph"/>
              <w:numPr>
                <w:ilvl w:val="0"/>
                <w:numId w:val="2"/>
              </w:numPr>
              <w:tabs>
                <w:tab w:val="left" w:pos="-1418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B22">
              <w:t>Fast</w:t>
            </w:r>
          </w:p>
          <w:p w:rsidR="00DE52C8" w:rsidRPr="007A6B22" w:rsidRDefault="00DE52C8" w:rsidP="00D36398">
            <w:pPr>
              <w:pStyle w:val="ListParagraph"/>
              <w:numPr>
                <w:ilvl w:val="0"/>
                <w:numId w:val="2"/>
              </w:numPr>
              <w:tabs>
                <w:tab w:val="left" w:pos="-1418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B22">
              <w:t>Medium</w:t>
            </w:r>
          </w:p>
          <w:p w:rsidR="00DE52C8" w:rsidRPr="007A6B22" w:rsidRDefault="00DE52C8" w:rsidP="00D36398">
            <w:pPr>
              <w:pStyle w:val="ListParagraph"/>
              <w:numPr>
                <w:ilvl w:val="0"/>
                <w:numId w:val="2"/>
              </w:numPr>
              <w:tabs>
                <w:tab w:val="left" w:pos="-1418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B22">
              <w:t>Slow</w:t>
            </w:r>
          </w:p>
          <w:p w:rsidR="00DE52C8" w:rsidRPr="007A6B22" w:rsidRDefault="00DE52C8" w:rsidP="00D36398">
            <w:pPr>
              <w:pStyle w:val="ListParagraph"/>
              <w:numPr>
                <w:ilvl w:val="0"/>
                <w:numId w:val="2"/>
              </w:numPr>
              <w:tabs>
                <w:tab w:val="left" w:pos="-1418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B22">
              <w:t>Unknown</w:t>
            </w:r>
          </w:p>
          <w:p w:rsidR="00DE52C8" w:rsidRPr="007A6B22" w:rsidRDefault="00DE52C8" w:rsidP="00D36398">
            <w:pPr>
              <w:tabs>
                <w:tab w:val="left" w:pos="-1418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auto"/>
          </w:tcPr>
          <w:p w:rsidR="00DE52C8" w:rsidRPr="007A6B22" w:rsidRDefault="00DE52C8" w:rsidP="00D36398">
            <w:pPr>
              <w:tabs>
                <w:tab w:val="left" w:pos="-1418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7A6B22">
              <w:t>N/A</w:t>
            </w:r>
          </w:p>
        </w:tc>
      </w:tr>
      <w:tr w:rsidR="00DE52C8" w:rsidRPr="007A6B22" w:rsidTr="00D36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E52C8" w:rsidRPr="007A6B22" w:rsidRDefault="00DE52C8" w:rsidP="00D36398">
            <w:pPr>
              <w:tabs>
                <w:tab w:val="left" w:pos="-1418"/>
              </w:tabs>
              <w:spacing w:before="100" w:beforeAutospacing="1" w:after="100" w:afterAutospacing="1"/>
              <w:rPr>
                <w:b w:val="0"/>
                <w:bCs w:val="0"/>
                <w:u w:val="single"/>
              </w:rPr>
            </w:pPr>
            <w:r w:rsidRPr="007A6B22">
              <w:rPr>
                <w:b w:val="0"/>
                <w:bCs w:val="0"/>
                <w:u w:val="single"/>
              </w:rPr>
              <w:t>Areas</w:t>
            </w:r>
          </w:p>
          <w:p w:rsidR="00DE52C8" w:rsidRPr="007A6B22" w:rsidRDefault="00DE52C8" w:rsidP="00D36398">
            <w:pPr>
              <w:tabs>
                <w:tab w:val="left" w:pos="-1418"/>
              </w:tabs>
              <w:spacing w:before="100" w:beforeAutospacing="1" w:after="100" w:afterAutospacing="1"/>
              <w:rPr>
                <w:b w:val="0"/>
                <w:bCs w:val="0"/>
              </w:rPr>
            </w:pPr>
            <w:r w:rsidRPr="007A6B22">
              <w:rPr>
                <w:b w:val="0"/>
                <w:bCs w:val="0"/>
              </w:rPr>
              <w:t xml:space="preserve">Macro </w:t>
            </w:r>
            <w:proofErr w:type="spellStart"/>
            <w:r w:rsidRPr="007A6B22">
              <w:rPr>
                <w:b w:val="0"/>
                <w:bCs w:val="0"/>
              </w:rPr>
              <w:t>S</w:t>
            </w:r>
            <w:r w:rsidRPr="007A6B22">
              <w:rPr>
                <w:b w:val="0"/>
                <w:bCs w:val="0"/>
                <w:i/>
              </w:rPr>
              <w:t>tratumRecordCount</w:t>
            </w:r>
            <w:proofErr w:type="spellEnd"/>
            <w:r w:rsidRPr="007A6B22">
              <w:rPr>
                <w:b w:val="0"/>
                <w:bCs w:val="0"/>
                <w:i/>
              </w:rPr>
              <w:t xml:space="preserve"> </w:t>
            </w:r>
            <w:r w:rsidRPr="007A6B22">
              <w:rPr>
                <w:b w:val="0"/>
                <w:bCs w:val="0"/>
              </w:rPr>
              <w:t>can be used to calculate the number of records in each sample plot.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E52C8" w:rsidRPr="007A6B22" w:rsidRDefault="00DE52C8" w:rsidP="00D36398">
            <w:pPr>
              <w:tabs>
                <w:tab w:val="left" w:pos="-1418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7A6B22">
              <w:rPr>
                <w:u w:val="single"/>
              </w:rPr>
              <w:t>Areas</w:t>
            </w:r>
          </w:p>
          <w:p w:rsidR="00DE52C8" w:rsidRPr="007A6B22" w:rsidRDefault="00DE52C8" w:rsidP="00D36398">
            <w:pPr>
              <w:tabs>
                <w:tab w:val="left" w:pos="-1418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B22">
              <w:t>Area (ha) of plots is required.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E52C8" w:rsidRPr="007A6B22" w:rsidRDefault="00DE52C8" w:rsidP="00D36398">
            <w:pPr>
              <w:tabs>
                <w:tab w:val="left" w:pos="-1418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B22">
              <w:t>0.04ha</w:t>
            </w:r>
          </w:p>
        </w:tc>
      </w:tr>
      <w:tr w:rsidR="00DE52C8" w:rsidRPr="007A6B22" w:rsidTr="00D36398">
        <w:trPr>
          <w:trHeight w:val="3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double" w:sz="4" w:space="0" w:color="auto"/>
            </w:tcBorders>
            <w:shd w:val="clear" w:color="auto" w:fill="auto"/>
          </w:tcPr>
          <w:p w:rsidR="00DE52C8" w:rsidRPr="007A6B22" w:rsidRDefault="00DE52C8" w:rsidP="00D36398">
            <w:pPr>
              <w:tabs>
                <w:tab w:val="left" w:pos="-1418"/>
              </w:tabs>
              <w:spacing w:before="100" w:beforeAutospacing="1" w:after="100" w:afterAutospacing="1"/>
              <w:rPr>
                <w:b w:val="0"/>
                <w:bCs w:val="0"/>
                <w:u w:val="single"/>
              </w:rPr>
            </w:pPr>
            <w:proofErr w:type="spellStart"/>
            <w:r w:rsidRPr="007A6B22">
              <w:rPr>
                <w:b w:val="0"/>
                <w:bCs w:val="0"/>
                <w:u w:val="single"/>
              </w:rPr>
              <w:t>StandTables</w:t>
            </w:r>
            <w:proofErr w:type="spellEnd"/>
          </w:p>
          <w:p w:rsidR="00DE52C8" w:rsidRPr="007A6B22" w:rsidRDefault="00DE52C8" w:rsidP="00D36398">
            <w:pPr>
              <w:tabs>
                <w:tab w:val="left" w:pos="-1418"/>
              </w:tabs>
              <w:spacing w:before="100" w:beforeAutospacing="1" w:after="100" w:afterAutospacing="1"/>
              <w:rPr>
                <w:b w:val="0"/>
                <w:bCs w:val="0"/>
              </w:rPr>
            </w:pPr>
            <w:r w:rsidRPr="007A6B22">
              <w:rPr>
                <w:b w:val="0"/>
                <w:bCs w:val="0"/>
              </w:rPr>
              <w:t>The following area units can be used:</w:t>
            </w:r>
          </w:p>
          <w:p w:rsidR="00DE52C8" w:rsidRPr="007A6B22" w:rsidRDefault="00DE52C8" w:rsidP="00D36398">
            <w:pPr>
              <w:pStyle w:val="ListParagraph"/>
              <w:numPr>
                <w:ilvl w:val="0"/>
                <w:numId w:val="1"/>
              </w:numPr>
              <w:tabs>
                <w:tab w:val="left" w:pos="-1418"/>
              </w:tabs>
              <w:spacing w:before="100" w:beforeAutospacing="1" w:after="100" w:afterAutospacing="1"/>
              <w:rPr>
                <w:b w:val="0"/>
                <w:bCs w:val="0"/>
              </w:rPr>
            </w:pPr>
            <w:r w:rsidRPr="007A6B22">
              <w:rPr>
                <w:b w:val="0"/>
                <w:bCs w:val="0"/>
              </w:rPr>
              <w:t>Stems per km</w:t>
            </w:r>
            <w:r w:rsidRPr="007A6B22">
              <w:rPr>
                <w:b w:val="0"/>
                <w:bCs w:val="0"/>
                <w:vertAlign w:val="superscript"/>
              </w:rPr>
              <w:t>2</w:t>
            </w:r>
          </w:p>
          <w:p w:rsidR="00DE52C8" w:rsidRPr="007A6B22" w:rsidRDefault="00DE52C8" w:rsidP="00D36398">
            <w:pPr>
              <w:pStyle w:val="ListParagraph"/>
              <w:numPr>
                <w:ilvl w:val="0"/>
                <w:numId w:val="1"/>
              </w:numPr>
              <w:tabs>
                <w:tab w:val="left" w:pos="-1418"/>
              </w:tabs>
              <w:spacing w:before="100" w:beforeAutospacing="1" w:after="100" w:afterAutospacing="1"/>
              <w:rPr>
                <w:b w:val="0"/>
                <w:bCs w:val="0"/>
              </w:rPr>
            </w:pPr>
            <w:r w:rsidRPr="007A6B22">
              <w:rPr>
                <w:b w:val="0"/>
                <w:bCs w:val="0"/>
              </w:rPr>
              <w:t>Stems per ha</w:t>
            </w:r>
          </w:p>
          <w:p w:rsidR="00DE52C8" w:rsidRPr="007A6B22" w:rsidRDefault="00DE52C8" w:rsidP="00D36398">
            <w:pPr>
              <w:pStyle w:val="ListParagraph"/>
              <w:numPr>
                <w:ilvl w:val="0"/>
                <w:numId w:val="1"/>
              </w:numPr>
              <w:tabs>
                <w:tab w:val="left" w:pos="-1418"/>
              </w:tabs>
              <w:spacing w:before="100" w:beforeAutospacing="1" w:after="100" w:afterAutospacing="1"/>
              <w:rPr>
                <w:b w:val="0"/>
                <w:bCs w:val="0"/>
              </w:rPr>
            </w:pPr>
            <w:r w:rsidRPr="007A6B22">
              <w:rPr>
                <w:b w:val="0"/>
                <w:bCs w:val="0"/>
              </w:rPr>
              <w:t>Basal area per ha</w:t>
            </w:r>
          </w:p>
          <w:p w:rsidR="00DE52C8" w:rsidRPr="007A6B22" w:rsidRDefault="00DE52C8" w:rsidP="00D36398">
            <w:pPr>
              <w:tabs>
                <w:tab w:val="left" w:pos="-1418"/>
              </w:tabs>
              <w:spacing w:before="100" w:beforeAutospacing="1" w:after="100" w:afterAutospacing="1"/>
              <w:rPr>
                <w:b w:val="0"/>
                <w:bCs w:val="0"/>
              </w:rPr>
            </w:pPr>
            <w:r w:rsidRPr="007A6B22">
              <w:rPr>
                <w:b w:val="0"/>
                <w:bCs w:val="0"/>
              </w:rPr>
              <w:t xml:space="preserve">Flexible diameter limits can be employed within the stand tables. 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</w:tcPr>
          <w:p w:rsidR="00DE52C8" w:rsidRPr="007A6B22" w:rsidRDefault="00DE52C8" w:rsidP="00D36398">
            <w:pPr>
              <w:tabs>
                <w:tab w:val="left" w:pos="-1418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proofErr w:type="spellStart"/>
            <w:r w:rsidRPr="007A6B22">
              <w:rPr>
                <w:u w:val="single"/>
              </w:rPr>
              <w:t>StandTables</w:t>
            </w:r>
            <w:proofErr w:type="spellEnd"/>
          </w:p>
          <w:p w:rsidR="00DE52C8" w:rsidRPr="007A6B22" w:rsidRDefault="00DE52C8" w:rsidP="00D36398">
            <w:pPr>
              <w:tabs>
                <w:tab w:val="left" w:pos="-1418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7A6B22">
              <w:t>Stems per km</w:t>
            </w:r>
            <w:r w:rsidRPr="007A6B22">
              <w:rPr>
                <w:vertAlign w:val="superscript"/>
              </w:rPr>
              <w:t xml:space="preserve">2 </w:t>
            </w:r>
            <w:r w:rsidRPr="007A6B22">
              <w:t>was chosen.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</w:tcPr>
          <w:p w:rsidR="00DE52C8" w:rsidRPr="007A6B22" w:rsidRDefault="00DE52C8" w:rsidP="00D36398">
            <w:pPr>
              <w:keepNext/>
              <w:tabs>
                <w:tab w:val="left" w:pos="-1418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B22">
              <w:t xml:space="preserve">Diameter classes were changed to include trees over 0.5cm </w:t>
            </w:r>
            <w:proofErr w:type="spellStart"/>
            <w:r w:rsidRPr="007A6B22">
              <w:t>dbh</w:t>
            </w:r>
            <w:proofErr w:type="spellEnd"/>
            <w:r w:rsidRPr="007A6B22">
              <w:t xml:space="preserve">. </w:t>
            </w:r>
          </w:p>
          <w:p w:rsidR="00DE52C8" w:rsidRPr="007A6B22" w:rsidRDefault="00DE52C8" w:rsidP="00D36398">
            <w:pPr>
              <w:keepNext/>
              <w:tabs>
                <w:tab w:val="left" w:pos="-1418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B22">
              <w:t xml:space="preserve">Diameter class widths of 10cm were chosen. </w:t>
            </w:r>
          </w:p>
        </w:tc>
      </w:tr>
    </w:tbl>
    <w:p w:rsidR="00DE52C8" w:rsidRPr="007A6B22" w:rsidRDefault="00DE52C8" w:rsidP="00DE52C8">
      <w:pPr>
        <w:tabs>
          <w:tab w:val="left" w:pos="-1418"/>
        </w:tabs>
        <w:spacing w:before="100" w:beforeAutospacing="1" w:after="100" w:afterAutospacing="1"/>
        <w:rPr>
          <w:b/>
        </w:rPr>
      </w:pPr>
    </w:p>
    <w:p w:rsidR="00A97B7F" w:rsidRPr="007A6B22" w:rsidRDefault="00A97B7F" w:rsidP="00A97B7F">
      <w:pPr>
        <w:tabs>
          <w:tab w:val="left" w:pos="-1418"/>
        </w:tabs>
        <w:spacing w:before="100" w:beforeAutospacing="1" w:after="100" w:afterAutospacing="1"/>
        <w:rPr>
          <w:b/>
        </w:rPr>
      </w:pPr>
    </w:p>
    <w:p w:rsidR="00A97B7F" w:rsidRPr="007A6B22" w:rsidRDefault="00A97B7F" w:rsidP="00A97B7F">
      <w:pPr>
        <w:tabs>
          <w:tab w:val="left" w:pos="-1418"/>
        </w:tabs>
        <w:spacing w:before="100" w:beforeAutospacing="1" w:after="100" w:afterAutospacing="1"/>
        <w:rPr>
          <w:b/>
        </w:rPr>
      </w:pPr>
    </w:p>
    <w:p w:rsidR="00A97B7F" w:rsidRPr="007A6B22" w:rsidRDefault="00A97B7F" w:rsidP="00A97B7F">
      <w:pPr>
        <w:tabs>
          <w:tab w:val="left" w:pos="-1418"/>
        </w:tabs>
        <w:spacing w:before="100" w:beforeAutospacing="1" w:after="100" w:afterAutospacing="1"/>
        <w:jc w:val="both"/>
        <w:rPr>
          <w:b/>
        </w:rPr>
      </w:pPr>
      <w:r w:rsidRPr="007A6B22">
        <w:rPr>
          <w:b/>
        </w:rPr>
        <w:t>Methodology</w:t>
      </w:r>
    </w:p>
    <w:p w:rsidR="00A97B7F" w:rsidRPr="007A6B22" w:rsidRDefault="00A97B7F" w:rsidP="00A97B7F">
      <w:pPr>
        <w:tabs>
          <w:tab w:val="left" w:pos="-1418"/>
        </w:tabs>
        <w:spacing w:before="100" w:beforeAutospacing="1" w:after="100" w:afterAutospacing="1"/>
        <w:jc w:val="both"/>
      </w:pPr>
      <w:r w:rsidRPr="007A6B22"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46496A51" wp14:editId="0980771A">
            <wp:simplePos x="0" y="0"/>
            <wp:positionH relativeFrom="column">
              <wp:posOffset>-98425</wp:posOffset>
            </wp:positionH>
            <wp:positionV relativeFrom="paragraph">
              <wp:posOffset>630555</wp:posOffset>
            </wp:positionV>
            <wp:extent cx="5871210" cy="2168525"/>
            <wp:effectExtent l="19050" t="0" r="0" b="0"/>
            <wp:wrapSquare wrapText="bothSides"/>
            <wp:docPr id="3" name="Picture 2" descr="flowchart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chart (23).jpg"/>
                    <pic:cNvPicPr/>
                  </pic:nvPicPr>
                  <pic:blipFill>
                    <a:blip r:embed="rId6" cstate="print"/>
                    <a:srcRect l="14457" t="75398" r="22844"/>
                    <a:stretch>
                      <a:fillRect/>
                    </a:stretch>
                  </pic:blipFill>
                  <pic:spPr>
                    <a:xfrm>
                      <a:off x="0" y="0"/>
                      <a:ext cx="587121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6B22">
        <w:t>The MYRLIN toolkit comprises three Microsoft Excel workbooks with embedded macros. MYRLIN #1 and MYRLIN #2 were utilised in this study (Figure A3.2)</w:t>
      </w:r>
    </w:p>
    <w:p w:rsidR="00A97B7F" w:rsidRPr="007A6B22" w:rsidRDefault="00751A2C" w:rsidP="00A97B7F">
      <w:pPr>
        <w:tabs>
          <w:tab w:val="left" w:pos="-1418"/>
        </w:tabs>
        <w:spacing w:before="100" w:beforeAutospacing="1" w:after="100" w:afterAutospacing="1"/>
        <w:rPr>
          <w:b/>
        </w:rPr>
      </w:pPr>
      <w:r w:rsidRPr="007A6B22">
        <w:rPr>
          <w:b/>
        </w:rPr>
        <w:t>Figure S</w:t>
      </w:r>
      <w:r w:rsidR="00A97B7F" w:rsidRPr="007A6B22">
        <w:rPr>
          <w:b/>
        </w:rPr>
        <w:t xml:space="preserve">3.2 </w:t>
      </w:r>
      <w:r w:rsidR="00A97B7F" w:rsidRPr="007A6B22">
        <w:t>Flowchart of displaying the main data inputs and process of the MYRLIN toolbox.</w:t>
      </w:r>
    </w:p>
    <w:p w:rsidR="00DE52C8" w:rsidRPr="007A6B22" w:rsidRDefault="00DE52C8" w:rsidP="00A97B7F">
      <w:pPr>
        <w:pStyle w:val="Heading1"/>
        <w:rPr>
          <w:rFonts w:asciiTheme="minorHAnsi" w:hAnsiTheme="minorHAnsi"/>
          <w:b/>
          <w:sz w:val="24"/>
        </w:rPr>
      </w:pPr>
    </w:p>
    <w:p w:rsidR="00A97B7F" w:rsidRPr="007A6B22" w:rsidRDefault="00A97B7F" w:rsidP="00A97B7F">
      <w:pPr>
        <w:pStyle w:val="Heading1"/>
        <w:rPr>
          <w:rFonts w:asciiTheme="minorHAnsi" w:hAnsiTheme="minorHAnsi"/>
          <w:b/>
          <w:sz w:val="24"/>
        </w:rPr>
      </w:pPr>
      <w:r w:rsidRPr="007A6B22">
        <w:rPr>
          <w:rFonts w:asciiTheme="minorHAnsi" w:hAnsiTheme="minorHAnsi"/>
          <w:b/>
          <w:sz w:val="24"/>
        </w:rPr>
        <w:t xml:space="preserve"> MYRLIN #1</w:t>
      </w:r>
    </w:p>
    <w:p w:rsidR="00A97B7F" w:rsidRPr="007A6B22" w:rsidRDefault="00A97B7F" w:rsidP="00A97B7F">
      <w:pPr>
        <w:tabs>
          <w:tab w:val="left" w:pos="-1418"/>
        </w:tabs>
        <w:spacing w:before="100" w:beforeAutospacing="1" w:after="100" w:afterAutospacing="1"/>
        <w:jc w:val="both"/>
      </w:pPr>
      <w:r w:rsidRPr="007A6B22">
        <w:t>MYRLIN #1 uses inventory plot data to produce stand tables, required for modelling tree growth rates. Tree diameter at breast height (</w:t>
      </w:r>
      <w:proofErr w:type="spellStart"/>
      <w:r w:rsidRPr="007A6B22">
        <w:t>dbh</w:t>
      </w:r>
      <w:proofErr w:type="spellEnd"/>
      <w:r w:rsidRPr="007A6B22">
        <w:t xml:space="preserve">), species name and grouping value and area of plot are the input </w:t>
      </w:r>
      <w:r w:rsidR="00751A2C" w:rsidRPr="007A6B22">
        <w:t>data required (Table S3</w:t>
      </w:r>
      <w:r w:rsidRPr="007A6B22">
        <w:t>.1).</w:t>
      </w:r>
    </w:p>
    <w:p w:rsidR="00DE52C8" w:rsidRPr="007A6B22" w:rsidRDefault="00DE52C8" w:rsidP="00DE52C8"/>
    <w:p w:rsidR="00A97B7F" w:rsidRPr="007A6B22" w:rsidRDefault="00A97B7F" w:rsidP="00A97B7F">
      <w:pPr>
        <w:tabs>
          <w:tab w:val="left" w:pos="-1418"/>
        </w:tabs>
        <w:spacing w:before="100" w:beforeAutospacing="1" w:after="100" w:afterAutospacing="1"/>
        <w:rPr>
          <w:b/>
        </w:rPr>
      </w:pPr>
      <w:r w:rsidRPr="007A6B22">
        <w:rPr>
          <w:b/>
        </w:rPr>
        <w:t>MYRLIN #2</w:t>
      </w:r>
    </w:p>
    <w:p w:rsidR="00A97B7F" w:rsidRPr="007A6B22" w:rsidRDefault="00A97B7F" w:rsidP="00A97B7F">
      <w:pPr>
        <w:tabs>
          <w:tab w:val="left" w:pos="-1418"/>
        </w:tabs>
        <w:spacing w:before="100" w:beforeAutospacing="1" w:after="100" w:afterAutospacing="1"/>
      </w:pPr>
      <w:r w:rsidRPr="007A6B22">
        <w:t>MYRLIN #2 uses the data from MYRLIN #1 to estimate annual diameter increment (</w:t>
      </w:r>
      <w:proofErr w:type="spellStart"/>
      <w:r w:rsidRPr="007A6B22">
        <w:t>Dinc</w:t>
      </w:r>
      <w:proofErr w:type="spellEnd"/>
      <w:r w:rsidRPr="007A6B22">
        <w:t>) for each species group (</w:t>
      </w:r>
      <w:r w:rsidR="00751A2C" w:rsidRPr="007A6B22">
        <w:t>Table S3</w:t>
      </w:r>
      <w:r w:rsidRPr="007A6B22">
        <w:t xml:space="preserve">.2). This is based upon the mean regression of worldwide tropical forest data (Alder </w:t>
      </w:r>
      <w:r w:rsidRPr="007A6B22">
        <w:rPr>
          <w:i/>
          <w:iCs/>
        </w:rPr>
        <w:t>et al.</w:t>
      </w:r>
      <w:r w:rsidRPr="007A6B22">
        <w:t xml:space="preserve"> 2002). </w:t>
      </w:r>
    </w:p>
    <w:p w:rsidR="00DE52C8" w:rsidRPr="007A6B22" w:rsidRDefault="00DE52C8" w:rsidP="00751A2C">
      <w:pPr>
        <w:pStyle w:val="Caption"/>
        <w:rPr>
          <w:color w:val="auto"/>
          <w:sz w:val="24"/>
          <w:szCs w:val="24"/>
        </w:rPr>
      </w:pPr>
    </w:p>
    <w:p w:rsidR="00DE52C8" w:rsidRPr="007A6B22" w:rsidRDefault="00DE52C8" w:rsidP="00DE52C8"/>
    <w:p w:rsidR="00DE52C8" w:rsidRPr="007A6B22" w:rsidRDefault="00DE52C8" w:rsidP="00DE52C8"/>
    <w:p w:rsidR="00DE52C8" w:rsidRPr="007A6B22" w:rsidRDefault="00DE52C8" w:rsidP="00DE52C8"/>
    <w:p w:rsidR="00DE52C8" w:rsidRPr="007A6B22" w:rsidRDefault="00DE52C8" w:rsidP="00DE52C8"/>
    <w:p w:rsidR="00DE52C8" w:rsidRPr="007A6B22" w:rsidRDefault="00DE52C8" w:rsidP="00DE52C8"/>
    <w:p w:rsidR="00DE52C8" w:rsidRPr="007A6B22" w:rsidRDefault="00DE52C8" w:rsidP="00DE52C8"/>
    <w:p w:rsidR="00DE52C8" w:rsidRPr="007A6B22" w:rsidRDefault="00DE52C8" w:rsidP="00DE52C8"/>
    <w:p w:rsidR="00DE52C8" w:rsidRPr="007A6B22" w:rsidRDefault="00DE52C8" w:rsidP="00DE52C8"/>
    <w:p w:rsidR="00DE52C8" w:rsidRPr="007A6B22" w:rsidRDefault="00DE52C8" w:rsidP="00DE52C8"/>
    <w:p w:rsidR="00DE52C8" w:rsidRPr="007A6B22" w:rsidRDefault="00DE52C8" w:rsidP="00DE52C8"/>
    <w:p w:rsidR="00A97B7F" w:rsidRPr="007A6B22" w:rsidRDefault="00A97B7F" w:rsidP="00751A2C">
      <w:pPr>
        <w:pStyle w:val="Caption"/>
        <w:rPr>
          <w:b w:val="0"/>
          <w:color w:val="auto"/>
          <w:sz w:val="24"/>
          <w:szCs w:val="24"/>
        </w:rPr>
      </w:pPr>
      <w:r w:rsidRPr="007A6B22">
        <w:rPr>
          <w:color w:val="auto"/>
          <w:sz w:val="24"/>
          <w:szCs w:val="24"/>
        </w:rPr>
        <w:t xml:space="preserve">Table </w:t>
      </w:r>
      <w:r w:rsidR="00751A2C" w:rsidRPr="007A6B22">
        <w:rPr>
          <w:color w:val="auto"/>
          <w:sz w:val="24"/>
          <w:szCs w:val="24"/>
        </w:rPr>
        <w:t>S3</w:t>
      </w:r>
      <w:r w:rsidRPr="007A6B22">
        <w:rPr>
          <w:color w:val="auto"/>
          <w:sz w:val="24"/>
          <w:szCs w:val="24"/>
        </w:rPr>
        <w:t xml:space="preserve">.2 </w:t>
      </w:r>
      <w:r w:rsidRPr="007A6B22">
        <w:rPr>
          <w:b w:val="0"/>
          <w:color w:val="auto"/>
          <w:sz w:val="24"/>
          <w:szCs w:val="24"/>
        </w:rPr>
        <w:t xml:space="preserve">Main functions of the MYRLIN </w:t>
      </w:r>
      <w:r w:rsidR="00DE52C8" w:rsidRPr="007A6B22">
        <w:rPr>
          <w:b w:val="0"/>
          <w:color w:val="auto"/>
          <w:sz w:val="24"/>
          <w:szCs w:val="24"/>
        </w:rPr>
        <w:t>#2 tool</w:t>
      </w:r>
      <w:r w:rsidRPr="007A6B22">
        <w:rPr>
          <w:b w:val="0"/>
          <w:color w:val="auto"/>
          <w:sz w:val="24"/>
          <w:szCs w:val="24"/>
        </w:rPr>
        <w:t xml:space="preserve"> and values inputted into the model.  Adapted from </w:t>
      </w:r>
      <w:proofErr w:type="spellStart"/>
      <w:r w:rsidRPr="007A6B22">
        <w:rPr>
          <w:b w:val="0"/>
          <w:color w:val="auto"/>
          <w:sz w:val="24"/>
          <w:szCs w:val="24"/>
        </w:rPr>
        <w:t>Nicol</w:t>
      </w:r>
      <w:proofErr w:type="spellEnd"/>
      <w:r w:rsidRPr="007A6B22">
        <w:rPr>
          <w:b w:val="0"/>
          <w:color w:val="auto"/>
          <w:sz w:val="24"/>
          <w:szCs w:val="24"/>
        </w:rPr>
        <w:t xml:space="preserve"> </w:t>
      </w:r>
      <w:r w:rsidRPr="007A6B22">
        <w:rPr>
          <w:b w:val="0"/>
          <w:i/>
          <w:iCs/>
          <w:color w:val="auto"/>
          <w:sz w:val="24"/>
          <w:szCs w:val="24"/>
        </w:rPr>
        <w:t>et al.</w:t>
      </w:r>
      <w:r w:rsidRPr="007A6B22">
        <w:rPr>
          <w:b w:val="0"/>
          <w:color w:val="auto"/>
          <w:sz w:val="24"/>
          <w:szCs w:val="24"/>
        </w:rPr>
        <w:t xml:space="preserve"> (2002). </w:t>
      </w:r>
    </w:p>
    <w:tbl>
      <w:tblPr>
        <w:tblStyle w:val="LightList"/>
        <w:tblpPr w:leftFromText="180" w:rightFromText="180" w:vertAnchor="text" w:horzAnchor="margin" w:tblpY="58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27"/>
        <w:gridCol w:w="3295"/>
      </w:tblGrid>
      <w:tr w:rsidR="00A97B7F" w:rsidRPr="007A6B22" w:rsidTr="00DE5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97B7F" w:rsidRPr="007A6B22" w:rsidRDefault="00A97B7F" w:rsidP="00D36398">
            <w:pPr>
              <w:tabs>
                <w:tab w:val="left" w:pos="-1418"/>
              </w:tabs>
              <w:spacing w:before="100" w:beforeAutospacing="1" w:after="100" w:afterAutospacing="1"/>
              <w:rPr>
                <w:b w:val="0"/>
                <w:color w:val="auto"/>
              </w:rPr>
            </w:pPr>
            <w:r w:rsidRPr="007A6B22">
              <w:rPr>
                <w:color w:val="auto"/>
              </w:rPr>
              <w:t>Function and Features</w:t>
            </w:r>
          </w:p>
        </w:tc>
        <w:tc>
          <w:tcPr>
            <w:tcW w:w="32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97B7F" w:rsidRPr="007A6B22" w:rsidRDefault="00A97B7F" w:rsidP="00D36398">
            <w:pPr>
              <w:tabs>
                <w:tab w:val="left" w:pos="-1418"/>
              </w:tabs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7A6B22">
              <w:rPr>
                <w:color w:val="auto"/>
              </w:rPr>
              <w:t>Comment</w:t>
            </w:r>
          </w:p>
        </w:tc>
      </w:tr>
      <w:tr w:rsidR="00A97B7F" w:rsidRPr="007A6B22" w:rsidTr="00DE5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7" w:type="dxa"/>
            <w:tcBorders>
              <w:top w:val="double" w:sz="4" w:space="0" w:color="auto"/>
              <w:left w:val="none" w:sz="0" w:space="0" w:color="auto"/>
              <w:bottom w:val="double" w:sz="4" w:space="0" w:color="auto"/>
            </w:tcBorders>
            <w:shd w:val="clear" w:color="auto" w:fill="auto"/>
          </w:tcPr>
          <w:p w:rsidR="00A97B7F" w:rsidRPr="007A6B22" w:rsidRDefault="00A97B7F" w:rsidP="00D36398">
            <w:pPr>
              <w:tabs>
                <w:tab w:val="left" w:pos="-1418"/>
              </w:tabs>
              <w:spacing w:before="100" w:beforeAutospacing="1" w:after="100" w:afterAutospacing="1"/>
            </w:pPr>
            <w:r w:rsidRPr="007A6B22">
              <w:rPr>
                <w:b w:val="0"/>
              </w:rPr>
              <w:t>Species group values can be adjusted on the graph based on knowledge of ecological characteristics.</w:t>
            </w:r>
            <w:r w:rsidRPr="007A6B22">
              <w:t xml:space="preserve"> </w:t>
            </w:r>
          </w:p>
          <w:p w:rsidR="00A97B7F" w:rsidRPr="007A6B22" w:rsidRDefault="00A97B7F" w:rsidP="00D36398">
            <w:pPr>
              <w:tabs>
                <w:tab w:val="left" w:pos="-1418"/>
              </w:tabs>
              <w:spacing w:before="100" w:beforeAutospacing="1" w:after="100" w:afterAutospacing="1"/>
            </w:pPr>
            <w:r w:rsidRPr="007A6B22">
              <w:rPr>
                <w:noProof/>
                <w:lang w:eastAsia="zh-CN"/>
              </w:rPr>
              <w:drawing>
                <wp:inline distT="0" distB="0" distL="0" distR="0" wp14:anchorId="2065D379" wp14:editId="7D6E972E">
                  <wp:extent cx="3689498" cy="2977116"/>
                  <wp:effectExtent l="0" t="0" r="0" b="0"/>
                  <wp:docPr id="1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A97B7F" w:rsidRPr="007A6B22" w:rsidRDefault="00A97B7F" w:rsidP="00D36398">
            <w:pPr>
              <w:tabs>
                <w:tab w:val="left" w:pos="-1418"/>
              </w:tabs>
              <w:spacing w:before="100" w:beforeAutospacing="1" w:after="100" w:afterAutospacing="1"/>
            </w:pPr>
          </w:p>
        </w:tc>
        <w:tc>
          <w:tcPr>
            <w:tcW w:w="3295" w:type="dxa"/>
            <w:tcBorders>
              <w:top w:val="double" w:sz="4" w:space="0" w:color="auto"/>
              <w:bottom w:val="double" w:sz="4" w:space="0" w:color="auto"/>
              <w:right w:val="none" w:sz="0" w:space="0" w:color="auto"/>
            </w:tcBorders>
            <w:shd w:val="clear" w:color="auto" w:fill="auto"/>
          </w:tcPr>
          <w:p w:rsidR="00A97B7F" w:rsidRPr="007A6B22" w:rsidRDefault="00A97B7F" w:rsidP="00D36398">
            <w:pPr>
              <w:tabs>
                <w:tab w:val="left" w:pos="-1418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B22">
              <w:t>Species growth rates adjusted to fit ecological characteristics:</w:t>
            </w:r>
          </w:p>
          <w:p w:rsidR="00A97B7F" w:rsidRPr="007A6B22" w:rsidRDefault="00A97B7F" w:rsidP="00D36398">
            <w:pPr>
              <w:pStyle w:val="ListParagraph"/>
              <w:numPr>
                <w:ilvl w:val="0"/>
                <w:numId w:val="3"/>
              </w:numPr>
              <w:tabs>
                <w:tab w:val="left" w:pos="-1418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B22">
              <w:t>Fast growth = blue line</w:t>
            </w:r>
          </w:p>
          <w:p w:rsidR="00A97B7F" w:rsidRPr="007A6B22" w:rsidRDefault="00A97B7F" w:rsidP="00D36398">
            <w:pPr>
              <w:pStyle w:val="ListParagraph"/>
              <w:numPr>
                <w:ilvl w:val="0"/>
                <w:numId w:val="3"/>
              </w:numPr>
              <w:tabs>
                <w:tab w:val="left" w:pos="-1418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B22">
              <w:t>Medium growth = red line</w:t>
            </w:r>
          </w:p>
          <w:p w:rsidR="00A97B7F" w:rsidRPr="007A6B22" w:rsidRDefault="00A97B7F" w:rsidP="00D36398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-1418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B22">
              <w:t>Slow growth = yellow line</w:t>
            </w:r>
          </w:p>
          <w:p w:rsidR="00A97B7F" w:rsidRPr="007A6B22" w:rsidRDefault="00A97B7F" w:rsidP="00D36398">
            <w:pPr>
              <w:keepNext/>
              <w:tabs>
                <w:tab w:val="left" w:pos="-1418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B22">
              <w:t>Trees with unknown growth rates were left as default as ecological characteristics could not be determined.</w:t>
            </w:r>
          </w:p>
        </w:tc>
      </w:tr>
    </w:tbl>
    <w:p w:rsidR="00A97B7F" w:rsidRPr="007A6B22" w:rsidRDefault="00A97B7F" w:rsidP="00A97B7F">
      <w:pPr>
        <w:tabs>
          <w:tab w:val="left" w:pos="-1418"/>
        </w:tabs>
        <w:spacing w:before="100" w:beforeAutospacing="1" w:after="100" w:afterAutospacing="1"/>
        <w:rPr>
          <w:b/>
        </w:rPr>
      </w:pPr>
    </w:p>
    <w:p w:rsidR="00A97B7F" w:rsidRPr="007A6B22" w:rsidRDefault="00A97B7F" w:rsidP="00A97B7F">
      <w:pPr>
        <w:tabs>
          <w:tab w:val="left" w:pos="-1418"/>
        </w:tabs>
        <w:spacing w:before="100" w:beforeAutospacing="1" w:after="100" w:afterAutospacing="1"/>
        <w:rPr>
          <w:b/>
        </w:rPr>
      </w:pPr>
      <w:r w:rsidRPr="007A6B22">
        <w:rPr>
          <w:b/>
        </w:rPr>
        <w:t>References</w:t>
      </w:r>
    </w:p>
    <w:p w:rsidR="00A97B7F" w:rsidRPr="007A6B22" w:rsidRDefault="00A97B7F" w:rsidP="00A97B7F">
      <w:pPr>
        <w:tabs>
          <w:tab w:val="left" w:pos="-1418"/>
        </w:tabs>
        <w:spacing w:before="100" w:beforeAutospacing="1" w:after="100" w:afterAutospacing="1"/>
        <w:jc w:val="both"/>
      </w:pPr>
      <w:r w:rsidRPr="007A6B22">
        <w:t xml:space="preserve">Alder, D., Baker, N., and Wright, H.L. 2002. </w:t>
      </w:r>
      <w:r w:rsidRPr="007A6B22">
        <w:rPr>
          <w:i/>
        </w:rPr>
        <w:t>MYRLIN: Simple tools for yield regulation in tropical forests. Working Document of the University of Oxford</w:t>
      </w:r>
      <w:r w:rsidRPr="007A6B22">
        <w:t>. Oxford Forestry Institute Research Project, UK.</w:t>
      </w:r>
    </w:p>
    <w:p w:rsidR="00A97B7F" w:rsidRPr="007A6B22" w:rsidRDefault="00A97B7F" w:rsidP="00A97B7F">
      <w:pPr>
        <w:tabs>
          <w:tab w:val="left" w:pos="-1418"/>
        </w:tabs>
        <w:spacing w:before="100" w:beforeAutospacing="1" w:after="100" w:afterAutospacing="1"/>
        <w:jc w:val="both"/>
      </w:pPr>
      <w:proofErr w:type="spellStart"/>
      <w:r w:rsidRPr="007A6B22">
        <w:t>Nicol</w:t>
      </w:r>
      <w:proofErr w:type="spellEnd"/>
      <w:r w:rsidRPr="007A6B22">
        <w:t xml:space="preserve">, G., Singh, J., and Khan, T. 2002. Methods of yield regulation in tropical mixed forests: pilot studies using MYRLIN and SYMFOR in Guyana. DFID, Guyana Forestry Commission. </w:t>
      </w:r>
    </w:p>
    <w:p w:rsidR="00A97B7F" w:rsidRPr="007A6B22" w:rsidRDefault="00A97B7F" w:rsidP="00A97B7F">
      <w:pPr>
        <w:tabs>
          <w:tab w:val="left" w:pos="-1418"/>
        </w:tabs>
        <w:spacing w:before="100" w:beforeAutospacing="1" w:after="100" w:afterAutospacing="1"/>
        <w:jc w:val="both"/>
        <w:rPr>
          <w:rFonts w:cs="Arial"/>
          <w:lang w:val="en-US"/>
        </w:rPr>
      </w:pPr>
      <w:proofErr w:type="gramStart"/>
      <w:r w:rsidRPr="007A6B22">
        <w:rPr>
          <w:rFonts w:cs="Arial"/>
          <w:lang w:val="en-US"/>
        </w:rPr>
        <w:t>van</w:t>
      </w:r>
      <w:proofErr w:type="gramEnd"/>
      <w:r w:rsidRPr="007A6B22">
        <w:rPr>
          <w:rFonts w:cs="Arial"/>
          <w:lang w:val="en-US"/>
        </w:rPr>
        <w:t xml:space="preserve"> </w:t>
      </w:r>
      <w:proofErr w:type="spellStart"/>
      <w:r w:rsidRPr="007A6B22">
        <w:rPr>
          <w:rFonts w:cs="Arial"/>
          <w:lang w:val="en-US"/>
        </w:rPr>
        <w:t>Gardingen</w:t>
      </w:r>
      <w:proofErr w:type="spellEnd"/>
      <w:r w:rsidRPr="007A6B22">
        <w:rPr>
          <w:rFonts w:cs="Arial"/>
          <w:lang w:val="en-US"/>
        </w:rPr>
        <w:t xml:space="preserve">, P.R. 2003. Regulating the yield of goods and services from forests: Developing tools to support management decisions and policy development for multiple objective forest management. Pages 307-319 in A. </w:t>
      </w:r>
      <w:proofErr w:type="spellStart"/>
      <w:r w:rsidRPr="007A6B22">
        <w:rPr>
          <w:rFonts w:cs="Arial"/>
          <w:lang w:val="en-US"/>
        </w:rPr>
        <w:t>Amaro</w:t>
      </w:r>
      <w:proofErr w:type="spellEnd"/>
      <w:r w:rsidRPr="007A6B22">
        <w:rPr>
          <w:rFonts w:cs="Arial"/>
          <w:lang w:val="en-US"/>
        </w:rPr>
        <w:t xml:space="preserve">, D. Reed, P. </w:t>
      </w:r>
      <w:proofErr w:type="spellStart"/>
      <w:r w:rsidRPr="007A6B22">
        <w:rPr>
          <w:rFonts w:cs="Arial"/>
          <w:lang w:val="en-US"/>
        </w:rPr>
        <w:t>Goares</w:t>
      </w:r>
      <w:proofErr w:type="spellEnd"/>
      <w:r w:rsidRPr="007A6B22">
        <w:rPr>
          <w:rFonts w:cs="Arial"/>
          <w:lang w:val="en-US"/>
        </w:rPr>
        <w:t xml:space="preserve">, editors. </w:t>
      </w:r>
      <w:r w:rsidRPr="007A6B22">
        <w:rPr>
          <w:rFonts w:cs="Arial"/>
          <w:i/>
          <w:lang w:val="en-US"/>
        </w:rPr>
        <w:t>Modelling Forest Systems.</w:t>
      </w:r>
      <w:r w:rsidRPr="007A6B22">
        <w:rPr>
          <w:rFonts w:cs="Arial"/>
          <w:lang w:val="en-US"/>
        </w:rPr>
        <w:t xml:space="preserve"> CABI publishing, Oxon, UK.</w:t>
      </w:r>
    </w:p>
    <w:p w:rsidR="00735D88" w:rsidRPr="007A6B22" w:rsidRDefault="00A97B7F" w:rsidP="00A97B7F">
      <w:r w:rsidRPr="007A6B22">
        <w:t xml:space="preserve">Wright, H.L. and Alder, D. 2000. </w:t>
      </w:r>
      <w:r w:rsidRPr="007A6B22">
        <w:rPr>
          <w:i/>
        </w:rPr>
        <w:t>Proceedings of a Workshop on Humid and Semi-humid Tropical Forest Yield Regulation with Minimal Data</w:t>
      </w:r>
      <w:r w:rsidRPr="007A6B22">
        <w:t>. OFI occasional papers, No. 52, Oxford Forestry Institute, Oxford, UK.</w:t>
      </w:r>
      <w:bookmarkStart w:id="0" w:name="_GoBack"/>
      <w:bookmarkEnd w:id="0"/>
    </w:p>
    <w:sectPr w:rsidR="00735D88" w:rsidRPr="007A6B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70D5"/>
    <w:multiLevelType w:val="hybridMultilevel"/>
    <w:tmpl w:val="DB107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D2C2D"/>
    <w:multiLevelType w:val="hybridMultilevel"/>
    <w:tmpl w:val="00E48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8141A"/>
    <w:multiLevelType w:val="hybridMultilevel"/>
    <w:tmpl w:val="CED43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7F"/>
    <w:rsid w:val="003A5FBE"/>
    <w:rsid w:val="00751A2C"/>
    <w:rsid w:val="007A6B22"/>
    <w:rsid w:val="00A97B7F"/>
    <w:rsid w:val="00D21094"/>
    <w:rsid w:val="00DE52C8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A2116-9A40-483E-B00B-9930D159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B7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7B7F"/>
    <w:pPr>
      <w:spacing w:line="360" w:lineRule="auto"/>
      <w:contextualSpacing/>
      <w:outlineLvl w:val="0"/>
    </w:pPr>
    <w:rPr>
      <w:rFonts w:ascii="Helvetica Neue" w:eastAsia="Helvetica Neue" w:hAnsi="Helvetica Neue" w:cs="Helvetica Neue"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7B7F"/>
    <w:rPr>
      <w:rFonts w:ascii="Helvetica Neue" w:eastAsia="Helvetica Neue" w:hAnsi="Helvetica Neue" w:cs="Helvetica Neue"/>
      <w:sz w:val="36"/>
      <w:szCs w:val="24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97B7F"/>
    <w:pPr>
      <w:spacing w:after="200"/>
    </w:pPr>
    <w:rPr>
      <w:b/>
      <w:bCs/>
      <w:color w:val="5B9BD5" w:themeColor="accent1"/>
      <w:sz w:val="18"/>
      <w:szCs w:val="18"/>
    </w:rPr>
  </w:style>
  <w:style w:type="paragraph" w:styleId="ListParagraph">
    <w:name w:val="List Paragraph"/>
    <w:basedOn w:val="Normal"/>
    <w:uiPriority w:val="99"/>
    <w:qFormat/>
    <w:rsid w:val="00A97B7F"/>
    <w:pPr>
      <w:ind w:left="720"/>
      <w:contextualSpacing/>
    </w:pPr>
  </w:style>
  <w:style w:type="table" w:styleId="LightList">
    <w:name w:val="Light List"/>
    <w:basedOn w:val="TableNormal"/>
    <w:uiPriority w:val="61"/>
    <w:rsid w:val="00A97B7F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858324715615458"/>
          <c:y val="3.728813559322082E-2"/>
          <c:w val="0.83143743536711479"/>
          <c:h val="0.80169491525423764"/>
        </c:manualLayout>
      </c:layout>
      <c:scatterChart>
        <c:scatterStyle val="lineMarker"/>
        <c:varyColors val="0"/>
        <c:ser>
          <c:idx val="1"/>
          <c:order val="0"/>
          <c:tx>
            <c:v>II</c:v>
          </c:tx>
          <c:spPr>
            <a:ln w="38100">
              <a:solidFill>
                <a:srgbClr val="FF0000"/>
              </a:solidFill>
              <a:prstDash val="solid"/>
            </a:ln>
          </c:spPr>
          <c:marker>
            <c:symbol val="none"/>
          </c:marker>
          <c:dLbls>
            <c:dLbl>
              <c:idx val="4"/>
              <c:tx>
                <c:rich>
                  <a:bodyPr/>
                  <a:lstStyle/>
                  <a:p>
                    <a:pPr algn="l">
                      <a:defRPr/>
                    </a:pPr>
                    <a:r>
                      <a:rPr lang="en-US"/>
                      <a:t>Medium growth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'[MYRLIN#2 (Tree increments).xls]Model'!$F$5:$F$9</c:f>
              <c:numCache>
                <c:formatCode>0.000</c:formatCode>
                <c:ptCount val="5"/>
                <c:pt idx="0">
                  <c:v>19.528555446827092</c:v>
                </c:pt>
                <c:pt idx="1">
                  <c:v>29.18353753482543</c:v>
                </c:pt>
                <c:pt idx="2">
                  <c:v>42.280084161551706</c:v>
                </c:pt>
                <c:pt idx="3">
                  <c:v>64.152758731456217</c:v>
                </c:pt>
                <c:pt idx="4">
                  <c:v>89.040864176377127</c:v>
                </c:pt>
              </c:numCache>
            </c:numRef>
          </c:xVal>
          <c:yVal>
            <c:numRef>
              <c:f>'[MYRLIN#2 (Tree increments).xls]Model'!$E$5:$E$9</c:f>
              <c:numCache>
                <c:formatCode>0.000</c:formatCode>
                <c:ptCount val="5"/>
                <c:pt idx="0">
                  <c:v>0.1929431415723307</c:v>
                </c:pt>
                <c:pt idx="1">
                  <c:v>0.23511871554269842</c:v>
                </c:pt>
                <c:pt idx="2">
                  <c:v>0.30316630329292743</c:v>
                </c:pt>
                <c:pt idx="3">
                  <c:v>0.39699247648731162</c:v>
                </c:pt>
                <c:pt idx="4">
                  <c:v>0.46584273341458782</c:v>
                </c:pt>
              </c:numCache>
            </c:numRef>
          </c:yVal>
          <c:smooth val="1"/>
        </c:ser>
        <c:ser>
          <c:idx val="2"/>
          <c:order val="1"/>
          <c:tx>
            <c:v>I</c:v>
          </c:tx>
          <c:spPr>
            <a:ln w="38100">
              <a:solidFill>
                <a:srgbClr val="FFCC00"/>
              </a:solidFill>
              <a:prstDash val="solid"/>
            </a:ln>
          </c:spPr>
          <c:marker>
            <c:symbol val="none"/>
          </c:marker>
          <c:dLbls>
            <c:dLbl>
              <c:idx val="1"/>
              <c:tx>
                <c:rich>
                  <a:bodyPr/>
                  <a:lstStyle/>
                  <a:p>
                    <a:pPr algn="l">
                      <a:defRPr/>
                    </a:pPr>
                    <a:r>
                      <a:rPr lang="en-US"/>
                      <a:t>Slow growth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'[MYRLIN#2 (Tree increments).xls]Model'!$F$3:$F$4</c:f>
              <c:numCache>
                <c:formatCode>0.000</c:formatCode>
                <c:ptCount val="2"/>
                <c:pt idx="0">
                  <c:v>16.696989357500833</c:v>
                </c:pt>
                <c:pt idx="1">
                  <c:v>57.27257239357548</c:v>
                </c:pt>
              </c:numCache>
            </c:numRef>
          </c:xVal>
          <c:yVal>
            <c:numRef>
              <c:f>'[MYRLIN#2 (Tree increments).xls]Model'!$E$3:$E$4</c:f>
              <c:numCache>
                <c:formatCode>0.000</c:formatCode>
                <c:ptCount val="2"/>
                <c:pt idx="0">
                  <c:v>0.11113077995797822</c:v>
                </c:pt>
                <c:pt idx="1">
                  <c:v>0.20738846867220992</c:v>
                </c:pt>
              </c:numCache>
            </c:numRef>
          </c:yVal>
          <c:smooth val="1"/>
        </c:ser>
        <c:ser>
          <c:idx val="3"/>
          <c:order val="2"/>
          <c:tx>
            <c:v>III</c:v>
          </c:tx>
          <c:spPr>
            <a:ln w="38100">
              <a:solidFill>
                <a:srgbClr val="00CCFF"/>
              </a:solidFill>
              <a:prstDash val="solid"/>
            </a:ln>
          </c:spPr>
          <c:marker>
            <c:symbol val="none"/>
          </c:marker>
          <c:dLbls>
            <c:dLbl>
              <c:idx val="4"/>
              <c:tx>
                <c:rich>
                  <a:bodyPr/>
                  <a:lstStyle/>
                  <a:p>
                    <a:pPr algn="l">
                      <a:defRPr/>
                    </a:pPr>
                    <a:r>
                      <a:rPr lang="en-US"/>
                      <a:t>
Fast growth 
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'[MYRLIN#2 (Tree increments).xls]Model'!$F$10:$F$14</c:f>
              <c:numCache>
                <c:formatCode>0.000</c:formatCode>
                <c:ptCount val="5"/>
                <c:pt idx="0">
                  <c:v>31.390602019211929</c:v>
                </c:pt>
                <c:pt idx="1">
                  <c:v>40.931152973702993</c:v>
                </c:pt>
                <c:pt idx="2">
                  <c:v>50.265420138901391</c:v>
                </c:pt>
                <c:pt idx="3">
                  <c:v>66.542156329653238</c:v>
                </c:pt>
                <c:pt idx="4">
                  <c:v>70.46712070032099</c:v>
                </c:pt>
              </c:numCache>
            </c:numRef>
          </c:xVal>
          <c:yVal>
            <c:numRef>
              <c:f>'[MYRLIN#2 (Tree increments).xls]Model'!$E$10:$E$14</c:f>
              <c:numCache>
                <c:formatCode>0.000</c:formatCode>
                <c:ptCount val="5"/>
                <c:pt idx="0">
                  <c:v>0.33158953182291373</c:v>
                </c:pt>
                <c:pt idx="1">
                  <c:v>0.39764494320048815</c:v>
                </c:pt>
                <c:pt idx="2">
                  <c:v>0.5131839986446104</c:v>
                </c:pt>
                <c:pt idx="3">
                  <c:v>0.65528932522131478</c:v>
                </c:pt>
                <c:pt idx="4">
                  <c:v>1.0289010351258379</c:v>
                </c:pt>
              </c:numCache>
            </c:numRef>
          </c:yVal>
          <c:smooth val="1"/>
        </c:ser>
        <c:ser>
          <c:idx val="5"/>
          <c:order val="3"/>
          <c:tx>
            <c:v>Mean</c:v>
          </c:tx>
          <c:spPr>
            <a:ln w="28575">
              <a:noFill/>
            </a:ln>
          </c:spPr>
          <c:marker>
            <c:symbol val="plus"/>
            <c:size val="10"/>
            <c:spPr>
              <a:noFill/>
              <a:ln>
                <a:solidFill>
                  <a:srgbClr val="C0C0C0"/>
                </a:solidFill>
                <a:prstDash val="solid"/>
              </a:ln>
            </c:spPr>
          </c:marker>
          <c:xVal>
            <c:numRef>
              <c:f>'[MYRLIN#2 (Tree increments).xls]Model'!$H$3</c:f>
              <c:numCache>
                <c:formatCode>General</c:formatCode>
                <c:ptCount val="1"/>
                <c:pt idx="0">
                  <c:v>41.5</c:v>
                </c:pt>
              </c:numCache>
            </c:numRef>
          </c:xVal>
          <c:yVal>
            <c:numRef>
              <c:f>'[MYRLIN#2 (Tree increments).xls]Model'!$G$3</c:f>
              <c:numCache>
                <c:formatCode>General</c:formatCode>
                <c:ptCount val="1"/>
                <c:pt idx="0">
                  <c:v>0.41700000000000031</c:v>
                </c:pt>
              </c:numCache>
            </c:numRef>
          </c:yVal>
          <c:smooth val="0"/>
        </c:ser>
        <c:ser>
          <c:idx val="6"/>
          <c:order val="4"/>
          <c:tx>
            <c:v>Typical</c:v>
          </c:tx>
          <c:spPr>
            <a:ln w="28575">
              <a:noFill/>
            </a:ln>
          </c:spPr>
          <c:marker>
            <c:symbol val="plus"/>
            <c:size val="5"/>
            <c:spPr>
              <a:noFill/>
              <a:ln>
                <a:solidFill>
                  <a:srgbClr val="008080"/>
                </a:solidFill>
                <a:prstDash val="solid"/>
              </a:ln>
            </c:spPr>
          </c:marker>
          <c:xVal>
            <c:numRef>
              <c:f>'[MYRLIN#2 (Tree increments).xls]Model'!$F$5:$F$14</c:f>
              <c:numCache>
                <c:formatCode>0.000</c:formatCode>
                <c:ptCount val="10"/>
                <c:pt idx="0">
                  <c:v>19.528555446827092</c:v>
                </c:pt>
                <c:pt idx="1">
                  <c:v>29.18353753482543</c:v>
                </c:pt>
                <c:pt idx="2">
                  <c:v>42.280084161551706</c:v>
                </c:pt>
                <c:pt idx="3">
                  <c:v>64.152758731456217</c:v>
                </c:pt>
                <c:pt idx="4">
                  <c:v>89.040864176377127</c:v>
                </c:pt>
                <c:pt idx="5">
                  <c:v>31.390602019211929</c:v>
                </c:pt>
                <c:pt idx="6">
                  <c:v>40.931152973702993</c:v>
                </c:pt>
                <c:pt idx="7">
                  <c:v>50.265420138901391</c:v>
                </c:pt>
                <c:pt idx="8">
                  <c:v>66.542156329653238</c:v>
                </c:pt>
                <c:pt idx="9">
                  <c:v>70.46712070032099</c:v>
                </c:pt>
              </c:numCache>
            </c:numRef>
          </c:xVal>
          <c:yVal>
            <c:numRef>
              <c:f>'[MYRLIN#2 (Tree increments).xls]Model'!$E$5:$E$14</c:f>
              <c:numCache>
                <c:formatCode>0.000</c:formatCode>
                <c:ptCount val="10"/>
                <c:pt idx="0">
                  <c:v>0.1929431415723307</c:v>
                </c:pt>
                <c:pt idx="1">
                  <c:v>0.23511871554269842</c:v>
                </c:pt>
                <c:pt idx="2">
                  <c:v>0.30316630329292743</c:v>
                </c:pt>
                <c:pt idx="3">
                  <c:v>0.39699247648731162</c:v>
                </c:pt>
                <c:pt idx="4">
                  <c:v>0.46584273341458782</c:v>
                </c:pt>
                <c:pt idx="5">
                  <c:v>0.33158953182291373</c:v>
                </c:pt>
                <c:pt idx="6">
                  <c:v>0.39764494320048815</c:v>
                </c:pt>
                <c:pt idx="7">
                  <c:v>0.5131839986446104</c:v>
                </c:pt>
                <c:pt idx="8">
                  <c:v>0.65528932522131478</c:v>
                </c:pt>
                <c:pt idx="9">
                  <c:v>1.0289010351258379</c:v>
                </c:pt>
              </c:numCache>
            </c:numRef>
          </c:yVal>
          <c:smooth val="0"/>
        </c:ser>
        <c:ser>
          <c:idx val="7"/>
          <c:order val="5"/>
          <c:tx>
            <c:v>Data</c:v>
          </c:tx>
          <c:spPr>
            <a:ln w="28575">
              <a:noFill/>
            </a:ln>
          </c:spPr>
          <c:marker>
            <c:symbol val="dot"/>
            <c:size val="5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F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S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U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M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'[MYRLIN#2 (Tree increments).xls]Table'!$C$5:$C$8</c:f>
              <c:numCache>
                <c:formatCode>General</c:formatCode>
                <c:ptCount val="4"/>
                <c:pt idx="0">
                  <c:v>44</c:v>
                </c:pt>
                <c:pt idx="1">
                  <c:v>51</c:v>
                </c:pt>
                <c:pt idx="2">
                  <c:v>5</c:v>
                </c:pt>
                <c:pt idx="3">
                  <c:v>26</c:v>
                </c:pt>
              </c:numCache>
            </c:numRef>
          </c:xVal>
          <c:yVal>
            <c:numRef>
              <c:f>'[MYRLIN#2 (Tree increments).xls]Table'!$E$5:$E$8</c:f>
              <c:numCache>
                <c:formatCode>0.00</c:formatCode>
                <c:ptCount val="4"/>
                <c:pt idx="0">
                  <c:v>0.44</c:v>
                </c:pt>
                <c:pt idx="1">
                  <c:v>0.2</c:v>
                </c:pt>
                <c:pt idx="2">
                  <c:v>0.11974065943130091</c:v>
                </c:pt>
                <c:pt idx="3">
                  <c:v>0.22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74959040"/>
        <c:axId val="874956688"/>
      </c:scatterChart>
      <c:valAx>
        <c:axId val="874959040"/>
        <c:scaling>
          <c:orientation val="minMax"/>
          <c:max val="120"/>
          <c:min val="0"/>
        </c:scaling>
        <c:delete val="0"/>
        <c:axPos val="b"/>
        <c:majorGridlines>
          <c:spPr>
            <a:ln w="3175">
              <a:solidFill>
                <a:srgbClr val="33CCCC"/>
              </a:solidFill>
              <a:prstDash val="solid"/>
            </a:ln>
          </c:spPr>
        </c:majorGridlines>
        <c:minorGridlines>
          <c:spPr>
            <a:ln w="3175">
              <a:solidFill>
                <a:srgbClr val="CCFFFF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Species 95% diameter (cm)</a:t>
                </a:r>
              </a:p>
            </c:rich>
          </c:tx>
          <c:layout>
            <c:manualLayout>
              <c:xMode val="edge"/>
              <c:yMode val="edge"/>
              <c:x val="0.39917269906929498"/>
              <c:y val="0.9135593220339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874956688"/>
        <c:crosses val="autoZero"/>
        <c:crossBetween val="midCat"/>
        <c:majorUnit val="20"/>
        <c:minorUnit val="5"/>
      </c:valAx>
      <c:valAx>
        <c:axId val="874956688"/>
        <c:scaling>
          <c:orientation val="minMax"/>
          <c:max val="2"/>
          <c:min val="0"/>
        </c:scaling>
        <c:delete val="0"/>
        <c:axPos val="l"/>
        <c:majorGridlines>
          <c:spPr>
            <a:ln w="3175">
              <a:solidFill>
                <a:srgbClr val="33CCCC"/>
              </a:solidFill>
              <a:prstDash val="solid"/>
            </a:ln>
          </c:spPr>
        </c:majorGridlines>
        <c:minorGridlines>
          <c:spPr>
            <a:ln w="3175">
              <a:solidFill>
                <a:srgbClr val="CCFFFF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en-GB" sz="700"/>
                  <a:t>Species mean increment (cm yr-1)</a:t>
                </a:r>
              </a:p>
            </c:rich>
          </c:tx>
          <c:layout>
            <c:manualLayout>
              <c:xMode val="edge"/>
              <c:yMode val="edge"/>
              <c:x val="3.16760608482697E-3"/>
              <c:y val="0.19152527707344233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874959040"/>
        <c:crosses val="autoZero"/>
        <c:crossBetween val="midCat"/>
        <c:majorUnit val="0.5"/>
        <c:minorUnit val="0.1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7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Willcock S.P.</dc:creator>
  <cp:keywords/>
  <dc:description/>
  <cp:lastModifiedBy>Willcock S.P.</cp:lastModifiedBy>
  <cp:revision>4</cp:revision>
  <dcterms:created xsi:type="dcterms:W3CDTF">2016-10-11T09:22:00Z</dcterms:created>
  <dcterms:modified xsi:type="dcterms:W3CDTF">2016-10-11T12:00:00Z</dcterms:modified>
</cp:coreProperties>
</file>