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28" w:rsidRPr="00AA434D" w:rsidRDefault="007B065C" w:rsidP="009824F4">
      <w:pPr>
        <w:spacing w:line="276" w:lineRule="auto"/>
        <w:ind w:right="1700"/>
        <w:rPr>
          <w:rFonts w:ascii="Arial" w:hAnsi="Arial" w:cs="Arial"/>
          <w:lang w:val="en-GB"/>
        </w:rPr>
      </w:pPr>
      <w:r w:rsidRPr="00AA434D">
        <w:rPr>
          <w:rFonts w:ascii="Arial" w:hAnsi="Arial" w:cs="Arial"/>
          <w:b/>
          <w:lang w:val="en-GB"/>
        </w:rPr>
        <w:t>Appendix S2</w:t>
      </w:r>
      <w:r w:rsidR="00B26E07" w:rsidRPr="00AA434D">
        <w:rPr>
          <w:rFonts w:ascii="Arial" w:hAnsi="Arial" w:cs="Arial"/>
          <w:b/>
          <w:lang w:val="en-GB"/>
        </w:rPr>
        <w:t xml:space="preserve">. </w:t>
      </w:r>
      <w:r w:rsidR="00B26E07" w:rsidRPr="00AA434D">
        <w:rPr>
          <w:rFonts w:ascii="Arial" w:hAnsi="Arial" w:cs="Arial"/>
          <w:lang w:val="en-GB"/>
        </w:rPr>
        <w:t xml:space="preserve">Socioeconomic descriptors of Fuerteventura. </w:t>
      </w:r>
      <w:r w:rsidR="007100DD" w:rsidRPr="00AA434D">
        <w:rPr>
          <w:rFonts w:ascii="Arial" w:hAnsi="Arial" w:cs="Arial"/>
          <w:lang w:val="en-GB"/>
        </w:rPr>
        <w:t xml:space="preserve">Variables </w:t>
      </w:r>
      <w:proofErr w:type="gramStart"/>
      <w:r w:rsidR="007100DD" w:rsidRPr="00AA434D">
        <w:rPr>
          <w:rFonts w:ascii="Arial" w:hAnsi="Arial" w:cs="Arial"/>
          <w:lang w:val="en-GB"/>
        </w:rPr>
        <w:t>are expressed</w:t>
      </w:r>
      <w:proofErr w:type="gramEnd"/>
      <w:r w:rsidR="007100DD" w:rsidRPr="00AA434D">
        <w:rPr>
          <w:rFonts w:ascii="Arial" w:hAnsi="Arial" w:cs="Arial"/>
          <w:lang w:val="en-GB"/>
        </w:rPr>
        <w:t xml:space="preserve"> as a percentage in relation to the total number of each class on the island.</w:t>
      </w:r>
      <w:r w:rsidR="0042503C" w:rsidRPr="00AA434D">
        <w:rPr>
          <w:rFonts w:ascii="Arial" w:hAnsi="Arial" w:cs="Arial"/>
          <w:lang w:val="en-GB"/>
        </w:rPr>
        <w:t xml:space="preserve"> Superscripts indicate the descriptors most related to the territorial processes detected: (1) </w:t>
      </w:r>
      <w:proofErr w:type="spellStart"/>
      <w:r w:rsidR="0042503C" w:rsidRPr="00AA434D">
        <w:rPr>
          <w:rFonts w:ascii="Arial" w:hAnsi="Arial" w:cs="Arial"/>
          <w:lang w:val="en-GB"/>
        </w:rPr>
        <w:t>patrimonialization</w:t>
      </w:r>
      <w:proofErr w:type="spellEnd"/>
      <w:r w:rsidR="0042503C" w:rsidRPr="00AA434D">
        <w:rPr>
          <w:rFonts w:ascii="Arial" w:hAnsi="Arial" w:cs="Arial"/>
          <w:lang w:val="en-GB"/>
        </w:rPr>
        <w:t xml:space="preserve">; (2) </w:t>
      </w:r>
      <w:proofErr w:type="spellStart"/>
      <w:r w:rsidR="0042503C" w:rsidRPr="00AA434D">
        <w:rPr>
          <w:rFonts w:ascii="Arial" w:hAnsi="Arial" w:cs="Arial"/>
          <w:lang w:val="en-GB"/>
        </w:rPr>
        <w:t>deruralization</w:t>
      </w:r>
      <w:proofErr w:type="spellEnd"/>
      <w:proofErr w:type="gramStart"/>
      <w:r w:rsidR="0042503C" w:rsidRPr="00AA434D">
        <w:rPr>
          <w:rFonts w:ascii="Arial" w:hAnsi="Arial" w:cs="Arial"/>
          <w:lang w:val="en-GB"/>
        </w:rPr>
        <w:t>;</w:t>
      </w:r>
      <w:proofErr w:type="gramEnd"/>
      <w:r w:rsidR="0042503C" w:rsidRPr="00AA434D">
        <w:rPr>
          <w:rFonts w:ascii="Arial" w:hAnsi="Arial" w:cs="Arial"/>
          <w:lang w:val="en-GB"/>
        </w:rPr>
        <w:t xml:space="preserve"> (3) </w:t>
      </w:r>
      <w:proofErr w:type="spellStart"/>
      <w:r w:rsidR="0042503C" w:rsidRPr="00AA434D">
        <w:rPr>
          <w:rFonts w:ascii="Arial" w:hAnsi="Arial" w:cs="Arial"/>
          <w:lang w:val="en-GB"/>
        </w:rPr>
        <w:t>deagrarianization</w:t>
      </w:r>
      <w:proofErr w:type="spellEnd"/>
      <w:r w:rsidR="0042503C" w:rsidRPr="00AA434D">
        <w:rPr>
          <w:rFonts w:ascii="Arial" w:hAnsi="Arial" w:cs="Arial"/>
          <w:lang w:val="en-GB"/>
        </w:rPr>
        <w:t>.</w:t>
      </w:r>
    </w:p>
    <w:p w:rsidR="00B26E07" w:rsidRPr="009824F4" w:rsidRDefault="00B26E07" w:rsidP="009824F4">
      <w:pPr>
        <w:rPr>
          <w:rFonts w:ascii="Arial" w:hAnsi="Arial" w:cs="Arial"/>
          <w:color w:val="000000"/>
          <w:lang w:val="en-GB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Cultural interest goods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(1)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agriculture, cattle raising, hunting and forestry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(1)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domestic service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education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extractive industries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fishing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(1)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health, veterinary and social assistance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manufacturing industries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public administration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42503C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real states activities and rental houses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(2),(3)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the construction sector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(2),(3)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9824F4" w:rsidP="006B7D22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 xml:space="preserve">Employment in the hotels and restaurants </w:t>
            </w:r>
            <w:r w:rsidR="006B7D22" w:rsidRPr="00AA434D">
              <w:rPr>
                <w:lang w:val="en-GB"/>
              </w:rPr>
              <w:t>business</w:t>
            </w:r>
            <w:r w:rsidR="0042503C" w:rsidRPr="00AA434D">
              <w:rPr>
                <w:sz w:val="24"/>
                <w:szCs w:val="24"/>
                <w:vertAlign w:val="superscript"/>
                <w:lang w:val="en-GB"/>
              </w:rPr>
              <w:t>(2),(3)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9824F4" w:rsidP="009824F4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>Employment in trade, mechanical workshops and home appliance repairs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Employment in transport, storage and communications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built before 1950</w:t>
            </w:r>
            <w:r w:rsidR="0042503C" w:rsidRPr="0042503C">
              <w:rPr>
                <w:sz w:val="24"/>
                <w:szCs w:val="24"/>
                <w:vertAlign w:val="superscript"/>
                <w:lang w:val="en-GB"/>
              </w:rPr>
              <w:t>(1)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built between 1951-1990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built between 1991-2001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with air conditioning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with no bathroom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Houses without telephone lines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Housing in good conditions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Housing with good communications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593377" w:rsidP="009824F4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>Native people</w:t>
            </w:r>
            <w:r w:rsidR="009824F4" w:rsidRPr="00AA434D">
              <w:rPr>
                <w:lang w:val="en-GB"/>
              </w:rPr>
              <w:t xml:space="preserve"> (born in Fuerteventura)</w:t>
            </w:r>
            <w:r w:rsidR="0042503C" w:rsidRPr="00AA434D">
              <w:rPr>
                <w:sz w:val="24"/>
                <w:szCs w:val="24"/>
                <w:vertAlign w:val="superscript"/>
                <w:lang w:val="en-GB"/>
              </w:rPr>
              <w:t>(1)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593377" w:rsidP="00593377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>Non-native people (</w:t>
            </w:r>
            <w:r w:rsidR="00047D91" w:rsidRPr="00AA434D">
              <w:rPr>
                <w:lang w:val="en-GB"/>
              </w:rPr>
              <w:t xml:space="preserve">born in another </w:t>
            </w:r>
            <w:r w:rsidR="009824F4" w:rsidRPr="00AA434D">
              <w:rPr>
                <w:lang w:val="en-GB"/>
              </w:rPr>
              <w:t xml:space="preserve">Spanish </w:t>
            </w:r>
            <w:r w:rsidRPr="00AA434D">
              <w:rPr>
                <w:lang w:val="en-GB"/>
              </w:rPr>
              <w:t>places)</w:t>
            </w:r>
            <w:r w:rsidR="0042503C" w:rsidRPr="00AA434D">
              <w:rPr>
                <w:sz w:val="24"/>
                <w:szCs w:val="24"/>
                <w:vertAlign w:val="superscript"/>
                <w:lang w:val="en-GB"/>
              </w:rPr>
              <w:t>(2),(3</w:t>
            </w:r>
            <w:r w:rsidR="00891B1D" w:rsidRPr="00AA434D">
              <w:rPr>
                <w:sz w:val="24"/>
                <w:szCs w:val="24"/>
                <w:vertAlign w:val="superscript"/>
                <w:lang w:val="en-GB"/>
              </w:rPr>
              <w:t>)</w:t>
            </w:r>
          </w:p>
        </w:tc>
      </w:tr>
      <w:tr w:rsidR="00593377" w:rsidRPr="00AA434D" w:rsidTr="00130D5F">
        <w:tc>
          <w:tcPr>
            <w:tcW w:w="6912" w:type="dxa"/>
          </w:tcPr>
          <w:p w:rsidR="00593377" w:rsidRPr="00AA434D" w:rsidRDefault="00593377" w:rsidP="00047D91">
            <w:pPr>
              <w:rPr>
                <w:lang w:val="en-GB"/>
              </w:rPr>
            </w:pPr>
            <w:r w:rsidRPr="00AA434D">
              <w:rPr>
                <w:lang w:val="en-GB"/>
              </w:rPr>
              <w:t>Non-native people (born in another countr</w:t>
            </w:r>
            <w:r w:rsidR="00047D91" w:rsidRPr="00AA434D">
              <w:rPr>
                <w:lang w:val="en-GB"/>
              </w:rPr>
              <w:t>ies</w:t>
            </w:r>
            <w:r w:rsidRPr="00AA434D">
              <w:rPr>
                <w:lang w:val="en-GB"/>
              </w:rPr>
              <w:t>)</w:t>
            </w:r>
            <w:r w:rsidR="0042503C" w:rsidRPr="00AA434D">
              <w:rPr>
                <w:sz w:val="24"/>
                <w:szCs w:val="24"/>
                <w:vertAlign w:val="superscript"/>
                <w:lang w:val="en-GB"/>
              </w:rPr>
              <w:t>(2),(3</w:t>
            </w:r>
            <w:r w:rsidR="00891B1D" w:rsidRPr="00AA434D">
              <w:rPr>
                <w:sz w:val="24"/>
                <w:szCs w:val="24"/>
                <w:vertAlign w:val="superscript"/>
                <w:lang w:val="en-GB"/>
              </w:rPr>
              <w:t>)</w:t>
            </w:r>
          </w:p>
        </w:tc>
      </w:tr>
      <w:tr w:rsidR="009824F4" w:rsidRPr="009824F4" w:rsidTr="00130D5F">
        <w:tc>
          <w:tcPr>
            <w:tcW w:w="6912" w:type="dxa"/>
          </w:tcPr>
          <w:p w:rsidR="009824F4" w:rsidRPr="00AA434D" w:rsidRDefault="009824F4" w:rsidP="006B7D22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 xml:space="preserve">Tourist </w:t>
            </w:r>
            <w:r w:rsidR="006B7D22" w:rsidRPr="00AA434D">
              <w:rPr>
                <w:lang w:val="en-GB"/>
              </w:rPr>
              <w:t>lodgings</w:t>
            </w:r>
            <w:r w:rsidR="0042503C" w:rsidRPr="00AA434D">
              <w:rPr>
                <w:sz w:val="24"/>
                <w:szCs w:val="24"/>
                <w:vertAlign w:val="superscript"/>
                <w:lang w:val="en-GB"/>
              </w:rPr>
              <w:t>(2),(3</w:t>
            </w:r>
            <w:r w:rsidR="00891B1D" w:rsidRPr="00AA434D">
              <w:rPr>
                <w:sz w:val="24"/>
                <w:szCs w:val="24"/>
                <w:vertAlign w:val="superscript"/>
                <w:lang w:val="en-GB"/>
              </w:rPr>
              <w:t>)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9824F4" w:rsidP="009824F4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>Urban areas with bad odours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AA434D" w:rsidRDefault="009824F4" w:rsidP="009824F4">
            <w:pPr>
              <w:spacing w:line="276" w:lineRule="auto"/>
              <w:rPr>
                <w:lang w:val="en-GB"/>
              </w:rPr>
            </w:pPr>
            <w:r w:rsidRPr="00AA434D">
              <w:rPr>
                <w:lang w:val="en-GB"/>
              </w:rPr>
              <w:t>Urban areas with deficient hygiene</w:t>
            </w:r>
            <w:bookmarkStart w:id="0" w:name="_GoBack"/>
            <w:bookmarkEnd w:id="0"/>
          </w:p>
        </w:tc>
      </w:tr>
      <w:tr w:rsidR="009824F4" w:rsidRPr="009824F4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Urban areas with delinquency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Urban areas with sewerage system</w:t>
            </w:r>
          </w:p>
        </w:tc>
      </w:tr>
      <w:tr w:rsidR="009824F4" w:rsidRPr="00AA434D" w:rsidTr="00130D5F">
        <w:tc>
          <w:tcPr>
            <w:tcW w:w="6912" w:type="dxa"/>
          </w:tcPr>
          <w:p w:rsidR="009824F4" w:rsidRPr="009824F4" w:rsidRDefault="009824F4" w:rsidP="009824F4">
            <w:pPr>
              <w:spacing w:line="276" w:lineRule="auto"/>
              <w:rPr>
                <w:lang w:val="en-GB"/>
              </w:rPr>
            </w:pPr>
            <w:r w:rsidRPr="009824F4">
              <w:rPr>
                <w:lang w:val="en-GB"/>
              </w:rPr>
              <w:t>Urban areas with water supply</w:t>
            </w:r>
          </w:p>
        </w:tc>
      </w:tr>
    </w:tbl>
    <w:p w:rsidR="00B26E07" w:rsidRPr="009824F4" w:rsidRDefault="00B26E07">
      <w:pPr>
        <w:rPr>
          <w:lang w:val="en-GB"/>
        </w:rPr>
      </w:pPr>
    </w:p>
    <w:sectPr w:rsidR="00B26E07" w:rsidRPr="00982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7"/>
    <w:rsid w:val="00040DBE"/>
    <w:rsid w:val="00047D91"/>
    <w:rsid w:val="00130D5F"/>
    <w:rsid w:val="00135187"/>
    <w:rsid w:val="0015335C"/>
    <w:rsid w:val="002E3F83"/>
    <w:rsid w:val="0042503C"/>
    <w:rsid w:val="005927F6"/>
    <w:rsid w:val="00593377"/>
    <w:rsid w:val="00663541"/>
    <w:rsid w:val="006B7D22"/>
    <w:rsid w:val="007100DD"/>
    <w:rsid w:val="007B065C"/>
    <w:rsid w:val="007E7228"/>
    <w:rsid w:val="00891B1D"/>
    <w:rsid w:val="009824F4"/>
    <w:rsid w:val="00AA434D"/>
    <w:rsid w:val="00B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75942-1EC0-45E7-82A4-25FF717A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E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Pacopi</dc:creator>
  <cp:lastModifiedBy>Marifé Schmitz</cp:lastModifiedBy>
  <cp:revision>8</cp:revision>
  <dcterms:created xsi:type="dcterms:W3CDTF">2017-02-16T09:28:00Z</dcterms:created>
  <dcterms:modified xsi:type="dcterms:W3CDTF">2017-02-21T20:08:00Z</dcterms:modified>
</cp:coreProperties>
</file>