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contextualSpacing/>
        <w:jc w:val="both"/>
        <w:rPr>
          <w:rFonts w:hint="default" w:ascii="Arial" w:hAnsi="Arial" w:eastAsia="Arial" w:cs="Arial"/>
          <w:b/>
          <w:color w:val="auto"/>
          <w:sz w:val="24"/>
          <w:szCs w:val="24"/>
        </w:rPr>
      </w:pPr>
      <w:r>
        <w:rPr>
          <w:rFonts w:hint="default" w:ascii="Arial" w:hAnsi="Arial" w:eastAsia="Arial" w:cs="Arial"/>
          <w:b/>
          <w:color w:val="auto"/>
          <w:sz w:val="24"/>
          <w:szCs w:val="24"/>
        </w:rPr>
        <w:t>SUPPLEMENTARY MATERIAL</w:t>
      </w:r>
    </w:p>
    <w:p>
      <w:pPr>
        <w:spacing w:line="480" w:lineRule="auto"/>
        <w:contextualSpacing/>
        <w:rPr>
          <w:rFonts w:hint="default" w:ascii="Arial" w:hAnsi="Arial" w:eastAsia="Arial" w:cs="Arial"/>
          <w:color w:val="auto"/>
          <w:sz w:val="24"/>
          <w:szCs w:val="24"/>
        </w:rPr>
      </w:pPr>
      <w:r>
        <w:rPr>
          <w:rFonts w:hint="default" w:ascii="Arial" w:hAnsi="Arial" w:eastAsia="Arial" w:cs="Arial"/>
          <w:color w:val="auto"/>
          <w:sz w:val="24"/>
          <w:szCs w:val="24"/>
        </w:rPr>
        <w:t>Supplementary material for “</w:t>
      </w:r>
      <w:r>
        <w:rPr>
          <w:rFonts w:hint="default" w:ascii="Arial" w:hAnsi="Arial" w:eastAsia="Arial" w:cs="Arial"/>
          <w:b/>
          <w:color w:val="auto"/>
          <w:sz w:val="24"/>
          <w:szCs w:val="24"/>
        </w:rPr>
        <w:t>Impacts of fire on forest biomass dynamics at the southern Amazon edge”</w:t>
      </w:r>
      <w:r>
        <w:rPr>
          <w:rFonts w:hint="default" w:ascii="Arial" w:hAnsi="Arial" w:eastAsia="Arial" w:cs="Arial"/>
          <w:color w:val="auto"/>
          <w:sz w:val="24"/>
          <w:szCs w:val="24"/>
        </w:rPr>
        <w:t xml:space="preserve"> by Nogueira et al. addressed for publication at Environmental Conservation.</w:t>
      </w:r>
    </w:p>
    <w:p>
      <w:pPr>
        <w:spacing w:line="480" w:lineRule="auto"/>
        <w:contextualSpacing/>
        <w:rPr>
          <w:rFonts w:hint="default" w:ascii="Arial" w:hAnsi="Arial" w:eastAsia="Arial" w:cs="Arial"/>
          <w:color w:val="auto"/>
          <w:sz w:val="24"/>
          <w:szCs w:val="24"/>
        </w:rPr>
      </w:pPr>
      <w:bookmarkStart w:id="0" w:name="_GoBack"/>
      <w:bookmarkEnd w:id="0"/>
    </w:p>
    <w:p>
      <w:pPr>
        <w:spacing w:line="480" w:lineRule="auto"/>
        <w:contextualSpacing/>
        <w:rPr>
          <w:rFonts w:hint="default" w:ascii="Arial" w:hAnsi="Arial" w:eastAsia="Arial" w:cs="Arial"/>
          <w:color w:val="auto"/>
          <w:sz w:val="24"/>
          <w:szCs w:val="24"/>
        </w:rPr>
      </w:pPr>
    </w:p>
    <w:p>
      <w:pPr>
        <w:spacing w:line="480" w:lineRule="auto"/>
        <w:rPr>
          <w:rFonts w:hint="default" w:ascii="Arial" w:hAnsi="Arial" w:eastAsia="Arial" w:cs="Arial"/>
          <w:color w:val="auto"/>
          <w:sz w:val="24"/>
          <w:szCs w:val="24"/>
        </w:rPr>
      </w:pPr>
      <w:r>
        <w:rPr>
          <w:rFonts w:hint="default" w:ascii="Arial" w:hAnsi="Arial" w:eastAsia="Arial" w:cs="Arial"/>
          <w:b/>
          <w:color w:val="auto"/>
          <w:sz w:val="24"/>
          <w:szCs w:val="24"/>
        </w:rPr>
        <w:t xml:space="preserve">Table S1 – </w:t>
      </w:r>
      <w:r>
        <w:rPr>
          <w:rFonts w:hint="default" w:ascii="Arial" w:hAnsi="Arial" w:eastAsia="Arial" w:cs="Arial"/>
          <w:color w:val="auto"/>
          <w:sz w:val="24"/>
          <w:szCs w:val="24"/>
        </w:rPr>
        <w:t>List of permanent monitoring plots of forest from Amazon-Cerrado transition. Mato Grosso. Riparian forests (RF). flooded forests (FF. locally known as impucas). seasonal perennial forests (SPF). seasonal deciduous forest (SDF). open ombrophylous forests (OF). monodominant forest (MF). cerradão forest (CF).</w:t>
      </w:r>
    </w:p>
    <w:p>
      <w:pPr>
        <w:spacing w:line="480" w:lineRule="auto"/>
        <w:rPr>
          <w:rFonts w:hint="default" w:ascii="Arial" w:hAnsi="Arial" w:eastAsia="Arial" w:cs="Arial"/>
          <w:b/>
          <w:color w:val="auto"/>
          <w:sz w:val="24"/>
          <w:szCs w:val="24"/>
        </w:rPr>
      </w:pPr>
      <w:r>
        <w:rPr>
          <w:rFonts w:hint="default" w:ascii="Arial" w:hAnsi="Arial" w:eastAsia="Arial" w:cs="Arial"/>
          <w:b/>
          <w:color w:val="auto"/>
          <w:sz w:val="24"/>
          <w:szCs w:val="24"/>
        </w:rPr>
        <w:drawing>
          <wp:inline distT="0" distB="0" distL="114300" distR="114300">
            <wp:extent cx="5729605" cy="3223260"/>
            <wp:effectExtent l="0" t="0" r="4445" b="15240"/>
            <wp:docPr id="7" name="Imagem 7" descr="Figure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Figure S1"/>
                    <pic:cNvPicPr>
                      <a:picLocks noChangeAspect="1"/>
                    </pic:cNvPicPr>
                  </pic:nvPicPr>
                  <pic:blipFill>
                    <a:blip r:embed="rId6"/>
                    <a:stretch>
                      <a:fillRect/>
                    </a:stretch>
                  </pic:blipFill>
                  <pic:spPr>
                    <a:xfrm>
                      <a:off x="0" y="0"/>
                      <a:ext cx="5729605" cy="3223260"/>
                    </a:xfrm>
                    <a:prstGeom prst="rect">
                      <a:avLst/>
                    </a:prstGeom>
                  </pic:spPr>
                </pic:pic>
              </a:graphicData>
            </a:graphic>
          </wp:inline>
        </w:drawing>
      </w:r>
    </w:p>
    <w:p>
      <w:pPr>
        <w:spacing w:line="480" w:lineRule="auto"/>
        <w:rPr>
          <w:rFonts w:hint="default" w:ascii="Arial" w:hAnsi="Arial" w:eastAsia="Arial" w:cs="Arial"/>
          <w:color w:val="auto"/>
          <w:sz w:val="24"/>
          <w:szCs w:val="24"/>
        </w:rPr>
      </w:pPr>
      <w:r>
        <w:rPr>
          <w:rFonts w:hint="default" w:ascii="Arial" w:hAnsi="Arial" w:eastAsia="Arial" w:cs="Arial"/>
          <w:b/>
          <w:color w:val="auto"/>
          <w:sz w:val="24"/>
          <w:szCs w:val="24"/>
        </w:rPr>
        <w:t xml:space="preserve">Figure S1 - </w:t>
      </w:r>
      <w:r>
        <w:rPr>
          <w:rFonts w:hint="default" w:ascii="Arial" w:hAnsi="Arial" w:eastAsia="Arial" w:cs="Arial"/>
          <w:color w:val="auto"/>
          <w:sz w:val="24"/>
          <w:szCs w:val="24"/>
        </w:rPr>
        <w:t>Map showing locations of 30 monitoring plots of forest ecosystems in the Amazon-Cerrado transition zone, in Mato Grosso, Brazil. Background gradients of the left panel are MCWD (maximum climatological water deficit) estimated for the region from 1998 to 2012 (Feldspauch et al. 2016). In the right panel background gradient distinguishes the Amazon biome (green) and Cerrado biome (yellow) in Mato Grosso. Green and red arrows represent positive and negative balance of AGB biomass as measured in each plot. Plot locations are indicative, with multiple plots set apart for display purposes. Coordinates of each plot are given in Table S2.</w:t>
      </w:r>
      <w:r>
        <w:rPr>
          <w:rFonts w:hint="default" w:ascii="Arial" w:hAnsi="Arial" w:cs="Arial"/>
          <w:sz w:val="24"/>
          <w:szCs w:val="24"/>
        </w:rPr>
        <w:t xml:space="preserve"> Shapefiles of biomes and rivers for base maps were obtained from Brazilian Ministry of the Environment [http://mapas.mma.gov.br/i3geo/datadownload].</w:t>
      </w:r>
    </w:p>
    <w:p>
      <w:pPr>
        <w:spacing w:line="480" w:lineRule="auto"/>
        <w:contextualSpacing/>
        <w:rPr>
          <w:rFonts w:hint="default" w:ascii="Arial" w:hAnsi="Arial" w:eastAsia="Arial" w:cs="Arial"/>
          <w:b/>
          <w:color w:val="auto"/>
          <w:sz w:val="24"/>
          <w:szCs w:val="24"/>
        </w:rPr>
      </w:pPr>
      <w:r>
        <w:rPr>
          <w:rFonts w:hint="default" w:ascii="Arial" w:hAnsi="Arial" w:eastAsia="Arial" w:cs="Arial"/>
          <w:b/>
          <w:color w:val="auto"/>
          <w:sz w:val="24"/>
          <w:szCs w:val="24"/>
        </w:rPr>
        <w:drawing>
          <wp:inline distT="0" distB="0" distL="114300" distR="114300">
            <wp:extent cx="5723890" cy="2945765"/>
            <wp:effectExtent l="0" t="0" r="10160" b="6985"/>
            <wp:docPr id="6" name="Imagem 6" descr="Figure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Figure S2"/>
                    <pic:cNvPicPr>
                      <a:picLocks noChangeAspect="1"/>
                    </pic:cNvPicPr>
                  </pic:nvPicPr>
                  <pic:blipFill>
                    <a:blip r:embed="rId7"/>
                    <a:stretch>
                      <a:fillRect/>
                    </a:stretch>
                  </pic:blipFill>
                  <pic:spPr>
                    <a:xfrm>
                      <a:off x="0" y="0"/>
                      <a:ext cx="5723890" cy="2945765"/>
                    </a:xfrm>
                    <a:prstGeom prst="rect">
                      <a:avLst/>
                    </a:prstGeom>
                  </pic:spPr>
                </pic:pic>
              </a:graphicData>
            </a:graphic>
          </wp:inline>
        </w:drawing>
      </w:r>
    </w:p>
    <w:p>
      <w:pPr>
        <w:spacing w:line="480" w:lineRule="auto"/>
        <w:contextualSpacing/>
        <w:rPr>
          <w:rFonts w:hint="default" w:ascii="Arial" w:hAnsi="Arial" w:eastAsia="Arial" w:cs="Arial"/>
          <w:color w:val="auto"/>
          <w:sz w:val="24"/>
          <w:szCs w:val="24"/>
        </w:rPr>
      </w:pPr>
      <w:r>
        <w:rPr>
          <w:rFonts w:hint="default" w:ascii="Arial" w:hAnsi="Arial" w:eastAsia="Arial" w:cs="Arial"/>
          <w:b/>
          <w:color w:val="auto"/>
          <w:sz w:val="24"/>
          <w:szCs w:val="24"/>
        </w:rPr>
        <w:t>Figure S</w:t>
      </w:r>
      <w:r>
        <w:rPr>
          <w:rFonts w:hint="default" w:ascii="Arial" w:hAnsi="Arial" w:eastAsia="Arial" w:cs="Arial"/>
          <w:b/>
          <w:color w:val="auto"/>
          <w:sz w:val="24"/>
          <w:szCs w:val="24"/>
        </w:rPr>
        <w:t>2</w:t>
      </w:r>
      <w:r>
        <w:rPr>
          <w:rFonts w:hint="default" w:ascii="Arial" w:hAnsi="Arial" w:eastAsia="Arial" w:cs="Arial"/>
          <w:color w:val="auto"/>
          <w:sz w:val="24"/>
          <w:szCs w:val="24"/>
        </w:rPr>
        <w:t xml:space="preserve"> - Plot scale variation of net AGB change among t</w:t>
      </w:r>
      <w:r>
        <w:rPr>
          <w:rFonts w:hint="default" w:ascii="Arial" w:hAnsi="Arial" w:eastAsia="Arial" w:cs="Arial"/>
          <w:i w:val="0"/>
          <w:color w:val="auto"/>
          <w:sz w:val="24"/>
          <w:szCs w:val="24"/>
        </w:rPr>
        <w:t>erra firme</w:t>
      </w:r>
      <w:r>
        <w:rPr>
          <w:rFonts w:hint="default" w:ascii="Arial" w:hAnsi="Arial" w:eastAsia="Arial" w:cs="Arial"/>
          <w:color w:val="auto"/>
          <w:sz w:val="24"/>
          <w:szCs w:val="24"/>
        </w:rPr>
        <w:t xml:space="preserve"> (light gray) and riparian forests (dark gray) sampled at southern Amazon edge from Mato Grosso. Brazil. </w:t>
      </w:r>
      <w:r>
        <w:rPr>
          <w:rFonts w:hint="default" w:ascii="Arial" w:hAnsi="Arial" w:eastAsia="Arial" w:cs="Arial"/>
          <w:b/>
          <w:color w:val="auto"/>
          <w:sz w:val="24"/>
          <w:szCs w:val="24"/>
        </w:rPr>
        <w:t>A.</w:t>
      </w:r>
      <w:r>
        <w:rPr>
          <w:rFonts w:hint="default" w:ascii="Arial" w:hAnsi="Arial" w:eastAsia="Arial" w:cs="Arial"/>
          <w:color w:val="auto"/>
          <w:sz w:val="24"/>
          <w:szCs w:val="24"/>
        </w:rPr>
        <w:t xml:space="preserve"> Histogram of net AGB change for 30 plots and expected normal sampling distribution. </w:t>
      </w:r>
      <w:r>
        <w:rPr>
          <w:rFonts w:hint="default" w:ascii="Arial" w:hAnsi="Arial" w:eastAsia="Arial" w:cs="Arial"/>
          <w:b/>
          <w:color w:val="auto"/>
          <w:sz w:val="24"/>
          <w:szCs w:val="24"/>
        </w:rPr>
        <w:t>B.</w:t>
      </w:r>
      <w:r>
        <w:rPr>
          <w:rFonts w:hint="default" w:ascii="Arial" w:hAnsi="Arial" w:eastAsia="Arial" w:cs="Arial"/>
          <w:color w:val="auto"/>
          <w:sz w:val="24"/>
          <w:szCs w:val="24"/>
        </w:rPr>
        <w:t xml:space="preserve"> Net long-term biomass change rate. in Mg/ha/yr. calculated as the final minus the start AGB. divided by the total time elapsed. for each plot (see raw data Table S1).</w:t>
      </w:r>
    </w:p>
    <w:p>
      <w:pPr>
        <w:spacing w:line="480" w:lineRule="auto"/>
        <w:contextualSpacing/>
        <w:rPr>
          <w:rFonts w:hint="default" w:ascii="Arial" w:hAnsi="Arial" w:eastAsia="Arial" w:cs="Arial"/>
          <w:color w:val="auto"/>
          <w:sz w:val="24"/>
          <w:szCs w:val="24"/>
        </w:rPr>
      </w:pPr>
    </w:p>
    <w:p>
      <w:pPr>
        <w:numPr>
          <w:ilvl w:val="0"/>
          <w:numId w:val="0"/>
        </w:numPr>
        <w:spacing w:line="480" w:lineRule="auto"/>
        <w:rPr>
          <w:rFonts w:hint="default" w:ascii="Arial" w:hAnsi="Arial" w:cs="Arial"/>
          <w:sz w:val="24"/>
          <w:szCs w:val="24"/>
          <w:highlight w:val="none"/>
          <w:lang w:eastAsia="zh-CN"/>
        </w:rPr>
      </w:pPr>
      <w:r>
        <w:rPr>
          <w:rFonts w:hint="default" w:ascii="Arial" w:hAnsi="Arial" w:cs="Arial"/>
          <w:sz w:val="24"/>
          <w:szCs w:val="24"/>
          <w:highlight w:val="none"/>
          <w:lang w:eastAsia="zh-CN"/>
        </w:rPr>
        <w:drawing>
          <wp:inline distT="0" distB="0" distL="114300" distR="114300">
            <wp:extent cx="3657600" cy="3296920"/>
            <wp:effectExtent l="0" t="0" r="0" b="17780"/>
            <wp:docPr id="5" name="Imagem 5" descr="Figure 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Figure S3"/>
                    <pic:cNvPicPr>
                      <a:picLocks noChangeAspect="1"/>
                    </pic:cNvPicPr>
                  </pic:nvPicPr>
                  <pic:blipFill>
                    <a:blip r:embed="rId8"/>
                    <a:srcRect t="7448" b="2413"/>
                    <a:stretch>
                      <a:fillRect/>
                    </a:stretch>
                  </pic:blipFill>
                  <pic:spPr>
                    <a:xfrm>
                      <a:off x="0" y="0"/>
                      <a:ext cx="3657600" cy="3296920"/>
                    </a:xfrm>
                    <a:prstGeom prst="rect">
                      <a:avLst/>
                    </a:prstGeom>
                  </pic:spPr>
                </pic:pic>
              </a:graphicData>
            </a:graphic>
          </wp:inline>
        </w:drawing>
      </w:r>
    </w:p>
    <w:p>
      <w:pPr>
        <w:numPr>
          <w:ilvl w:val="0"/>
          <w:numId w:val="0"/>
        </w:numPr>
        <w:spacing w:line="480" w:lineRule="auto"/>
        <w:rPr>
          <w:rFonts w:hint="default" w:ascii="Arial" w:hAnsi="Arial" w:eastAsia="Arial" w:cs="Arial"/>
          <w:color w:val="auto"/>
          <w:sz w:val="24"/>
          <w:szCs w:val="24"/>
        </w:rPr>
        <w:sectPr>
          <w:headerReference r:id="rId3" w:type="default"/>
          <w:footerReference r:id="rId4" w:type="default"/>
          <w:pgSz w:w="11906" w:h="16838"/>
          <w:pgMar w:top="1440" w:right="1440" w:bottom="1440" w:left="1440" w:header="0" w:footer="0" w:gutter="0"/>
          <w:lnNumType w:countBy="1" w:restart="continuous"/>
          <w:cols w:space="720" w:num="1"/>
        </w:sectPr>
      </w:pPr>
      <w:r>
        <w:rPr>
          <w:rFonts w:hint="default" w:ascii="Arial" w:hAnsi="Arial" w:cs="Arial"/>
          <w:b/>
          <w:bCs/>
          <w:sz w:val="24"/>
          <w:szCs w:val="24"/>
          <w:highlight w:val="none"/>
          <w:lang w:eastAsia="zh-CN"/>
        </w:rPr>
        <w:t>Figure S</w:t>
      </w:r>
      <w:r>
        <w:rPr>
          <w:rFonts w:hint="default" w:ascii="Arial" w:hAnsi="Arial" w:cs="Arial"/>
          <w:b/>
          <w:bCs/>
          <w:sz w:val="24"/>
          <w:szCs w:val="24"/>
          <w:highlight w:val="none"/>
          <w:lang w:eastAsia="zh-CN"/>
        </w:rPr>
        <w:t>3</w:t>
      </w:r>
      <w:r>
        <w:rPr>
          <w:rFonts w:hint="default" w:ascii="Arial" w:hAnsi="Arial" w:cs="Arial"/>
          <w:b/>
          <w:bCs/>
          <w:sz w:val="24"/>
          <w:szCs w:val="24"/>
          <w:highlight w:val="none"/>
          <w:lang w:eastAsia="zh-CN"/>
        </w:rPr>
        <w:t xml:space="preserve"> </w:t>
      </w:r>
      <w:r>
        <w:rPr>
          <w:rFonts w:hint="default" w:ascii="Arial" w:hAnsi="Arial" w:cs="Arial"/>
          <w:sz w:val="24"/>
          <w:szCs w:val="24"/>
          <w:highlight w:val="none"/>
          <w:lang w:eastAsia="zh-CN"/>
        </w:rPr>
        <w:t>- Variation of MCWD along burned and unburned plots at the Amazon-Cerrado transition in Mato Grosso. Despite unburned plots have broader variation, burned forest showed negative values in MCWD (&lt; - 400 mm). The occurrence of fire on this forest may be related to the combination of deliberated use of fire to stimulate grass regrowth and stochastic spread of fire by wind into riparian forests.</w:t>
      </w:r>
    </w:p>
    <w:p>
      <w:pPr>
        <w:spacing w:line="480" w:lineRule="auto"/>
        <w:contextualSpacing/>
        <w:rPr>
          <w:rFonts w:hint="default" w:ascii="Arial" w:hAnsi="Arial" w:eastAsia="Arial" w:cs="Arial"/>
          <w:color w:val="auto"/>
          <w:sz w:val="24"/>
          <w:szCs w:val="24"/>
        </w:rPr>
      </w:pPr>
    </w:p>
    <w:p>
      <w:pPr>
        <w:spacing w:line="480" w:lineRule="auto"/>
        <w:rPr>
          <w:rFonts w:hint="default" w:ascii="Arial" w:hAnsi="Arial" w:eastAsia="Arial" w:cs="Arial"/>
          <w:color w:val="auto"/>
          <w:sz w:val="24"/>
          <w:szCs w:val="24"/>
        </w:rPr>
      </w:pPr>
      <w:r>
        <w:rPr>
          <w:rFonts w:hint="default" w:ascii="Arial" w:hAnsi="Arial" w:eastAsia="Arial" w:cs="Arial"/>
          <w:b/>
          <w:color w:val="auto"/>
          <w:sz w:val="24"/>
          <w:szCs w:val="24"/>
        </w:rPr>
        <w:t xml:space="preserve">Table S1 – </w:t>
      </w:r>
      <w:r>
        <w:rPr>
          <w:rFonts w:hint="default" w:ascii="Arial" w:hAnsi="Arial" w:eastAsia="Arial" w:cs="Arial"/>
          <w:color w:val="auto"/>
          <w:sz w:val="24"/>
          <w:szCs w:val="24"/>
        </w:rPr>
        <w:t xml:space="preserve">List of permanent monitoring plots of forest from Amazon-Cerrado transition. Mato Grosso. Phito = </w:t>
      </w:r>
      <w:r>
        <w:rPr>
          <w:rFonts w:hint="default" w:ascii="Arial" w:hAnsi="Arial" w:eastAsia="SimSun" w:cs="Arial"/>
          <w:b/>
          <w:color w:val="auto"/>
          <w:sz w:val="24"/>
          <w:szCs w:val="24"/>
          <w:lang w:eastAsia="zh-CN" w:bidi="ar"/>
        </w:rPr>
        <w:t>Ph</w:t>
      </w:r>
      <w:r>
        <w:rPr>
          <w:rFonts w:hint="default" w:ascii="Arial" w:hAnsi="Arial" w:eastAsia="SimSun" w:cs="Arial"/>
          <w:b/>
          <w:color w:val="auto"/>
          <w:sz w:val="24"/>
          <w:szCs w:val="24"/>
          <w:lang w:val="en-US" w:eastAsia="zh-CN" w:bidi="ar"/>
        </w:rPr>
        <w:t>itophysiognomies</w:t>
      </w:r>
      <w:r>
        <w:rPr>
          <w:rFonts w:hint="default" w:ascii="Arial" w:hAnsi="Arial" w:eastAsia="Arial" w:cs="Arial"/>
          <w:color w:val="auto"/>
          <w:sz w:val="24"/>
          <w:szCs w:val="24"/>
        </w:rPr>
        <w:t>Riparian forests (RF). flooded forests (FF. locally known as impucas). seasonal perennial forests (SPF). seasonal deciduous forest (SDF). open ombrophylous forests (OF). monodominant forest (MF). cerradão forest (CF).</w:t>
      </w:r>
    </w:p>
    <w:tbl>
      <w:tblPr>
        <w:tblStyle w:val="4"/>
        <w:tblW w:w="14138" w:type="dxa"/>
        <w:jc w:val="center"/>
        <w:tblInd w:w="0" w:type="dxa"/>
        <w:tblLayout w:type="fixed"/>
        <w:tblCellMar>
          <w:top w:w="15" w:type="dxa"/>
          <w:left w:w="15" w:type="dxa"/>
          <w:bottom w:w="15" w:type="dxa"/>
          <w:right w:w="15" w:type="dxa"/>
        </w:tblCellMar>
      </w:tblPr>
      <w:tblGrid>
        <w:gridCol w:w="1032"/>
        <w:gridCol w:w="1488"/>
        <w:gridCol w:w="1528"/>
        <w:gridCol w:w="1465"/>
        <w:gridCol w:w="1500"/>
        <w:gridCol w:w="1246"/>
        <w:gridCol w:w="1350"/>
        <w:gridCol w:w="1558"/>
        <w:gridCol w:w="1200"/>
        <w:gridCol w:w="1771"/>
      </w:tblGrid>
      <w:tr>
        <w:tblPrEx>
          <w:tblLayout w:type="fixed"/>
          <w:tblCellMar>
            <w:top w:w="15" w:type="dxa"/>
            <w:left w:w="15" w:type="dxa"/>
            <w:bottom w:w="15" w:type="dxa"/>
            <w:right w:w="15" w:type="dxa"/>
          </w:tblCellMar>
        </w:tblPrEx>
        <w:trPr>
          <w:trHeight w:val="1110" w:hRule="exact"/>
          <w:jc w:val="center"/>
        </w:trPr>
        <w:tc>
          <w:tcPr>
            <w:tcW w:w="1032"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Plot Code</w:t>
            </w:r>
          </w:p>
        </w:tc>
        <w:tc>
          <w:tcPr>
            <w:tcW w:w="1488"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cs="Arial"/>
                <w:b/>
                <w:color w:val="auto"/>
                <w:sz w:val="24"/>
                <w:szCs w:val="24"/>
              </w:rPr>
              <w:t>Phito</w:t>
            </w:r>
          </w:p>
        </w:tc>
        <w:tc>
          <w:tcPr>
            <w:tcW w:w="1528"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Altitude (m a.s.l.)</w:t>
            </w:r>
          </w:p>
        </w:tc>
        <w:tc>
          <w:tcPr>
            <w:tcW w:w="1465"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Latitude</w:t>
            </w:r>
          </w:p>
        </w:tc>
        <w:tc>
          <w:tcPr>
            <w:tcW w:w="1500"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Longitude</w:t>
            </w:r>
          </w:p>
        </w:tc>
        <w:tc>
          <w:tcPr>
            <w:tcW w:w="1246"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Plot Area (Ha)</w:t>
            </w:r>
          </w:p>
        </w:tc>
        <w:tc>
          <w:tcPr>
            <w:tcW w:w="1350"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Number of census</w:t>
            </w:r>
          </w:p>
        </w:tc>
        <w:tc>
          <w:tcPr>
            <w:tcW w:w="1558"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Census interval</w:t>
            </w:r>
          </w:p>
        </w:tc>
        <w:tc>
          <w:tcPr>
            <w:tcW w:w="1200" w:type="dxa"/>
            <w:tcBorders>
              <w:top w:val="single" w:color="auto" w:sz="4" w:space="0"/>
              <w:bottom w:val="single" w:color="auto" w:sz="4" w:space="0"/>
            </w:tcBorders>
            <w:shd w:val="clear" w:color="auto" w:fill="CCCCCC"/>
            <w:vAlign w:val="center"/>
          </w:tcPr>
          <w:p>
            <w:pPr>
              <w:jc w:val="center"/>
              <w:textAlignment w:val="center"/>
              <w:rPr>
                <w:rFonts w:hint="default" w:ascii="Arial" w:hAnsi="Arial" w:cs="Arial"/>
                <w:b/>
                <w:color w:val="auto"/>
                <w:sz w:val="24"/>
                <w:szCs w:val="24"/>
              </w:rPr>
            </w:pPr>
            <w:r>
              <w:rPr>
                <w:rFonts w:hint="default" w:ascii="Arial" w:hAnsi="Arial" w:eastAsia="SimSun" w:cs="Arial"/>
                <w:b/>
                <w:color w:val="auto"/>
                <w:sz w:val="24"/>
                <w:szCs w:val="24"/>
                <w:lang w:val="en-US" w:eastAsia="zh-CN" w:bidi="ar"/>
              </w:rPr>
              <w:t>Total time</w:t>
            </w:r>
          </w:p>
        </w:tc>
        <w:tc>
          <w:tcPr>
            <w:tcW w:w="1771" w:type="dxa"/>
            <w:tcBorders>
              <w:top w:val="single" w:color="auto" w:sz="4" w:space="0"/>
              <w:bottom w:val="single" w:color="auto" w:sz="4" w:space="0"/>
            </w:tcBorders>
            <w:shd w:val="clear" w:color="auto" w:fill="CCCCCC"/>
            <w:vAlign w:val="center"/>
          </w:tcPr>
          <w:p>
            <w:pPr>
              <w:jc w:val="center"/>
              <w:textAlignment w:val="center"/>
              <w:rPr>
                <w:rFonts w:hint="default" w:ascii="Arial" w:hAnsi="Arial" w:eastAsia="SimSun" w:cs="Arial"/>
                <w:b/>
                <w:color w:val="auto"/>
                <w:sz w:val="24"/>
                <w:szCs w:val="24"/>
                <w:lang w:eastAsia="zh-CN" w:bidi="ar"/>
              </w:rPr>
            </w:pPr>
            <w:r>
              <w:rPr>
                <w:rFonts w:hint="default" w:ascii="Arial" w:hAnsi="Arial" w:eastAsia="SimSun" w:cs="Arial"/>
                <w:b/>
                <w:color w:val="auto"/>
                <w:sz w:val="24"/>
                <w:szCs w:val="24"/>
                <w:lang w:eastAsia="zh-CN" w:bidi="ar"/>
              </w:rPr>
              <w:t>Average census interval</w:t>
            </w:r>
          </w:p>
        </w:tc>
      </w:tr>
      <w:tr>
        <w:tblPrEx>
          <w:tblLayout w:type="fixed"/>
          <w:tblCellMar>
            <w:top w:w="15" w:type="dxa"/>
            <w:left w:w="15" w:type="dxa"/>
            <w:bottom w:w="15" w:type="dxa"/>
            <w:right w:w="15" w:type="dxa"/>
          </w:tblCellMar>
        </w:tblPrEx>
        <w:trPr>
          <w:trHeight w:val="284" w:hRule="exact"/>
          <w:jc w:val="center"/>
        </w:trPr>
        <w:tc>
          <w:tcPr>
            <w:tcW w:w="1032"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ALF-01</w:t>
            </w:r>
          </w:p>
        </w:tc>
        <w:tc>
          <w:tcPr>
            <w:tcW w:w="1488"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OF</w:t>
            </w:r>
          </w:p>
        </w:tc>
        <w:tc>
          <w:tcPr>
            <w:tcW w:w="1528"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269</w:t>
            </w:r>
          </w:p>
        </w:tc>
        <w:tc>
          <w:tcPr>
            <w:tcW w:w="1465"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-9.60</w:t>
            </w:r>
          </w:p>
        </w:tc>
        <w:tc>
          <w:tcPr>
            <w:tcW w:w="1500"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-55.94</w:t>
            </w:r>
          </w:p>
        </w:tc>
        <w:tc>
          <w:tcPr>
            <w:tcW w:w="1246"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2002-2013</w:t>
            </w:r>
          </w:p>
        </w:tc>
        <w:tc>
          <w:tcPr>
            <w:tcW w:w="1200" w:type="dxa"/>
            <w:tcBorders>
              <w:top w:val="single" w:color="auto" w:sz="4" w:space="0"/>
            </w:tcBorders>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11.0</w:t>
            </w:r>
          </w:p>
        </w:tc>
        <w:tc>
          <w:tcPr>
            <w:tcW w:w="1771" w:type="dxa"/>
            <w:tcBorders>
              <w:top w:val="single" w:color="auto" w:sz="4" w:space="0"/>
            </w:tcBorders>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2</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8</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ALF-02</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OF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277</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-9.58</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-55.92</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2008-2013</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7</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FLO-01</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377</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-12.81</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-51.85</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6.9</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7</w:t>
            </w:r>
          </w:p>
        </w:tc>
      </w:tr>
      <w:tr>
        <w:tblPrEx>
          <w:tblLayout w:type="fixed"/>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FLO-02</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366</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-12.76</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-51.88</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2010-2015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4.5</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5</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FRP-01</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260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-11.48</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-51.52</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2013-2016</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3.0</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5</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GAU-01</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RF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303</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-13.10</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-53.39</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1999-2013</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14.2</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7</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1</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NXV-02</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CF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320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-14.70</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-52.35</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2002-2008</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5.7</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9</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NXV-06</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RF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346</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-14.72</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-52.36</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1998-2015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16.3</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3</w:t>
            </w:r>
          </w:p>
        </w:tc>
      </w:tr>
      <w:tr>
        <w:tblPrEx>
          <w:tblLayout w:type="fixed"/>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NXV-07</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RF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350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-14.72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-52.36</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1999-2015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15.9</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2</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NXV-08</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RF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328</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-14.72</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-52.36</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1999-2015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16.0</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2</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NXV-09</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CF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324</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-14.69</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-52.35</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2008-2011</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3.8</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9</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PEA-01</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-12.15</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-50.83</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2007-2014</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6.9</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2</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3</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PEA-02</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-12.32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-50.74</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2007-2014</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2.9</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PEA-03</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221</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-12.38</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-50.89</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2007-2014</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6.8</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4</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PEA-04</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-12.42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-50.71</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2007-2014</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6.8</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4</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PEA-05</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194</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-11.90</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-50.75</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2008-2016</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8.1</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4</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1</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PEA-06</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190</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-11.92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-50.71</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2008-2016</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8.1</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4</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1</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PEA-07</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208</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-12.48</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-50.90</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2008-2014</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6.0</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PEA-08</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IF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205</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-12.54</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-50.73</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2008-2014</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6.0</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3</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POA-01</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SDF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297</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-10.96</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-52.17</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2014-2016</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SAA-01</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204</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-9.79</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-50.43</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2011-2015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4.1</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4</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SAA-02</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207</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-9.64</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-50.45</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2013-2015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SAT-01</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243</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-9.84</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-50.46</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2013-2015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0</w:t>
            </w:r>
          </w:p>
        </w:tc>
      </w:tr>
      <w:tr>
        <w:tblPrEx>
          <w:tblLayout w:type="fixed"/>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SIP-01</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390</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-11.41</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-55.32</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2002-2014</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12.4</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6</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2</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SMT-02</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CF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332</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-12.82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-51.77</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7.0</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8</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TAN-02</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382</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-13.09</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-52.37</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2009-2015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5.3</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3</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TAN-03</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356</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-12.82</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-52.35</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2009-2015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5.3</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3</w:t>
            </w:r>
          </w:p>
        </w:tc>
      </w:tr>
      <w:tr>
        <w:tblPrEx>
          <w:tblLayout w:type="fixed"/>
          <w:tblCellMar>
            <w:top w:w="15" w:type="dxa"/>
            <w:left w:w="15" w:type="dxa"/>
            <w:bottom w:w="15" w:type="dxa"/>
            <w:right w:w="15" w:type="dxa"/>
          </w:tblCellMar>
        </w:tblPrEx>
        <w:trPr>
          <w:trHeight w:val="284" w:hRule="exact"/>
          <w:jc w:val="center"/>
        </w:trPr>
        <w:tc>
          <w:tcPr>
            <w:tcW w:w="1032"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TAN-04</w:t>
            </w:r>
          </w:p>
        </w:tc>
        <w:tc>
          <w:tcPr>
            <w:tcW w:w="148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SPF</w:t>
            </w:r>
          </w:p>
        </w:tc>
        <w:tc>
          <w:tcPr>
            <w:tcW w:w="152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392</w:t>
            </w:r>
          </w:p>
        </w:tc>
        <w:tc>
          <w:tcPr>
            <w:tcW w:w="1465"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-12.92</w:t>
            </w:r>
          </w:p>
        </w:tc>
        <w:tc>
          <w:tcPr>
            <w:tcW w:w="15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-52.37</w:t>
            </w:r>
          </w:p>
        </w:tc>
        <w:tc>
          <w:tcPr>
            <w:tcW w:w="1246"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w:t>
            </w:r>
          </w:p>
        </w:tc>
        <w:tc>
          <w:tcPr>
            <w:tcW w:w="135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4</w:t>
            </w:r>
          </w:p>
        </w:tc>
        <w:tc>
          <w:tcPr>
            <w:tcW w:w="1558"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2008-2015</w:t>
            </w:r>
          </w:p>
        </w:tc>
        <w:tc>
          <w:tcPr>
            <w:tcW w:w="1200" w:type="dxa"/>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6.9</w:t>
            </w:r>
          </w:p>
        </w:tc>
        <w:tc>
          <w:tcPr>
            <w:tcW w:w="1771" w:type="dxa"/>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1</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7</w:t>
            </w:r>
          </w:p>
        </w:tc>
      </w:tr>
      <w:tr>
        <w:tblPrEx>
          <w:tblLayout w:type="fixed"/>
        </w:tblPrEx>
        <w:trPr>
          <w:trHeight w:val="284" w:hRule="exact"/>
          <w:jc w:val="center"/>
        </w:trPr>
        <w:tc>
          <w:tcPr>
            <w:tcW w:w="1032"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VCR-01</w:t>
            </w:r>
          </w:p>
        </w:tc>
        <w:tc>
          <w:tcPr>
            <w:tcW w:w="148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MF</w:t>
            </w:r>
          </w:p>
        </w:tc>
        <w:tc>
          <w:tcPr>
            <w:tcW w:w="152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303</w:t>
            </w:r>
          </w:p>
        </w:tc>
        <w:tc>
          <w:tcPr>
            <w:tcW w:w="1465"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-14.83</w:t>
            </w:r>
          </w:p>
        </w:tc>
        <w:tc>
          <w:tcPr>
            <w:tcW w:w="15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-52.16</w:t>
            </w:r>
          </w:p>
        </w:tc>
        <w:tc>
          <w:tcPr>
            <w:tcW w:w="1246"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135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8</w:t>
            </w:r>
          </w:p>
        </w:tc>
        <w:tc>
          <w:tcPr>
            <w:tcW w:w="1558"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1996-2015</w:t>
            </w:r>
          </w:p>
        </w:tc>
        <w:tc>
          <w:tcPr>
            <w:tcW w:w="1200" w:type="dxa"/>
            <w:shd w:val="clear" w:color="auto" w:fill="FFFFFF"/>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19.2</w:t>
            </w:r>
          </w:p>
        </w:tc>
        <w:tc>
          <w:tcPr>
            <w:tcW w:w="1771" w:type="dxa"/>
            <w:shd w:val="clear" w:color="auto" w:fill="FFFFFF"/>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2</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4</w:t>
            </w:r>
          </w:p>
        </w:tc>
      </w:tr>
      <w:tr>
        <w:tblPrEx>
          <w:tblLayout w:type="fixed"/>
          <w:tblCellMar>
            <w:top w:w="15" w:type="dxa"/>
            <w:left w:w="15" w:type="dxa"/>
            <w:bottom w:w="15" w:type="dxa"/>
            <w:right w:w="15" w:type="dxa"/>
          </w:tblCellMar>
        </w:tblPrEx>
        <w:trPr>
          <w:trHeight w:val="284" w:hRule="exact"/>
          <w:jc w:val="center"/>
        </w:trPr>
        <w:tc>
          <w:tcPr>
            <w:tcW w:w="1032"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VCR-02</w:t>
            </w:r>
          </w:p>
        </w:tc>
        <w:tc>
          <w:tcPr>
            <w:tcW w:w="1488"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SDF</w:t>
            </w:r>
          </w:p>
        </w:tc>
        <w:tc>
          <w:tcPr>
            <w:tcW w:w="1528"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297</w:t>
            </w:r>
          </w:p>
        </w:tc>
        <w:tc>
          <w:tcPr>
            <w:tcW w:w="1465"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-14.83</w:t>
            </w:r>
          </w:p>
        </w:tc>
        <w:tc>
          <w:tcPr>
            <w:tcW w:w="1500"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-52.17</w:t>
            </w:r>
          </w:p>
        </w:tc>
        <w:tc>
          <w:tcPr>
            <w:tcW w:w="1246"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1350"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5</w:t>
            </w:r>
          </w:p>
        </w:tc>
        <w:tc>
          <w:tcPr>
            <w:tcW w:w="1558"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2003-2015</w:t>
            </w:r>
          </w:p>
        </w:tc>
        <w:tc>
          <w:tcPr>
            <w:tcW w:w="1200" w:type="dxa"/>
            <w:tcBorders>
              <w:bottom w:val="single" w:color="auto" w:sz="4" w:space="0"/>
            </w:tcBorders>
            <w:shd w:val="clear" w:color="auto" w:fill="CCCCCC"/>
            <w:vAlign w:val="center"/>
          </w:tcPr>
          <w:p>
            <w:pPr>
              <w:jc w:val="center"/>
              <w:textAlignment w:val="center"/>
              <w:rPr>
                <w:rFonts w:hint="default" w:ascii="Arial" w:hAnsi="Arial" w:cs="Arial"/>
                <w:color w:val="auto"/>
                <w:sz w:val="24"/>
                <w:szCs w:val="24"/>
              </w:rPr>
            </w:pPr>
            <w:r>
              <w:rPr>
                <w:rFonts w:hint="default" w:ascii="Arial" w:hAnsi="Arial" w:eastAsia="SimSun" w:cs="Arial"/>
                <w:color w:val="auto"/>
                <w:sz w:val="24"/>
                <w:szCs w:val="24"/>
                <w:lang w:val="en-US" w:eastAsia="zh-CN" w:bidi="ar"/>
              </w:rPr>
              <w:t>11.9</w:t>
            </w:r>
          </w:p>
        </w:tc>
        <w:tc>
          <w:tcPr>
            <w:tcW w:w="1771" w:type="dxa"/>
            <w:tcBorders>
              <w:bottom w:val="single" w:color="auto" w:sz="4" w:space="0"/>
            </w:tcBorders>
            <w:shd w:val="clear" w:color="auto" w:fill="CCCCCC"/>
            <w:vAlign w:val="center"/>
          </w:tcPr>
          <w:p>
            <w:pPr>
              <w:keepNext w:val="0"/>
              <w:keepLines w:val="0"/>
              <w:widowControl/>
              <w:suppressLineNumbers w:val="0"/>
              <w:jc w:val="center"/>
              <w:textAlignment w:val="center"/>
              <w:rPr>
                <w:rFonts w:hint="default" w:ascii="Arial" w:hAnsi="Arial" w:eastAsia="SimSun" w:cs="Arial"/>
                <w:color w:val="auto"/>
                <w:sz w:val="24"/>
                <w:szCs w:val="24"/>
                <w:lang w:val="en-US" w:eastAsia="zh-CN" w:bidi="ar"/>
              </w:rPr>
            </w:pPr>
            <w:r>
              <w:rPr>
                <w:rFonts w:hint="default" w:ascii="Arial" w:hAnsi="Arial" w:eastAsia="SimSun" w:cs="Arial"/>
                <w:i w:val="0"/>
                <w:color w:val="00000A"/>
                <w:kern w:val="0"/>
                <w:sz w:val="24"/>
                <w:szCs w:val="24"/>
                <w:u w:val="none"/>
                <w:lang w:val="en-US" w:eastAsia="zh-CN" w:bidi="ar"/>
              </w:rPr>
              <w:t>2</w:t>
            </w:r>
            <w:r>
              <w:rPr>
                <w:rFonts w:hint="default" w:ascii="Arial" w:hAnsi="Arial" w:eastAsia="SimSun" w:cs="Arial"/>
                <w:i w:val="0"/>
                <w:color w:val="00000A"/>
                <w:kern w:val="0"/>
                <w:sz w:val="24"/>
                <w:szCs w:val="24"/>
                <w:u w:val="none"/>
                <w:lang w:eastAsia="zh-CN" w:bidi="ar"/>
              </w:rPr>
              <w:t>.</w:t>
            </w:r>
            <w:r>
              <w:rPr>
                <w:rFonts w:hint="default" w:ascii="Arial" w:hAnsi="Arial" w:eastAsia="SimSun" w:cs="Arial"/>
                <w:i w:val="0"/>
                <w:color w:val="00000A"/>
                <w:kern w:val="0"/>
                <w:sz w:val="24"/>
                <w:szCs w:val="24"/>
                <w:u w:val="none"/>
                <w:lang w:val="en-US" w:eastAsia="zh-CN" w:bidi="ar"/>
              </w:rPr>
              <w:t>4</w:t>
            </w:r>
          </w:p>
        </w:tc>
      </w:tr>
    </w:tbl>
    <w:p>
      <w:pPr>
        <w:widowControl w:val="0"/>
        <w:spacing w:after="0" w:line="480" w:lineRule="auto"/>
        <w:rPr>
          <w:rFonts w:hint="default" w:ascii="Arial" w:hAnsi="Arial" w:eastAsia="Arial" w:cs="Arial"/>
          <w:b/>
          <w:color w:val="auto"/>
          <w:sz w:val="24"/>
          <w:szCs w:val="24"/>
        </w:rPr>
      </w:pPr>
      <w:r>
        <w:rPr>
          <w:rFonts w:hint="default" w:ascii="Arial" w:hAnsi="Arial" w:eastAsia="Arial" w:cs="Arial"/>
          <w:b/>
          <w:color w:val="auto"/>
          <w:sz w:val="24"/>
          <w:szCs w:val="24"/>
        </w:rPr>
        <w:br w:type="page"/>
      </w:r>
    </w:p>
    <w:p>
      <w:pPr>
        <w:widowControl w:val="0"/>
        <w:spacing w:after="0" w:line="480" w:lineRule="auto"/>
        <w:rPr>
          <w:rFonts w:hint="default" w:ascii="Arial" w:hAnsi="Arial" w:eastAsia="Arial" w:cs="Arial"/>
          <w:color w:val="auto"/>
          <w:sz w:val="24"/>
          <w:szCs w:val="24"/>
        </w:rPr>
      </w:pPr>
      <w:r>
        <w:rPr>
          <w:rFonts w:hint="default" w:ascii="Arial" w:hAnsi="Arial" w:eastAsia="Arial" w:cs="Arial"/>
          <w:b/>
          <w:color w:val="auto"/>
          <w:sz w:val="24"/>
          <w:szCs w:val="24"/>
        </w:rPr>
        <w:t>Table S2</w:t>
      </w:r>
      <w:r>
        <w:rPr>
          <w:rFonts w:hint="default" w:ascii="Arial" w:hAnsi="Arial" w:eastAsia="Arial" w:cs="Arial"/>
          <w:color w:val="auto"/>
          <w:sz w:val="24"/>
          <w:szCs w:val="24"/>
        </w:rPr>
        <w:t xml:space="preserve"> - Average values of the number of trees. number of recruits and dead trees. Total AGB change (last minus first inventory).  average AGB recruitment. gain. productivity (AGB recruitment plus gain).  and mortality. and delta AGB (annual net change in AGB) for each forest plot from Amazon-Cerrado transition. Brazil.</w:t>
      </w:r>
    </w:p>
    <w:tbl>
      <w:tblPr>
        <w:tblStyle w:val="4"/>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6"/>
        <w:gridCol w:w="961"/>
        <w:gridCol w:w="1017"/>
        <w:gridCol w:w="773"/>
        <w:gridCol w:w="975"/>
        <w:gridCol w:w="815"/>
        <w:gridCol w:w="1329"/>
        <w:gridCol w:w="1849"/>
        <w:gridCol w:w="984"/>
        <w:gridCol w:w="1502"/>
        <w:gridCol w:w="2015"/>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2" w:hRule="atLeast"/>
          <w:jc w:val="center"/>
        </w:trPr>
        <w:tc>
          <w:tcPr>
            <w:tcW w:w="856"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Plot code</w:t>
            </w:r>
          </w:p>
        </w:tc>
        <w:tc>
          <w:tcPr>
            <w:tcW w:w="961"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Forest type</w:t>
            </w:r>
          </w:p>
        </w:tc>
        <w:tc>
          <w:tcPr>
            <w:tcW w:w="1017"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Burning</w:t>
            </w:r>
          </w:p>
        </w:tc>
        <w:tc>
          <w:tcPr>
            <w:tcW w:w="773"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eastAsia="zh-CN" w:bidi="ar"/>
              </w:rPr>
              <w:t xml:space="preserve">N. </w:t>
            </w:r>
            <w:r>
              <w:rPr>
                <w:rFonts w:hint="default" w:ascii="Arial" w:hAnsi="Arial" w:eastAsia="SimSun" w:cs="Arial"/>
                <w:b/>
                <w:color w:val="auto"/>
                <w:sz w:val="24"/>
                <w:szCs w:val="24"/>
                <w:lang w:val="en-US" w:eastAsia="zh-CN" w:bidi="ar"/>
              </w:rPr>
              <w:t>trees</w:t>
            </w:r>
          </w:p>
        </w:tc>
        <w:tc>
          <w:tcPr>
            <w:tcW w:w="975"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eastAsia="zh-CN" w:bidi="ar"/>
              </w:rPr>
              <w:t xml:space="preserve">N. </w:t>
            </w:r>
            <w:r>
              <w:rPr>
                <w:rFonts w:hint="default" w:ascii="Arial" w:hAnsi="Arial" w:eastAsia="SimSun" w:cs="Arial"/>
                <w:b/>
                <w:color w:val="auto"/>
                <w:sz w:val="24"/>
                <w:szCs w:val="24"/>
                <w:lang w:val="en-US" w:eastAsia="zh-CN" w:bidi="ar"/>
              </w:rPr>
              <w:t>recruits</w:t>
            </w:r>
          </w:p>
        </w:tc>
        <w:tc>
          <w:tcPr>
            <w:tcW w:w="815"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eastAsia="zh-CN" w:bidi="ar"/>
              </w:rPr>
              <w:t xml:space="preserve">N. </w:t>
            </w:r>
            <w:r>
              <w:rPr>
                <w:rFonts w:hint="default" w:ascii="Arial" w:hAnsi="Arial" w:eastAsia="SimSun" w:cs="Arial"/>
                <w:b/>
                <w:color w:val="auto"/>
                <w:sz w:val="24"/>
                <w:szCs w:val="24"/>
                <w:lang w:val="en-US" w:eastAsia="zh-CN" w:bidi="ar"/>
              </w:rPr>
              <w:t>dead trees</w:t>
            </w:r>
          </w:p>
        </w:tc>
        <w:tc>
          <w:tcPr>
            <w:tcW w:w="1329"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b/>
                <w:color w:val="auto"/>
                <w:sz w:val="24"/>
                <w:szCs w:val="24"/>
                <w:lang w:eastAsia="zh-CN" w:bidi="ar"/>
              </w:rPr>
            </w:pPr>
            <w:r>
              <w:rPr>
                <w:rFonts w:hint="default" w:ascii="Arial" w:hAnsi="Arial" w:eastAsia="SimSun" w:cs="Arial"/>
                <w:b/>
                <w:color w:val="auto"/>
                <w:sz w:val="24"/>
                <w:szCs w:val="24"/>
                <w:lang w:eastAsia="zh-CN" w:bidi="ar"/>
              </w:rPr>
              <w:t>T</w:t>
            </w:r>
            <w:r>
              <w:rPr>
                <w:rFonts w:hint="default" w:ascii="Arial" w:hAnsi="Arial" w:eastAsia="SimSun" w:cs="Arial"/>
                <w:b/>
                <w:color w:val="auto"/>
                <w:sz w:val="24"/>
                <w:szCs w:val="24"/>
                <w:lang w:val="en-US" w:eastAsia="zh-CN" w:bidi="ar"/>
              </w:rPr>
              <w:t>otal AGB</w:t>
            </w:r>
            <w:r>
              <w:rPr>
                <w:rFonts w:hint="default" w:ascii="Arial" w:hAnsi="Arial" w:eastAsia="SimSun" w:cs="Arial"/>
                <w:b/>
                <w:color w:val="auto"/>
                <w:sz w:val="24"/>
                <w:szCs w:val="24"/>
                <w:lang w:eastAsia="zh-CN" w:bidi="ar"/>
              </w:rPr>
              <w:t xml:space="preserve"> </w:t>
            </w:r>
            <w:r>
              <w:rPr>
                <w:rFonts w:hint="default" w:ascii="Arial" w:hAnsi="Arial" w:eastAsia="SimSun" w:cs="Arial"/>
                <w:b/>
                <w:color w:val="auto"/>
                <w:sz w:val="24"/>
                <w:szCs w:val="24"/>
                <w:lang w:val="en-US" w:eastAsia="zh-CN" w:bidi="ar"/>
              </w:rPr>
              <w:t>change</w:t>
            </w:r>
            <w:r>
              <w:rPr>
                <w:rFonts w:hint="default" w:ascii="Arial" w:hAnsi="Arial" w:eastAsia="SimSun" w:cs="Arial"/>
                <w:b/>
                <w:color w:val="auto"/>
                <w:sz w:val="24"/>
                <w:szCs w:val="24"/>
                <w:lang w:eastAsia="zh-CN" w:bidi="ar"/>
              </w:rPr>
              <w:t xml:space="preserve"> (Mg ha</w:t>
            </w:r>
            <w:r>
              <w:rPr>
                <w:rFonts w:hint="default" w:ascii="Arial" w:hAnsi="Arial" w:eastAsia="SimSun" w:cs="Arial"/>
                <w:b/>
                <w:color w:val="auto"/>
                <w:sz w:val="24"/>
                <w:szCs w:val="24"/>
                <w:vertAlign w:val="superscript"/>
                <w:lang w:eastAsia="zh-CN" w:bidi="ar"/>
              </w:rPr>
              <w:t>-1</w:t>
            </w:r>
            <w:r>
              <w:rPr>
                <w:rFonts w:hint="default" w:ascii="Arial" w:hAnsi="Arial" w:eastAsia="SimSun" w:cs="Arial"/>
                <w:b/>
                <w:color w:val="auto"/>
                <w:sz w:val="24"/>
                <w:szCs w:val="24"/>
                <w:lang w:eastAsia="zh-CN" w:bidi="ar"/>
              </w:rPr>
              <w:t>)</w:t>
            </w:r>
          </w:p>
        </w:tc>
        <w:tc>
          <w:tcPr>
            <w:tcW w:w="1849"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b/>
                <w:color w:val="auto"/>
                <w:sz w:val="24"/>
                <w:szCs w:val="24"/>
                <w:lang w:val="en-US" w:eastAsia="zh-CN" w:bidi="ar"/>
              </w:rPr>
            </w:pPr>
            <w:r>
              <w:rPr>
                <w:rFonts w:hint="default" w:ascii="Arial" w:hAnsi="Arial" w:eastAsia="SimSun" w:cs="Arial"/>
                <w:b/>
                <w:color w:val="auto"/>
                <w:sz w:val="24"/>
                <w:szCs w:val="24"/>
                <w:lang w:val="en-US" w:eastAsia="zh-CN" w:bidi="ar"/>
              </w:rPr>
              <w:t>AGB Recruitment (Mg ha</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 xml:space="preserve"> yr</w:t>
            </w:r>
            <w:r>
              <w:rPr>
                <w:rFonts w:hint="default" w:ascii="Arial" w:hAnsi="Arial" w:eastAsia="SimSun" w:cs="Arial"/>
                <w:b/>
                <w:color w:val="auto"/>
                <w:sz w:val="24"/>
                <w:szCs w:val="24"/>
                <w:vertAlign w:val="superscript"/>
                <w:lang w:val="en-US" w:eastAsia="zh-CN" w:bidi="ar"/>
              </w:rPr>
              <w:t>-1</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w:t>
            </w:r>
          </w:p>
        </w:tc>
        <w:tc>
          <w:tcPr>
            <w:tcW w:w="984"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AGB Gain (Mg ha</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 xml:space="preserve"> yr</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w:t>
            </w:r>
          </w:p>
        </w:tc>
        <w:tc>
          <w:tcPr>
            <w:tcW w:w="1502"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AGB Mortality (Mg ha</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 xml:space="preserve"> yr</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w:t>
            </w:r>
          </w:p>
        </w:tc>
        <w:tc>
          <w:tcPr>
            <w:tcW w:w="2015"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b/>
                <w:color w:val="auto"/>
                <w:sz w:val="24"/>
                <w:szCs w:val="24"/>
              </w:rPr>
            </w:pPr>
            <w:r>
              <w:rPr>
                <w:rFonts w:hint="default" w:ascii="Arial" w:hAnsi="Arial" w:eastAsia="SimSun" w:cs="Arial"/>
                <w:b/>
                <w:color w:val="auto"/>
                <w:sz w:val="24"/>
                <w:szCs w:val="24"/>
                <w:lang w:val="en-US" w:eastAsia="zh-CN" w:bidi="ar"/>
              </w:rPr>
              <w:t>AGB woody productivity (Mg ha</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 xml:space="preserve"> yr</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w:t>
            </w:r>
          </w:p>
        </w:tc>
        <w:tc>
          <w:tcPr>
            <w:tcW w:w="912" w:type="dxa"/>
            <w:tcBorders>
              <w:top w:val="single" w:color="auto" w:sz="4" w:space="0"/>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b/>
                <w:color w:val="auto"/>
                <w:sz w:val="24"/>
                <w:szCs w:val="24"/>
                <w:lang w:val="en-US" w:eastAsia="zh-CN" w:bidi="ar"/>
              </w:rPr>
            </w:pPr>
            <w:r>
              <w:rPr>
                <w:rFonts w:hint="default" w:ascii="Arial" w:hAnsi="Arial" w:eastAsia="SimSun" w:cs="Arial"/>
                <w:b/>
                <w:color w:val="auto"/>
                <w:sz w:val="24"/>
                <w:szCs w:val="24"/>
                <w:lang w:val="en-US" w:eastAsia="zh-CN" w:bidi="ar"/>
              </w:rPr>
              <w:t>Δ</w:t>
            </w:r>
            <w:r>
              <w:rPr>
                <w:rFonts w:hint="default" w:ascii="Arial" w:hAnsi="Arial" w:eastAsia="SimSun" w:cs="Arial"/>
                <w:b/>
                <w:color w:val="auto"/>
                <w:sz w:val="24"/>
                <w:szCs w:val="24"/>
                <w:lang w:eastAsia="zh-CN" w:bidi="ar"/>
              </w:rPr>
              <w:t xml:space="preserve"> </w:t>
            </w:r>
            <w:r>
              <w:rPr>
                <w:rFonts w:hint="default" w:ascii="Arial" w:hAnsi="Arial" w:eastAsia="SimSun" w:cs="Arial"/>
                <w:b/>
                <w:color w:val="auto"/>
                <w:sz w:val="24"/>
                <w:szCs w:val="24"/>
                <w:lang w:val="en-US" w:eastAsia="zh-CN" w:bidi="ar"/>
              </w:rPr>
              <w:t>AGB (Mg ha</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 xml:space="preserve"> yr</w:t>
            </w:r>
            <w:r>
              <w:rPr>
                <w:rFonts w:hint="default" w:ascii="Arial" w:hAnsi="Arial" w:eastAsia="SimSun" w:cs="Arial"/>
                <w:b/>
                <w:color w:val="auto"/>
                <w:sz w:val="24"/>
                <w:szCs w:val="24"/>
                <w:vertAlign w:val="superscript"/>
                <w:lang w:val="en-US" w:eastAsia="zh-CN" w:bidi="ar"/>
              </w:rPr>
              <w:t>-1</w:t>
            </w:r>
            <w:r>
              <w:rPr>
                <w:rFonts w:hint="default" w:ascii="Arial" w:hAnsi="Arial" w:eastAsia="SimSun" w:cs="Arial"/>
                <w:b/>
                <w:color w:val="auto"/>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8" w:hRule="exact"/>
          <w:jc w:val="center"/>
        </w:trPr>
        <w:tc>
          <w:tcPr>
            <w:tcW w:w="856"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ALF-01</w:t>
            </w:r>
          </w:p>
        </w:tc>
        <w:tc>
          <w:tcPr>
            <w:tcW w:w="961"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509.8</w:t>
            </w:r>
          </w:p>
        </w:tc>
        <w:tc>
          <w:tcPr>
            <w:tcW w:w="975"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40.3</w:t>
            </w:r>
          </w:p>
        </w:tc>
        <w:tc>
          <w:tcPr>
            <w:tcW w:w="815"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24.0</w:t>
            </w:r>
          </w:p>
        </w:tc>
        <w:tc>
          <w:tcPr>
            <w:tcW w:w="1329"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16.6</w:t>
            </w:r>
          </w:p>
        </w:tc>
        <w:tc>
          <w:tcPr>
            <w:tcW w:w="1849"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3.3</w:t>
            </w:r>
          </w:p>
        </w:tc>
        <w:tc>
          <w:tcPr>
            <w:tcW w:w="1502"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2.3</w:t>
            </w:r>
          </w:p>
        </w:tc>
        <w:tc>
          <w:tcPr>
            <w:tcW w:w="2015"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w:t>
            </w:r>
          </w:p>
        </w:tc>
        <w:tc>
          <w:tcPr>
            <w:tcW w:w="912" w:type="dxa"/>
            <w:tcBorders>
              <w:top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ALF-02</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547.7</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26.5</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38.5</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-28.3</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3.7</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8.8</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4.2</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FLO-01</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602.5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35.0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3.9</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4.0</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FLO-02</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536.7</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64.0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14.5</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26.5</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1.2</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5.6</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0.9</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6.8</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FRP-01</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537.5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41.0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2.7</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0.3</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4.1</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4.3</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GAU-01</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422.5</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173.0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304.0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-120.6</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0.9</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11.2</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2.7</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NXV-02</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408.3</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72.0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34.5</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9.5</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3.7</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4.5</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6.1</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NXV-06</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253.0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18.3</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17.8</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37.6</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3.5</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4.1</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NXV-07</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205.2</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18.3</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15.8</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27.2</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0.4</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3.9</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NXV-08</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299.0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74.0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38.3</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58.2</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6.6</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3.7</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10.3</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NXV-09</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360.0</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60.5</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25.5</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14.7</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13.5</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3.0</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3.0</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16.5</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PEA-01</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709.0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64.5</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110.0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-12.4</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3.3</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6.1</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4.3</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PEA-02</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852.0</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31.0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281.0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-55.1</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3.3</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22.7</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PEA-03</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1593.0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144.0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112.0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17.7</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2.3</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2.2</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1.9</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4.5</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PEA-04</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1201.5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101.0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250.0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-16.8</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0.8</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2.6</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5.8</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3.3</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PEA-05</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942.0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99.0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140.0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16.3</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4.4</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2.8</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5.0</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PEA-06</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666.5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51.0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555.0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-122.8</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0.3</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2.3</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17.7</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2.7</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PEA-07</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450.5</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102.0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142.0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-9.5</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0.9</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6.3</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4.8</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PEA-08</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Riparian</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380.5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15.0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104.0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-21.9</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0.1</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3.3</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7.0</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POA-01</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650.0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23.0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9.1</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5.4</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1.3</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5.9</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SAA-01</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503.3</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18.0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9.3</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0.5</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4.2</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4.7</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SAA-02</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545.5</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29.0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30.0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3.3</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3.9</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2.9</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4.6</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SAT-01</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526.5</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31.0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8.4</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4.5</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0.8</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5.1</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SIP-01</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506.0</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146.0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82.0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4.9</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1.0</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2.8</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3.5</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3.9</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SMT-02</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431.8</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35.0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25.7</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8.0</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1.4</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0.9</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TAN-02</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486.5</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22.0</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32.0</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-0.4</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3.1</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3.2</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3.6</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TAN-03</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580.3</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27.7</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39.0</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-15.8</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0.7</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2.9</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6.2</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3.6</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TAN-04</w:t>
            </w:r>
          </w:p>
        </w:tc>
        <w:tc>
          <w:tcPr>
            <w:tcW w:w="961"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560.3</w:t>
            </w:r>
          </w:p>
        </w:tc>
        <w:tc>
          <w:tcPr>
            <w:tcW w:w="97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34.3</w:t>
            </w:r>
          </w:p>
        </w:tc>
        <w:tc>
          <w:tcPr>
            <w:tcW w:w="8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46.3</w:t>
            </w:r>
          </w:p>
        </w:tc>
        <w:tc>
          <w:tcPr>
            <w:tcW w:w="132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-6.9</w:t>
            </w:r>
          </w:p>
        </w:tc>
        <w:tc>
          <w:tcPr>
            <w:tcW w:w="1849"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0.6</w:t>
            </w:r>
          </w:p>
        </w:tc>
        <w:tc>
          <w:tcPr>
            <w:tcW w:w="984"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2.9</w:t>
            </w:r>
          </w:p>
        </w:tc>
        <w:tc>
          <w:tcPr>
            <w:tcW w:w="150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4.6</w:t>
            </w:r>
          </w:p>
        </w:tc>
        <w:tc>
          <w:tcPr>
            <w:tcW w:w="2015"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3.5</w:t>
            </w:r>
          </w:p>
        </w:tc>
        <w:tc>
          <w:tcPr>
            <w:tcW w:w="912" w:type="dxa"/>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VCR-01</w:t>
            </w:r>
          </w:p>
        </w:tc>
        <w:tc>
          <w:tcPr>
            <w:tcW w:w="96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300.6</w:t>
            </w:r>
          </w:p>
        </w:tc>
        <w:tc>
          <w:tcPr>
            <w:tcW w:w="97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5.0</w:t>
            </w:r>
          </w:p>
        </w:tc>
        <w:tc>
          <w:tcPr>
            <w:tcW w:w="8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16.1</w:t>
            </w:r>
          </w:p>
        </w:tc>
        <w:tc>
          <w:tcPr>
            <w:tcW w:w="132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18.1</w:t>
            </w:r>
          </w:p>
        </w:tc>
        <w:tc>
          <w:tcPr>
            <w:tcW w:w="184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0.1</w:t>
            </w:r>
          </w:p>
        </w:tc>
        <w:tc>
          <w:tcPr>
            <w:tcW w:w="9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4.8</w:t>
            </w:r>
          </w:p>
        </w:tc>
        <w:tc>
          <w:tcPr>
            <w:tcW w:w="150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3.6</w:t>
            </w:r>
          </w:p>
        </w:tc>
        <w:tc>
          <w:tcPr>
            <w:tcW w:w="20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4.9</w:t>
            </w: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exact"/>
          <w:jc w:val="center"/>
        </w:trPr>
        <w:tc>
          <w:tcPr>
            <w:tcW w:w="856"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VCR-02</w:t>
            </w:r>
          </w:p>
        </w:tc>
        <w:tc>
          <w:tcPr>
            <w:tcW w:w="961"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Terra firme</w:t>
            </w:r>
          </w:p>
        </w:tc>
        <w:tc>
          <w:tcPr>
            <w:tcW w:w="1017"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eastAsia="zh-CN" w:bidi="ar"/>
              </w:rPr>
              <w:t>Unburned</w:t>
            </w:r>
          </w:p>
        </w:tc>
        <w:tc>
          <w:tcPr>
            <w:tcW w:w="773"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378.2</w:t>
            </w:r>
          </w:p>
        </w:tc>
        <w:tc>
          <w:tcPr>
            <w:tcW w:w="975"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41.0</w:t>
            </w:r>
          </w:p>
        </w:tc>
        <w:tc>
          <w:tcPr>
            <w:tcW w:w="815"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39.8</w:t>
            </w:r>
          </w:p>
        </w:tc>
        <w:tc>
          <w:tcPr>
            <w:tcW w:w="1329"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1.5</w:t>
            </w:r>
          </w:p>
        </w:tc>
        <w:tc>
          <w:tcPr>
            <w:tcW w:w="1849"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1.6</w:t>
            </w:r>
          </w:p>
        </w:tc>
        <w:tc>
          <w:tcPr>
            <w:tcW w:w="984"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2.0</w:t>
            </w:r>
          </w:p>
        </w:tc>
        <w:tc>
          <w:tcPr>
            <w:tcW w:w="1502"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3.7</w:t>
            </w:r>
          </w:p>
        </w:tc>
        <w:tc>
          <w:tcPr>
            <w:tcW w:w="2015"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cs="Arial"/>
                <w:color w:val="auto"/>
                <w:sz w:val="24"/>
                <w:szCs w:val="24"/>
              </w:rPr>
            </w:pPr>
            <w:r>
              <w:rPr>
                <w:rFonts w:hint="default" w:ascii="Arial" w:hAnsi="Arial" w:eastAsia="SimSun" w:cs="Arial"/>
                <w:color w:val="auto"/>
                <w:sz w:val="24"/>
                <w:szCs w:val="24"/>
                <w:lang w:val="en-US" w:eastAsia="zh-CN" w:bidi="ar"/>
              </w:rPr>
              <w:t>3.6</w:t>
            </w:r>
          </w:p>
        </w:tc>
        <w:tc>
          <w:tcPr>
            <w:tcW w:w="912" w:type="dxa"/>
            <w:tcBorders>
              <w:bottom w:val="single"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center"/>
              <w:outlineLvl w:val="9"/>
              <w:rPr>
                <w:rFonts w:hint="default" w:ascii="Arial" w:hAnsi="Arial" w:eastAsia="SimSun" w:cs="Arial"/>
                <w:color w:val="auto"/>
                <w:sz w:val="24"/>
                <w:szCs w:val="24"/>
                <w:lang w:val="en-US" w:eastAsia="zh-CN" w:bidi="ar"/>
              </w:rPr>
            </w:pPr>
            <w:r>
              <w:rPr>
                <w:rFonts w:hint="default" w:ascii="Arial" w:hAnsi="Arial" w:eastAsia="SimSun" w:cs="Arial"/>
                <w:color w:val="auto"/>
                <w:sz w:val="24"/>
                <w:szCs w:val="24"/>
                <w:lang w:val="en-US" w:eastAsia="zh-CN" w:bidi="ar"/>
              </w:rPr>
              <w:t>0.1</w:t>
            </w:r>
          </w:p>
        </w:tc>
      </w:tr>
    </w:tbl>
    <w:p>
      <w:pPr>
        <w:spacing w:line="480" w:lineRule="auto"/>
        <w:rPr>
          <w:rFonts w:hint="default" w:ascii="Arial" w:hAnsi="Arial" w:eastAsia="Arial" w:cs="Arial"/>
          <w:color w:val="auto"/>
          <w:sz w:val="24"/>
          <w:szCs w:val="24"/>
        </w:rPr>
      </w:pPr>
    </w:p>
    <w:p>
      <w:pPr>
        <w:rPr>
          <w:rFonts w:hint="default" w:ascii="Arial" w:hAnsi="Arial" w:cs="Arial"/>
        </w:rPr>
      </w:pPr>
    </w:p>
    <w:sectPr>
      <w:pgSz w:w="16838" w:h="11906" w:orient="landscape"/>
      <w:pgMar w:top="1440" w:right="1440" w:bottom="1440" w:left="1440" w:header="0" w:footer="0" w:gutter="0"/>
      <w:lnNumType w:countBy="1" w:restart="continuou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imHei">
    <w:altName w:val="Droid Sans Fallback"/>
    <w:panose1 w:val="02010609060101010101"/>
    <w:charset w:val="00"/>
    <w:family w:val="modern"/>
    <w:pitch w:val="default"/>
    <w:sig w:usb0="800002BF" w:usb1="38CF7CFA" w:usb2="00000016" w:usb3="00000000" w:csb0="00040001" w:csb1="00000000"/>
  </w:font>
  <w:font w:name="Calibri">
    <w:altName w:val="Arial"/>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SimSun">
    <w:altName w:val="Droid Sans Fallback"/>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 w:val="18"/>
        <w:szCs w:val="18"/>
      </w:rPr>
    </w:pPr>
    <w:r>
      <w:rPr>
        <w:sz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Box 3"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NJWO7QAAAABQEAAA8AAAAAAAAA&#10;AQAgAAAAOAAAAGRycy9kb3ducmV2LnhtbFBLAQIUABQAAAAIAIdO4kAmVx3wAwIAABEEAAAOAAAA&#10;AAAAAAEAIAAAADUBAABkcnMvZTJvRG9jLnhtbFBLBQYAAAAABgAGAFkBAACq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5600700</wp:posOffset>
              </wp:positionH>
              <wp:positionV relativeFrom="paragraph">
                <wp:posOffset>0</wp:posOffset>
              </wp:positionV>
              <wp:extent cx="132080" cy="303530"/>
              <wp:effectExtent l="0" t="0" r="0" b="0"/>
              <wp:wrapNone/>
              <wp:docPr id="2" name="Retângulo 2"/>
              <wp:cNvGraphicFramePr/>
              <a:graphic xmlns:a="http://schemas.openxmlformats.org/drawingml/2006/main">
                <a:graphicData uri="http://schemas.microsoft.com/office/word/2010/wordprocessingShape">
                  <wps:wsp>
                    <wps:cNvSpPr/>
                    <wps:spPr>
                      <a:xfrm>
                        <a:off x="5284723" y="3632998"/>
                        <a:ext cx="122555" cy="294005"/>
                      </a:xfrm>
                      <a:prstGeom prst="rect">
                        <a:avLst/>
                      </a:prstGeom>
                      <a:noFill/>
                      <a:ln>
                        <a:noFill/>
                      </a:ln>
                    </wps:spPr>
                    <wps:txbx>
                      <w:txbxContent>
                        <w:p>
                          <w:pPr>
                            <w:spacing w:line="275" w:lineRule="auto"/>
                          </w:pPr>
                          <w:r>
                            <w:rPr>
                              <w:sz w:val="18"/>
                            </w:rPr>
                            <w:t xml:space="preserve"> </w:t>
                          </w:r>
                        </w:p>
                      </w:txbxContent>
                    </wps:txbx>
                    <wps:bodyPr spcFirstLastPara="1" wrap="square" lIns="0" tIns="0" rIns="0" bIns="0" anchor="t" anchorCtr="0"/>
                  </wps:wsp>
                </a:graphicData>
              </a:graphic>
            </wp:anchor>
          </w:drawing>
        </mc:Choice>
        <mc:Fallback>
          <w:pict>
            <v:rect id="_x0000_s1026" o:spid="_x0000_s1026" o:spt="1" style="position:absolute;left:0pt;margin-left:441pt;margin-top:0pt;height:23.9pt;width:10.4pt;mso-position-horizontal-relative:margin;z-index:251668480;mso-width-relative:page;mso-height-relative:page;" filled="f" stroked="f" coordsize="21600,21600" o:gfxdata="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HgF5ZNgAAAAHAQAADwAAAAAAAAABACAA&#10;AAA4AAAAZHJzL2Rvd25yZXYueG1sUEsBAhQAFAAAAAgAh07iQLTM9F6+AQAAVgMAAA4AAAAAAAAA&#10;AQAgAAAAPQEAAGRycy9lMm9Eb2MueG1sUEsFBgAAAAAGAAYAWQEAAG0FAAAAAA==&#10;">
              <v:fill on="f" focussize="0,0"/>
              <v:stroke on="f"/>
              <v:imagedata o:title=""/>
              <o:lock v:ext="edit" aspectratio="f"/>
              <v:textbox inset="0mm,0mm,0mm,0mm">
                <w:txbxContent>
                  <w:p>
                    <w:pPr>
                      <w:spacing w:line="275" w:lineRule="auto"/>
                    </w:pPr>
                    <w:r>
                      <w:rPr>
                        <w:sz w:val="1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2FFB06"/>
    <w:rsid w:val="2EBDA680"/>
    <w:rsid w:val="3FB44238"/>
    <w:rsid w:val="3FB72D8A"/>
    <w:rsid w:val="3FFFB4BF"/>
    <w:rsid w:val="457F4BBB"/>
    <w:rsid w:val="677F3E1B"/>
    <w:rsid w:val="760CC4BC"/>
    <w:rsid w:val="77ABB2D9"/>
    <w:rsid w:val="7C7FBEB3"/>
    <w:rsid w:val="7EDB12B8"/>
    <w:rsid w:val="7EFFD276"/>
    <w:rsid w:val="7F3195BB"/>
    <w:rsid w:val="7F7B9A9A"/>
    <w:rsid w:val="B9BB4434"/>
    <w:rsid w:val="BDFD8BBD"/>
    <w:rsid w:val="BEF14AE8"/>
    <w:rsid w:val="C33EBAFC"/>
    <w:rsid w:val="DDB95EE9"/>
    <w:rsid w:val="EFDF2F86"/>
    <w:rsid w:val="F17FB2A1"/>
    <w:rsid w:val="FB2FFB06"/>
    <w:rsid w:val="FDEBB298"/>
    <w:rsid w:val="FF7E7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Calibri"/>
      <w:color w:val="00000A"/>
      <w:sz w:val="22"/>
      <w:szCs w:val="22"/>
      <w:lang w:val="en-GB" w:eastAsia="pt-BR"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tiff"/><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32627"/>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Office_10.1.0.6758_F1E327BC-269C-435d-A152-05C5408002CA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2018-08-28T11:01:00Z</dcterms:created>
  <dc:creator>denis</dc:creator>
  <cp:lastModifiedBy>denis</cp:lastModifiedBy>
  <dcterms:modified xsi:type="dcterms:W3CDTF">2019-05-20T13:39:19Z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1046-10.1.0.6758</vt:lpwstr>
  </property>
</Properties>
</file>