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8E351" w14:textId="5D84E8AB" w:rsidR="008F0F1B" w:rsidRPr="0098250D" w:rsidRDefault="008F0F1B" w:rsidP="00344FC2">
      <w:pPr>
        <w:rPr>
          <w:rFonts w:ascii="Arial" w:hAnsi="Arial" w:cs="Arial"/>
          <w:sz w:val="24"/>
          <w:szCs w:val="24"/>
          <w:lang w:val="en-GB"/>
        </w:rPr>
      </w:pPr>
      <w:r w:rsidRPr="0098250D">
        <w:rPr>
          <w:rFonts w:ascii="Arial" w:hAnsi="Arial" w:cs="Arial"/>
          <w:b/>
          <w:sz w:val="24"/>
          <w:szCs w:val="24"/>
          <w:lang w:val="en-GB"/>
        </w:rPr>
        <w:t>Table S</w:t>
      </w:r>
      <w:r w:rsidR="007B4037">
        <w:rPr>
          <w:rFonts w:ascii="Arial" w:hAnsi="Arial" w:cs="Arial"/>
          <w:b/>
          <w:sz w:val="24"/>
          <w:szCs w:val="24"/>
          <w:lang w:val="en-GB"/>
        </w:rPr>
        <w:t>1</w:t>
      </w:r>
      <w:r w:rsidRPr="0098250D">
        <w:rPr>
          <w:rFonts w:ascii="Arial" w:hAnsi="Arial" w:cs="Arial"/>
          <w:b/>
          <w:sz w:val="24"/>
          <w:szCs w:val="24"/>
          <w:lang w:val="en-GB"/>
        </w:rPr>
        <w:t xml:space="preserve">. </w:t>
      </w:r>
      <w:r w:rsidRPr="0098250D">
        <w:rPr>
          <w:rFonts w:ascii="Arial" w:hAnsi="Arial" w:cs="Arial"/>
          <w:sz w:val="24"/>
          <w:szCs w:val="24"/>
          <w:lang w:val="en-GB"/>
        </w:rPr>
        <w:t xml:space="preserve">Key variables used in the </w:t>
      </w:r>
      <w:r w:rsidR="000C6D96">
        <w:rPr>
          <w:rFonts w:ascii="Arial" w:hAnsi="Arial" w:cs="Arial"/>
          <w:sz w:val="24"/>
          <w:szCs w:val="24"/>
          <w:lang w:val="en-GB"/>
        </w:rPr>
        <w:t xml:space="preserve">Chingaza National Natural Park, Colombia </w:t>
      </w:r>
      <w:r w:rsidRPr="0098250D">
        <w:rPr>
          <w:rFonts w:ascii="Arial" w:hAnsi="Arial" w:cs="Arial"/>
          <w:sz w:val="24"/>
          <w:szCs w:val="24"/>
          <w:lang w:val="en-GB"/>
        </w:rPr>
        <w:t>study and their description.</w:t>
      </w:r>
    </w:p>
    <w:tbl>
      <w:tblPr>
        <w:tblW w:w="97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1522"/>
        <w:gridCol w:w="6660"/>
      </w:tblGrid>
      <w:tr w:rsidR="008F0F1B" w:rsidRPr="0098250D" w14:paraId="49D4F6DD" w14:textId="77777777" w:rsidTr="003E248E">
        <w:trPr>
          <w:trHeight w:val="243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8832" w14:textId="77777777" w:rsidR="008F0F1B" w:rsidRPr="0098250D" w:rsidRDefault="008F0F1B" w:rsidP="00886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b/>
                <w:bCs/>
                <w:color w:val="000000"/>
                <w:lang w:val="en-GB" w:eastAsia="es-CO"/>
              </w:rPr>
              <w:t>Variable type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C3F9" w14:textId="77777777" w:rsidR="008F0F1B" w:rsidRPr="0098250D" w:rsidRDefault="008F0F1B" w:rsidP="00886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b/>
                <w:bCs/>
                <w:color w:val="000000"/>
                <w:lang w:val="en-GB" w:eastAsia="es-CO"/>
              </w:rPr>
              <w:t>Variable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112F" w14:textId="77777777" w:rsidR="008F0F1B" w:rsidRPr="0098250D" w:rsidRDefault="008F0F1B" w:rsidP="00886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b/>
                <w:bCs/>
                <w:color w:val="000000"/>
                <w:lang w:val="en-GB" w:eastAsia="es-CO"/>
              </w:rPr>
              <w:t>Description</w:t>
            </w:r>
          </w:p>
        </w:tc>
      </w:tr>
      <w:tr w:rsidR="007E14E9" w:rsidRPr="0098250D" w14:paraId="2F9D096A" w14:textId="77777777" w:rsidTr="003E248E">
        <w:trPr>
          <w:trHeight w:val="243"/>
        </w:trPr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F5E5F" w14:textId="77777777" w:rsidR="007E14E9" w:rsidRPr="0098250D" w:rsidRDefault="007E14E9" w:rsidP="00886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s-ES" w:eastAsia="es-CO"/>
              </w:rPr>
            </w:pPr>
            <w:r w:rsidRPr="0098250D">
              <w:rPr>
                <w:rFonts w:ascii="Arial" w:eastAsia="Times New Roman" w:hAnsi="Arial" w:cs="Arial"/>
                <w:b/>
                <w:bCs/>
                <w:color w:val="000000"/>
                <w:lang w:val="en-GB" w:eastAsia="es-CO"/>
              </w:rPr>
              <w:t>Indices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E1CA9" w14:textId="77777777" w:rsidR="00BF7F53" w:rsidRPr="0098250D" w:rsidRDefault="00BF7F53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(Index 1)</w:t>
            </w:r>
          </w:p>
          <w:p w14:paraId="0AA40D13" w14:textId="30CEC87C" w:rsidR="007E14E9" w:rsidRPr="0098250D" w:rsidRDefault="00C234DE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Sum of benefits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6087" w14:textId="5AC457E3" w:rsidR="007E14E9" w:rsidRPr="0098250D" w:rsidRDefault="00344FC2" w:rsidP="00344F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>
              <w:rPr>
                <w:rFonts w:ascii="Arial" w:eastAsia="Times New Roman" w:hAnsi="Arial" w:cs="Arial"/>
                <w:color w:val="000000"/>
                <w:lang w:val="en-GB" w:eastAsia="es-CO"/>
              </w:rPr>
              <w:t>T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he sum of affirmative answers to the question: “What benefits does </w:t>
            </w:r>
            <w:proofErr w:type="spellStart"/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>Chingaza</w:t>
            </w:r>
            <w:proofErr w:type="spellEnd"/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 offer you?”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(Question 3, </w:t>
            </w:r>
            <w:r w:rsidR="00BE63E2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Appendix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S1).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The affirmative answer to each item of the question is 1 </w:t>
            </w:r>
            <w:r w:rsidR="000C6D96">
              <w:rPr>
                <w:rFonts w:ascii="Arial" w:eastAsia="Times New Roman" w:hAnsi="Arial" w:cs="Arial"/>
                <w:color w:val="000000"/>
                <w:lang w:val="en-US" w:eastAsia="es-CO"/>
              </w:rPr>
              <w:t>while</w:t>
            </w:r>
            <w:r w:rsidR="000C6D96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the highest possible value for the total sum of services is 10, i</w:t>
            </w:r>
            <w:r w:rsidR="00D9367C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ncluding the “other” category.</w:t>
            </w:r>
          </w:p>
        </w:tc>
      </w:tr>
      <w:tr w:rsidR="007E14E9" w:rsidRPr="0098250D" w14:paraId="0D3115F8" w14:textId="77777777" w:rsidTr="003E248E">
        <w:trPr>
          <w:trHeight w:val="243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EF06A" w14:textId="77777777" w:rsidR="007E14E9" w:rsidRPr="0098250D" w:rsidRDefault="007E14E9" w:rsidP="00886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0CD3" w14:textId="77777777" w:rsidR="00BF7F53" w:rsidRPr="0098250D" w:rsidRDefault="00BF7F53" w:rsidP="00BF7F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(Index 2)</w:t>
            </w:r>
          </w:p>
          <w:p w14:paraId="3ED9E23B" w14:textId="77227400" w:rsidR="007E14E9" w:rsidRPr="0098250D" w:rsidRDefault="007E14E9" w:rsidP="00BF7F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Sum of disservices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FC82" w14:textId="15C3657B" w:rsidR="007E14E9" w:rsidRPr="0098250D" w:rsidRDefault="00344FC2" w:rsidP="00344F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>
              <w:rPr>
                <w:rFonts w:ascii="Arial" w:eastAsia="Times New Roman" w:hAnsi="Arial" w:cs="Arial"/>
                <w:color w:val="000000"/>
                <w:lang w:val="en-GB" w:eastAsia="es-CO"/>
              </w:rPr>
              <w:t>T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he sum of affirmative answers to the question: “What problems do you identify in </w:t>
            </w:r>
            <w:proofErr w:type="spellStart"/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>Chingaza</w:t>
            </w:r>
            <w:proofErr w:type="spellEnd"/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?”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(Question 6, </w:t>
            </w:r>
            <w:r w:rsidR="00BE63E2">
              <w:rPr>
                <w:rFonts w:ascii="Arial" w:eastAsia="Times New Roman" w:hAnsi="Arial" w:cs="Arial"/>
                <w:color w:val="000000"/>
                <w:lang w:val="en-US" w:eastAsia="es-CO"/>
              </w:rPr>
              <w:t>Appendix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S1).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The affirmative answer to each item of the question is 1 </w:t>
            </w:r>
            <w:r w:rsidR="000C6D96">
              <w:rPr>
                <w:rFonts w:ascii="Arial" w:eastAsia="Times New Roman" w:hAnsi="Arial" w:cs="Arial"/>
                <w:color w:val="000000"/>
                <w:lang w:val="en-US" w:eastAsia="es-CO"/>
              </w:rPr>
              <w:t>while</w:t>
            </w:r>
            <w:r w:rsidR="000C6D96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the highest possible value for the total sum of disservices is 6, i</w:t>
            </w:r>
            <w:r w:rsidR="00D9367C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ncluding the “other” category.</w:t>
            </w:r>
          </w:p>
        </w:tc>
      </w:tr>
      <w:tr w:rsidR="007E14E9" w:rsidRPr="0098250D" w14:paraId="7418290E" w14:textId="77777777" w:rsidTr="003E248E">
        <w:trPr>
          <w:trHeight w:val="243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47F9F" w14:textId="77777777" w:rsidR="007E14E9" w:rsidRPr="0098250D" w:rsidRDefault="007E14E9" w:rsidP="00886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AF32" w14:textId="77777777" w:rsidR="00BF7F53" w:rsidRPr="0098250D" w:rsidRDefault="00BF7F53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(Index 3)</w:t>
            </w:r>
          </w:p>
          <w:p w14:paraId="2640B6E7" w14:textId="353C9D0C" w:rsidR="007E14E9" w:rsidRPr="0098250D" w:rsidRDefault="007E14E9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Sum of human problems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274B" w14:textId="468687C8" w:rsidR="007E14E9" w:rsidRPr="0098250D" w:rsidRDefault="00344FC2" w:rsidP="00344F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>
              <w:rPr>
                <w:rFonts w:ascii="Arial" w:eastAsia="Times New Roman" w:hAnsi="Arial" w:cs="Arial"/>
                <w:color w:val="000000"/>
                <w:lang w:val="en-GB" w:eastAsia="es-CO"/>
              </w:rPr>
              <w:t>T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he sum of affirmative answers to the question: “What human activities do you identify as damaging to the ecosystem in </w:t>
            </w:r>
            <w:proofErr w:type="spellStart"/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>Chingaza</w:t>
            </w:r>
            <w:proofErr w:type="spellEnd"/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?”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(Question 7, </w:t>
            </w:r>
            <w:r w:rsidR="00BE63E2">
              <w:rPr>
                <w:rFonts w:ascii="Arial" w:eastAsia="Times New Roman" w:hAnsi="Arial" w:cs="Arial"/>
                <w:color w:val="000000"/>
                <w:lang w:val="en-US" w:eastAsia="es-CO"/>
              </w:rPr>
              <w:t>Appendix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S1).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The affirmative answer to each item of the question is 1</w:t>
            </w:r>
            <w:r w:rsidR="000C6D96">
              <w:rPr>
                <w:rFonts w:ascii="Arial" w:eastAsia="Times New Roman" w:hAnsi="Arial" w:cs="Arial"/>
                <w:color w:val="000000"/>
                <w:lang w:val="en-US" w:eastAsia="es-CO"/>
              </w:rPr>
              <w:t>. T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he highest possible value for the total sum of problems is 10, including the “other” category.</w:t>
            </w:r>
          </w:p>
        </w:tc>
      </w:tr>
      <w:tr w:rsidR="007E14E9" w:rsidRPr="0098250D" w14:paraId="33E2009F" w14:textId="77777777" w:rsidTr="003E248E">
        <w:trPr>
          <w:trHeight w:val="243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C02DB" w14:textId="77777777" w:rsidR="007E14E9" w:rsidRPr="0098250D" w:rsidRDefault="007E14E9" w:rsidP="00886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29A3" w14:textId="77777777" w:rsidR="00BF7F53" w:rsidRPr="0098250D" w:rsidRDefault="00BF7F53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 xml:space="preserve">(Index 4) </w:t>
            </w:r>
          </w:p>
          <w:p w14:paraId="423686AA" w14:textId="24080AA8" w:rsidR="007E14E9" w:rsidRPr="0098250D" w:rsidRDefault="007E14E9" w:rsidP="00016E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 xml:space="preserve">Sum </w:t>
            </w:r>
            <w:r w:rsidR="00553029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 xml:space="preserve">of </w:t>
            </w:r>
            <w:bookmarkStart w:id="0" w:name="_GoBack"/>
            <w:bookmarkEnd w:id="0"/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conservation</w:t>
            </w:r>
            <w:r w:rsidR="00016E79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- related concepts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9124E" w14:textId="1CAC4945" w:rsidR="007E14E9" w:rsidRPr="0098250D" w:rsidRDefault="00344FC2" w:rsidP="00005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>
              <w:rPr>
                <w:rFonts w:ascii="Arial" w:eastAsia="Times New Roman" w:hAnsi="Arial" w:cs="Arial"/>
                <w:color w:val="000000"/>
                <w:lang w:val="en-GB" w:eastAsia="es-CO"/>
              </w:rPr>
              <w:t>T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>he sum of affirmative answers to the questi</w:t>
            </w:r>
            <w:r w:rsidR="00016E79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on: “What do you understand by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Conservation?”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(Question 11, </w:t>
            </w:r>
            <w:r w:rsidR="00BE63E2">
              <w:rPr>
                <w:rFonts w:ascii="Arial" w:eastAsia="Times New Roman" w:hAnsi="Arial" w:cs="Arial"/>
                <w:color w:val="000000"/>
                <w:lang w:val="en-US" w:eastAsia="es-CO"/>
              </w:rPr>
              <w:t>Appendix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S1).</w:t>
            </w:r>
          </w:p>
          <w:p w14:paraId="62A01F6A" w14:textId="28B3969B" w:rsidR="007E14E9" w:rsidRPr="0098250D" w:rsidRDefault="007E14E9" w:rsidP="00344F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The affirmative answer to each item of the question is 1</w:t>
            </w:r>
            <w:r w:rsidR="000C6D96">
              <w:rPr>
                <w:rFonts w:ascii="Arial" w:eastAsia="Times New Roman" w:hAnsi="Arial" w:cs="Arial"/>
                <w:color w:val="000000"/>
                <w:lang w:val="en-US" w:eastAsia="es-CO"/>
              </w:rPr>
              <w:t>. T</w:t>
            </w:r>
            <w:r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he highest possible value for the total sum is 6.</w:t>
            </w:r>
          </w:p>
        </w:tc>
      </w:tr>
      <w:tr w:rsidR="007E14E9" w:rsidRPr="0098250D" w14:paraId="558DEED9" w14:textId="77777777" w:rsidTr="003E248E">
        <w:trPr>
          <w:trHeight w:val="243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EA8CF" w14:textId="77777777" w:rsidR="007E14E9" w:rsidRPr="0098250D" w:rsidRDefault="007E14E9" w:rsidP="00886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875A" w14:textId="2A8B0908" w:rsidR="00BF7F53" w:rsidRPr="0098250D" w:rsidRDefault="00BF7F53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(Index 5)</w:t>
            </w:r>
          </w:p>
          <w:p w14:paraId="7EDEC6E4" w14:textId="4640192C" w:rsidR="007E14E9" w:rsidRPr="0098250D" w:rsidRDefault="007E14E9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Sum of restoration activities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F117" w14:textId="578D7838" w:rsidR="007E14E9" w:rsidRPr="0098250D" w:rsidRDefault="00344FC2" w:rsidP="00344F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>
              <w:rPr>
                <w:rFonts w:ascii="Arial" w:eastAsia="Times New Roman" w:hAnsi="Arial" w:cs="Arial"/>
                <w:color w:val="000000"/>
                <w:lang w:val="en-GB" w:eastAsia="es-CO"/>
              </w:rPr>
              <w:t>T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>he sum of affirmative answers to the question: “What kind of activities?</w:t>
            </w:r>
            <w:proofErr w:type="gramStart"/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>”,</w:t>
            </w:r>
            <w:proofErr w:type="gramEnd"/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 which refers to the</w:t>
            </w:r>
            <w:r w:rsidR="00203076">
              <w:rPr>
                <w:rFonts w:ascii="Arial" w:eastAsia="Times New Roman" w:hAnsi="Arial" w:cs="Arial"/>
                <w:color w:val="000000"/>
                <w:lang w:val="en-GB" w:eastAsia="es-CO"/>
              </w:rPr>
              <w:t>-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 activities that </w:t>
            </w:r>
            <w:r w:rsidR="000C6D96">
              <w:rPr>
                <w:rFonts w:ascii="Arial" w:eastAsia="Times New Roman" w:hAnsi="Arial" w:cs="Arial"/>
                <w:color w:val="000000"/>
                <w:lang w:val="en-GB" w:eastAsia="es-CO"/>
              </w:rPr>
              <w:t>one is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 willing to carry out as a volunteer for </w:t>
            </w:r>
            <w:r w:rsidR="000C6D96">
              <w:rPr>
                <w:rFonts w:ascii="Arial" w:eastAsia="Times New Roman" w:hAnsi="Arial" w:cs="Arial"/>
                <w:color w:val="000000"/>
                <w:lang w:val="en-GB" w:eastAsia="es-CO"/>
              </w:rPr>
              <w:t>ecosystem-related</w:t>
            </w:r>
            <w:r w:rsidR="000C6D96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>restoration</w:t>
            </w:r>
            <w:r w:rsidR="000C6D96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(Question 15, </w:t>
            </w:r>
            <w:r w:rsidR="00BE63E2">
              <w:rPr>
                <w:rFonts w:ascii="Arial" w:eastAsia="Times New Roman" w:hAnsi="Arial" w:cs="Arial"/>
                <w:color w:val="000000"/>
                <w:lang w:val="en-GB" w:eastAsia="es-CO"/>
              </w:rPr>
              <w:t>Appendix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 S1)</w:t>
            </w:r>
            <w:r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.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The affirmative answer to each item of the question is 1 </w:t>
            </w:r>
            <w:r w:rsidR="000C6D96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while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the highest possible value for the total sum of activities is 7, including the “other” category.</w:t>
            </w:r>
          </w:p>
        </w:tc>
      </w:tr>
      <w:tr w:rsidR="007E14E9" w:rsidRPr="0098250D" w14:paraId="7658E028" w14:textId="77777777" w:rsidTr="003E248E">
        <w:trPr>
          <w:trHeight w:val="243"/>
        </w:trPr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DF76" w14:textId="77777777" w:rsidR="007E14E9" w:rsidRPr="0098250D" w:rsidRDefault="007E14E9" w:rsidP="00886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b/>
                <w:bCs/>
                <w:color w:val="000000"/>
                <w:lang w:val="en-GB" w:eastAsia="es-CO"/>
              </w:rPr>
              <w:t>Demographic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8989" w14:textId="77777777" w:rsidR="007E14E9" w:rsidRPr="0098250D" w:rsidRDefault="007E14E9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Age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142D" w14:textId="0667F176" w:rsidR="007E14E9" w:rsidRPr="0098250D" w:rsidRDefault="000C6D96" w:rsidP="00344F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A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ge of the respondent in years 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in 5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categories: Less than 18, 18-30, 31-45, 46-60 and more than 60. 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These were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re-categorized on a numerical scale for the correlation test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as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a number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of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to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5 in ascending order. </w:t>
            </w:r>
          </w:p>
        </w:tc>
      </w:tr>
      <w:tr w:rsidR="007E14E9" w:rsidRPr="0098250D" w14:paraId="6B0A6255" w14:textId="77777777" w:rsidTr="003E248E">
        <w:trPr>
          <w:trHeight w:val="243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C4841" w14:textId="77777777" w:rsidR="007E14E9" w:rsidRPr="0098250D" w:rsidRDefault="007E14E9" w:rsidP="00886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CAD7" w14:textId="4ADEB65B" w:rsidR="007E14E9" w:rsidRPr="0098250D" w:rsidRDefault="007E14E9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Education</w:t>
            </w:r>
            <w:r w:rsidR="002850AD"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 xml:space="preserve"> level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8327" w14:textId="2A145E03" w:rsidR="007E14E9" w:rsidRPr="0098250D" w:rsidRDefault="000C6D96" w:rsidP="00344F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H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ighest level of study achieved by the respondent and has 9 response categories: None, preschool, primary school, high school, cultural workshops, technician, technologist and professional. 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We</w:t>
            </w:r>
            <w:r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re-categorized on 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a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numerical scale for correlation test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s and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a number between 1-9 was assigned to each category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with 1=none to professional =9</w:t>
            </w:r>
          </w:p>
        </w:tc>
      </w:tr>
      <w:tr w:rsidR="007E14E9" w:rsidRPr="0098250D" w14:paraId="2A48CC25" w14:textId="77777777" w:rsidTr="003E248E">
        <w:trPr>
          <w:trHeight w:val="243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B37C4" w14:textId="77777777" w:rsidR="007E14E9" w:rsidRPr="0098250D" w:rsidRDefault="007E14E9" w:rsidP="00886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0870" w14:textId="77777777" w:rsidR="007E14E9" w:rsidRPr="0098250D" w:rsidRDefault="007E14E9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Occupation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66F1" w14:textId="073B717F" w:rsidR="007E14E9" w:rsidRPr="0098250D" w:rsidRDefault="000C6D96" w:rsidP="00344F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>
              <w:rPr>
                <w:rFonts w:ascii="Arial" w:eastAsia="Times New Roman" w:hAnsi="Arial" w:cs="Arial"/>
                <w:color w:val="000000"/>
                <w:lang w:val="en-GB" w:eastAsia="es-CO"/>
              </w:rPr>
              <w:t>T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ype of activity to which the respondent is engaged </w:t>
            </w:r>
            <w:r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in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GB" w:eastAsia="es-CO"/>
              </w:rPr>
              <w:t xml:space="preserve">and has 10 response categories: Home, agriculture, transportation, student, service and commerce, independent, education, health, state and the “other” category. 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These were</w:t>
            </w:r>
            <w:r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re-categorized on a numerical scale for correlation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s: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a number between 1-10 was assigned to each category, respectively.</w:t>
            </w:r>
          </w:p>
        </w:tc>
      </w:tr>
      <w:tr w:rsidR="007E14E9" w:rsidRPr="0098250D" w14:paraId="7D9A336C" w14:textId="77777777" w:rsidTr="003E248E">
        <w:trPr>
          <w:trHeight w:val="243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C81CE" w14:textId="77777777" w:rsidR="007E14E9" w:rsidRPr="0098250D" w:rsidRDefault="007E14E9" w:rsidP="00886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97EC" w14:textId="36E9A8F1" w:rsidR="007E14E9" w:rsidRPr="0098250D" w:rsidRDefault="007E14E9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 xml:space="preserve">Place </w:t>
            </w:r>
            <w:r w:rsidR="003E248E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of residence (</w:t>
            </w:r>
            <w:r w:rsidR="002850AD"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where he/she lived</w:t>
            </w:r>
            <w:r w:rsidR="003E248E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)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1BA3" w14:textId="75D911F6" w:rsidR="007E14E9" w:rsidRPr="0098250D" w:rsidRDefault="000C6D96" w:rsidP="00344F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Respondents p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lace 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of residence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and has </w:t>
            </w:r>
            <w:r w:rsidR="00344FC2">
              <w:rPr>
                <w:rFonts w:ascii="Arial" w:eastAsia="Times New Roman" w:hAnsi="Arial" w:cs="Arial"/>
                <w:color w:val="000000"/>
                <w:lang w:val="en-US" w:eastAsia="es-CO"/>
              </w:rPr>
              <w:t>6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response categories: </w:t>
            </w:r>
            <w:proofErr w:type="spellStart"/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Gacheta</w:t>
            </w:r>
            <w:proofErr w:type="spellEnd"/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, </w:t>
            </w:r>
            <w:proofErr w:type="spellStart"/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Choachi</w:t>
            </w:r>
            <w:proofErr w:type="spellEnd"/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, </w:t>
            </w:r>
            <w:proofErr w:type="spellStart"/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Junin</w:t>
            </w:r>
            <w:proofErr w:type="spellEnd"/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, </w:t>
            </w:r>
            <w:proofErr w:type="spellStart"/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Guasca</w:t>
            </w:r>
            <w:proofErr w:type="spellEnd"/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, La Calera and Non-local. Where “Non-local” refers to people who do not live in the municipalities analyzed. 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These were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re-categorized on a numerical scale for correlation test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s;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a number between 1-6 was assigned to each category, respectively.</w:t>
            </w:r>
          </w:p>
        </w:tc>
      </w:tr>
      <w:tr w:rsidR="007E14E9" w:rsidRPr="0098250D" w14:paraId="5A9C74DE" w14:textId="77777777" w:rsidTr="003E248E">
        <w:trPr>
          <w:trHeight w:val="243"/>
        </w:trPr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B624" w14:textId="77777777" w:rsidR="007E14E9" w:rsidRPr="0098250D" w:rsidRDefault="007E14E9" w:rsidP="00886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b/>
                <w:bCs/>
                <w:color w:val="000000"/>
                <w:lang w:val="en-GB" w:eastAsia="es-CO"/>
              </w:rPr>
              <w:t>Indicators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F38F3" w14:textId="77777777" w:rsidR="007E14E9" w:rsidRPr="0098250D" w:rsidRDefault="007E14E9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Indicator I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B31E" w14:textId="0010D9C8" w:rsidR="007E14E9" w:rsidRPr="0098250D" w:rsidRDefault="000C6D96" w:rsidP="00344F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T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he sum of the answers for the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se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activities: passive recreation, extreme spots and horseback riding in the question that refers to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lastRenderedPageBreak/>
              <w:t xml:space="preserve">the level of agreement with 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these</w:t>
            </w:r>
            <w:r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activities in Chingaza (Question 14, </w:t>
            </w:r>
            <w:r w:rsidR="00BE63E2">
              <w:rPr>
                <w:rFonts w:ascii="Arial" w:eastAsia="Times New Roman" w:hAnsi="Arial" w:cs="Arial"/>
                <w:color w:val="000000"/>
                <w:lang w:val="en-US" w:eastAsia="es-CO"/>
              </w:rPr>
              <w:t>Appendix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S1).</w:t>
            </w:r>
          </w:p>
        </w:tc>
      </w:tr>
      <w:tr w:rsidR="007E14E9" w:rsidRPr="0098250D" w14:paraId="631D1142" w14:textId="77777777" w:rsidTr="003E248E">
        <w:trPr>
          <w:trHeight w:val="243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C42F0" w14:textId="77777777" w:rsidR="007E14E9" w:rsidRPr="0098250D" w:rsidRDefault="007E14E9" w:rsidP="00886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C64F" w14:textId="77777777" w:rsidR="007E14E9" w:rsidRPr="0098250D" w:rsidRDefault="007E14E9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Indicator II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855D" w14:textId="5B07582A" w:rsidR="007E14E9" w:rsidRPr="0098250D" w:rsidRDefault="007E14E9" w:rsidP="00344F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Corresponds to the sum of the answers for: logging, agricultural and livestock activities in the question that refers to the level of agreement with </w:t>
            </w:r>
            <w:r w:rsidR="000C6D96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these </w:t>
            </w:r>
            <w:r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activities in Chingaza (Question 14, </w:t>
            </w:r>
            <w:r w:rsidR="00BE63E2">
              <w:rPr>
                <w:rFonts w:ascii="Arial" w:eastAsia="Times New Roman" w:hAnsi="Arial" w:cs="Arial"/>
                <w:color w:val="000000"/>
                <w:lang w:val="en-US" w:eastAsia="es-CO"/>
              </w:rPr>
              <w:t>Appendix</w:t>
            </w:r>
            <w:r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S1).</w:t>
            </w:r>
          </w:p>
        </w:tc>
      </w:tr>
      <w:tr w:rsidR="007E14E9" w:rsidRPr="0098250D" w14:paraId="28444233" w14:textId="77777777" w:rsidTr="003E248E">
        <w:trPr>
          <w:trHeight w:val="243"/>
        </w:trPr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EDF6" w14:textId="77777777" w:rsidR="007E14E9" w:rsidRPr="0098250D" w:rsidRDefault="007E14E9" w:rsidP="00886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b/>
                <w:bCs/>
                <w:color w:val="000000"/>
                <w:lang w:val="en-GB" w:eastAsia="es-CO"/>
              </w:rPr>
              <w:t>Perception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4E02A" w14:textId="77777777" w:rsidR="007E14E9" w:rsidRPr="0098250D" w:rsidRDefault="007E14E9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Governance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9761" w14:textId="3A2E3C32" w:rsidR="007E14E9" w:rsidRPr="0098250D" w:rsidRDefault="00197524" w:rsidP="00197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Refers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to </w:t>
            </w:r>
            <w:r w:rsidR="000C6D96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respondents willingness to work 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- </w:t>
            </w:r>
            <w:r w:rsidR="000C6D96">
              <w:rPr>
                <w:rFonts w:ascii="Arial" w:eastAsia="Times New Roman" w:hAnsi="Arial" w:cs="Arial"/>
                <w:color w:val="000000"/>
                <w:lang w:val="en-US" w:eastAsia="es-CO"/>
              </w:rPr>
              <w:t>or not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-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with 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institutions</w:t>
            </w:r>
            <w:r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that have presence in </w:t>
            </w:r>
            <w:r w:rsidR="000C6D96">
              <w:rPr>
                <w:rFonts w:ascii="Arial" w:eastAsia="Times New Roman" w:hAnsi="Arial" w:cs="Arial"/>
                <w:color w:val="000000"/>
                <w:lang w:val="en-US" w:eastAsia="es-CO"/>
              </w:rPr>
              <w:t>Chingaza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(Question 15, </w:t>
            </w:r>
            <w:r w:rsidR="00BE63E2">
              <w:rPr>
                <w:rFonts w:ascii="Arial" w:eastAsia="Times New Roman" w:hAnsi="Arial" w:cs="Arial"/>
                <w:color w:val="000000"/>
                <w:lang w:val="en-US" w:eastAsia="es-CO"/>
              </w:rPr>
              <w:t>Appendix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S1)</w:t>
            </w:r>
          </w:p>
        </w:tc>
      </w:tr>
      <w:tr w:rsidR="007E14E9" w:rsidRPr="0098250D" w14:paraId="0E134E53" w14:textId="77777777" w:rsidTr="003E248E">
        <w:trPr>
          <w:trHeight w:val="243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C6FD3" w14:textId="77777777" w:rsidR="007E14E9" w:rsidRPr="0098250D" w:rsidRDefault="007E14E9" w:rsidP="00886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CE90" w14:textId="04E7DB0A" w:rsidR="007E14E9" w:rsidRPr="00CA55AF" w:rsidRDefault="007E14E9" w:rsidP="00CA55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197524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Willingness to</w:t>
            </w:r>
            <w:r w:rsidR="00CA55AF" w:rsidRPr="00197524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 xml:space="preserve"> </w:t>
            </w:r>
            <w:r w:rsidR="00CA55AF" w:rsidRPr="00197524">
              <w:rPr>
                <w:rFonts w:ascii="Arial" w:hAnsi="Arial" w:cs="Arial"/>
                <w:i/>
                <w:lang w:val="en-GB"/>
              </w:rPr>
              <w:t>invest time in conservation-related activities (WITCA).</w:t>
            </w:r>
            <w:r w:rsidR="00CA55AF" w:rsidRPr="00D87DD0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34D25" w14:textId="5E00B6F4" w:rsidR="007E14E9" w:rsidRPr="0098250D" w:rsidRDefault="00197524" w:rsidP="00197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Refers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to how many hours per month </w:t>
            </w:r>
            <w:r w:rsidR="00344FC2">
              <w:rPr>
                <w:rFonts w:ascii="Arial" w:eastAsia="Times New Roman" w:hAnsi="Arial" w:cs="Arial"/>
                <w:color w:val="000000"/>
                <w:lang w:val="en-US" w:eastAsia="es-CO"/>
              </w:rPr>
              <w:t>respondents</w:t>
            </w:r>
            <w:r w:rsidR="00344FC2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are willing to work as volunteer</w:t>
            </w:r>
            <w:r w:rsidR="00344FC2">
              <w:rPr>
                <w:rFonts w:ascii="Arial" w:eastAsia="Times New Roman" w:hAnsi="Arial" w:cs="Arial"/>
                <w:color w:val="000000"/>
                <w:lang w:val="en-US" w:eastAsia="es-CO"/>
              </w:rPr>
              <w:t>s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in activities </w:t>
            </w:r>
            <w:r w:rsidR="00344FC2">
              <w:rPr>
                <w:rFonts w:ascii="Arial" w:eastAsia="Times New Roman" w:hAnsi="Arial" w:cs="Arial"/>
                <w:color w:val="000000"/>
                <w:lang w:val="en-US" w:eastAsia="es-CO"/>
              </w:rPr>
              <w:t>related to th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e restoration, management or care of the ecosystems in Chingaza (Question 15, </w:t>
            </w:r>
            <w:r w:rsidR="00BE63E2">
              <w:rPr>
                <w:rFonts w:ascii="Arial" w:eastAsia="Times New Roman" w:hAnsi="Arial" w:cs="Arial"/>
                <w:color w:val="000000"/>
                <w:lang w:val="en-US" w:eastAsia="es-CO"/>
              </w:rPr>
              <w:t>Appendix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S1).</w:t>
            </w:r>
          </w:p>
        </w:tc>
      </w:tr>
      <w:tr w:rsidR="007E14E9" w:rsidRPr="0098250D" w14:paraId="12400DE3" w14:textId="77777777" w:rsidTr="003E248E">
        <w:trPr>
          <w:trHeight w:val="243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07D61" w14:textId="77777777" w:rsidR="007E14E9" w:rsidRPr="0098250D" w:rsidRDefault="007E14E9" w:rsidP="00886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6A0B2" w14:textId="77777777" w:rsidR="007E14E9" w:rsidRPr="0098250D" w:rsidRDefault="007E14E9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Conservation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97D2" w14:textId="3388C66D" w:rsidR="007E14E9" w:rsidRPr="0098250D" w:rsidRDefault="007E14E9" w:rsidP="00005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Corresponds to agreeing that “Conservation” is a desirable activity in Chingaza (Question 14, </w:t>
            </w:r>
            <w:r w:rsidR="00BE63E2">
              <w:rPr>
                <w:rFonts w:ascii="Arial" w:eastAsia="Times New Roman" w:hAnsi="Arial" w:cs="Arial"/>
                <w:color w:val="000000"/>
                <w:lang w:val="en-US" w:eastAsia="es-CO"/>
              </w:rPr>
              <w:t>Appendix</w:t>
            </w:r>
            <w:r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S1).</w:t>
            </w:r>
          </w:p>
        </w:tc>
      </w:tr>
      <w:tr w:rsidR="007E14E9" w:rsidRPr="0098250D" w14:paraId="59829CC4" w14:textId="77777777" w:rsidTr="003E248E">
        <w:trPr>
          <w:trHeight w:val="243"/>
        </w:trPr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7297" w14:textId="77777777" w:rsidR="007E14E9" w:rsidRPr="0098250D" w:rsidRDefault="007E14E9" w:rsidP="00886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b/>
                <w:bCs/>
                <w:color w:val="000000"/>
                <w:lang w:val="en-GB" w:eastAsia="es-CO"/>
              </w:rPr>
              <w:t>Deforestation and violence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DC61" w14:textId="588B7495" w:rsidR="007E14E9" w:rsidRPr="0098250D" w:rsidRDefault="00147971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Change in deforested</w:t>
            </w:r>
            <w:r w:rsidR="007E14E9"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 xml:space="preserve"> area 2008-2018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40B1" w14:textId="54FAB33B" w:rsidR="007E14E9" w:rsidRPr="0098250D" w:rsidRDefault="00344FC2" w:rsidP="00344F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D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ifference between the area</w:t>
            </w:r>
            <w:r w:rsidR="00D9367C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 of 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deforestation in 2018 relative to 2008, for each studied municipality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.</w:t>
            </w:r>
          </w:p>
        </w:tc>
      </w:tr>
      <w:tr w:rsidR="007E14E9" w:rsidRPr="0098250D" w14:paraId="0EA1C37D" w14:textId="77777777" w:rsidTr="003E248E">
        <w:trPr>
          <w:trHeight w:val="243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FC93" w14:textId="77777777" w:rsidR="007E14E9" w:rsidRPr="0098250D" w:rsidRDefault="007E14E9" w:rsidP="00886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400F" w14:textId="77777777" w:rsidR="007E14E9" w:rsidRPr="0098250D" w:rsidRDefault="007E14E9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Guerrilla attacks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632F" w14:textId="63F7A7DC" w:rsidR="007E14E9" w:rsidRPr="0098250D" w:rsidRDefault="00344FC2" w:rsidP="00344F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T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otal number of attacks carried out by guerrilla groups in the municipality. These data refer to years 1997-2003, and depend on the municipality.</w:t>
            </w:r>
          </w:p>
        </w:tc>
      </w:tr>
      <w:tr w:rsidR="007E14E9" w:rsidRPr="0098250D" w14:paraId="23649C51" w14:textId="77777777" w:rsidTr="003E248E">
        <w:trPr>
          <w:trHeight w:val="243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5BD6" w14:textId="77777777" w:rsidR="007E14E9" w:rsidRPr="0098250D" w:rsidRDefault="007E14E9" w:rsidP="00886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213F" w14:textId="77777777" w:rsidR="007E14E9" w:rsidRPr="0098250D" w:rsidRDefault="007E14E9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Deaths in combat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3525" w14:textId="01386640" w:rsidR="007E14E9" w:rsidRPr="0098250D" w:rsidRDefault="00344FC2" w:rsidP="00344F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T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 xml:space="preserve">otal number of deaths due to attacks or armed clashes. It includes guerrilla, military, paramilitary group and the </w:t>
            </w:r>
            <w:r>
              <w:rPr>
                <w:rFonts w:ascii="Arial" w:eastAsia="Times New Roman" w:hAnsi="Arial" w:cs="Arial"/>
                <w:color w:val="000000"/>
                <w:lang w:val="en-US" w:eastAsia="es-CO"/>
              </w:rPr>
              <w:t>civilian deaths</w:t>
            </w:r>
            <w:r w:rsidR="007E14E9"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, and refers to the same years considered in the variable "guerrilla attacks."</w:t>
            </w:r>
          </w:p>
        </w:tc>
      </w:tr>
      <w:tr w:rsidR="007E14E9" w:rsidRPr="0098250D" w14:paraId="3FD72367" w14:textId="77777777" w:rsidTr="003E248E">
        <w:trPr>
          <w:trHeight w:val="243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D9B07" w14:textId="77777777" w:rsidR="007E14E9" w:rsidRPr="0098250D" w:rsidRDefault="007E14E9" w:rsidP="00886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es-CO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3FF3" w14:textId="5644AF5B" w:rsidR="007E14E9" w:rsidRPr="0098250D" w:rsidRDefault="007E14E9" w:rsidP="00005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</w:pPr>
            <w:r w:rsidRPr="0098250D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Government-guerrilla confrontation</w:t>
            </w:r>
            <w:r w:rsidR="00553029">
              <w:rPr>
                <w:rFonts w:ascii="Arial" w:eastAsia="Times New Roman" w:hAnsi="Arial" w:cs="Arial"/>
                <w:i/>
                <w:color w:val="000000"/>
                <w:lang w:val="en-GB" w:eastAsia="es-CO"/>
              </w:rPr>
              <w:t>s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F1009" w14:textId="77777777" w:rsidR="007E14E9" w:rsidRPr="0098250D" w:rsidRDefault="007E14E9" w:rsidP="00005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CO"/>
              </w:rPr>
            </w:pPr>
            <w:r w:rsidRPr="0098250D">
              <w:rPr>
                <w:rFonts w:ascii="Arial" w:eastAsia="Times New Roman" w:hAnsi="Arial" w:cs="Arial"/>
                <w:color w:val="000000"/>
                <w:lang w:val="en-US" w:eastAsia="es-CO"/>
              </w:rPr>
              <w:t>Refers to the number of clashes between government and guerrilla groups (FARC, ELN and others). It considers the same years as the variable "guerrilla attacks."</w:t>
            </w:r>
          </w:p>
        </w:tc>
      </w:tr>
    </w:tbl>
    <w:p w14:paraId="3B76031B" w14:textId="77777777" w:rsidR="00AD4C77" w:rsidRPr="0098250D" w:rsidRDefault="00AD4C77">
      <w:pPr>
        <w:rPr>
          <w:rFonts w:ascii="Arial" w:hAnsi="Arial" w:cs="Arial"/>
        </w:rPr>
      </w:pPr>
    </w:p>
    <w:sectPr w:rsidR="00AD4C77" w:rsidRPr="0098250D" w:rsidSect="00A30516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Times New Roman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Times New Roman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F1B"/>
    <w:rsid w:val="00016E79"/>
    <w:rsid w:val="000C6D96"/>
    <w:rsid w:val="00147971"/>
    <w:rsid w:val="00165812"/>
    <w:rsid w:val="00197524"/>
    <w:rsid w:val="00203076"/>
    <w:rsid w:val="002850AD"/>
    <w:rsid w:val="00344FC2"/>
    <w:rsid w:val="003E248E"/>
    <w:rsid w:val="004C1818"/>
    <w:rsid w:val="00553029"/>
    <w:rsid w:val="00621D7A"/>
    <w:rsid w:val="007B4037"/>
    <w:rsid w:val="007E14E9"/>
    <w:rsid w:val="008A01DA"/>
    <w:rsid w:val="008F0F1B"/>
    <w:rsid w:val="0098250D"/>
    <w:rsid w:val="00A30516"/>
    <w:rsid w:val="00AA741A"/>
    <w:rsid w:val="00AD4C77"/>
    <w:rsid w:val="00BE63E2"/>
    <w:rsid w:val="00BF7F53"/>
    <w:rsid w:val="00C234DE"/>
    <w:rsid w:val="00CA55AF"/>
    <w:rsid w:val="00D80550"/>
    <w:rsid w:val="00D9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5D3289"/>
  <w15:docId w15:val="{01ECC34F-8F90-47DB-8439-CBE60106D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F1B"/>
    <w:rPr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7F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F53"/>
    <w:rPr>
      <w:rFonts w:ascii="Segoe UI" w:hAnsi="Segoe UI" w:cs="Segoe UI"/>
      <w:sz w:val="18"/>
      <w:szCs w:val="18"/>
      <w:lang w:val="uz-Cyrl-UZ"/>
    </w:rPr>
  </w:style>
  <w:style w:type="character" w:styleId="CommentReference">
    <w:name w:val="annotation reference"/>
    <w:basedOn w:val="DefaultParagraphFont"/>
    <w:uiPriority w:val="99"/>
    <w:semiHidden/>
    <w:unhideWhenUsed/>
    <w:rsid w:val="00CA55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5AF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5A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Sofia Pedraza Narvaez</dc:creator>
  <cp:keywords/>
  <dc:description/>
  <cp:lastModifiedBy>Francisco Escobedo</cp:lastModifiedBy>
  <cp:revision>3</cp:revision>
  <dcterms:created xsi:type="dcterms:W3CDTF">2020-06-09T18:59:00Z</dcterms:created>
  <dcterms:modified xsi:type="dcterms:W3CDTF">2020-06-09T19:00:00Z</dcterms:modified>
</cp:coreProperties>
</file>