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9ADC7A6" w14:textId="1D2E5590" w:rsidR="00BC1DCD" w:rsidRPr="006159FD" w:rsidRDefault="00BC1DCD" w:rsidP="00BC1DCD">
      <w:pPr>
        <w:pStyle w:val="TOCHeading"/>
        <w:rPr>
          <w:rFonts w:ascii="Times New Roman" w:hAnsi="Times New Roman" w:cs="Times New Roman"/>
          <w:color w:val="000000" w:themeColor="text1"/>
          <w:sz w:val="24"/>
          <w:szCs w:val="24"/>
        </w:rPr>
      </w:pPr>
      <w:r w:rsidRPr="006159FD">
        <w:rPr>
          <w:rFonts w:ascii="Times New Roman" w:hAnsi="Times New Roman" w:cs="Times New Roman"/>
          <w:color w:val="000000" w:themeColor="text1"/>
          <w:sz w:val="24"/>
          <w:szCs w:val="24"/>
        </w:rPr>
        <w:t>S</w:t>
      </w:r>
      <w:r w:rsidR="009073D8" w:rsidRPr="006159FD">
        <w:rPr>
          <w:rFonts w:ascii="Times New Roman" w:hAnsi="Times New Roman" w:cs="Times New Roman"/>
          <w:color w:val="000000" w:themeColor="text1"/>
          <w:sz w:val="24"/>
          <w:szCs w:val="24"/>
        </w:rPr>
        <w:t>I 3</w:t>
      </w:r>
      <w:r w:rsidRPr="006159FD">
        <w:rPr>
          <w:rFonts w:ascii="Times New Roman" w:hAnsi="Times New Roman" w:cs="Times New Roman"/>
          <w:color w:val="000000" w:themeColor="text1"/>
          <w:sz w:val="24"/>
          <w:szCs w:val="24"/>
        </w:rPr>
        <w:t>: Decision Trees with assumptions for inclusion criteria for the United Nations SDGs that align with invasive vertebrate eradications on islands</w:t>
      </w:r>
    </w:p>
    <w:p w14:paraId="6D231378" w14:textId="027BF828" w:rsidR="00E67F11" w:rsidRPr="006159FD" w:rsidRDefault="00E67F11">
      <w:pPr>
        <w:pStyle w:val="TOC1"/>
        <w:tabs>
          <w:tab w:val="right" w:leader="underscore" w:pos="9350"/>
        </w:tabs>
        <w:rPr>
          <w:rFonts w:ascii="Times New Roman" w:eastAsiaTheme="minorEastAsia" w:hAnsi="Times New Roman" w:cs="Times New Roman"/>
          <w:b w:val="0"/>
          <w:bCs w:val="0"/>
          <w:i w:val="0"/>
          <w:iCs w:val="0"/>
          <w:noProof/>
        </w:rPr>
      </w:pPr>
      <w:r w:rsidRPr="006159FD">
        <w:rPr>
          <w:rFonts w:ascii="Times New Roman" w:hAnsi="Times New Roman" w:cs="Times New Roman"/>
          <w:color w:val="000000" w:themeColor="text1"/>
        </w:rPr>
        <w:fldChar w:fldCharType="begin"/>
      </w:r>
      <w:r w:rsidRPr="006159FD">
        <w:rPr>
          <w:rFonts w:ascii="Times New Roman" w:hAnsi="Times New Roman" w:cs="Times New Roman"/>
          <w:color w:val="000000" w:themeColor="text1"/>
        </w:rPr>
        <w:instrText xml:space="preserve"> TOC \o "1-3" \h \z \u </w:instrText>
      </w:r>
      <w:r w:rsidRPr="006159FD">
        <w:rPr>
          <w:rFonts w:ascii="Times New Roman" w:hAnsi="Times New Roman" w:cs="Times New Roman"/>
          <w:color w:val="000000" w:themeColor="text1"/>
        </w:rPr>
        <w:fldChar w:fldCharType="separate"/>
      </w:r>
      <w:hyperlink w:anchor="_Toc25838856" w:history="1">
        <w:r w:rsidRPr="006159FD">
          <w:rPr>
            <w:rStyle w:val="Hyperlink"/>
            <w:rFonts w:ascii="Times New Roman" w:hAnsi="Times New Roman" w:cs="Times New Roman"/>
            <w:noProof/>
          </w:rPr>
          <w:t>Goal 1.</w:t>
        </w:r>
        <w:r w:rsidRPr="006159FD">
          <w:rPr>
            <w:rFonts w:ascii="Times New Roman" w:hAnsi="Times New Roman" w:cs="Times New Roman"/>
            <w:noProof/>
            <w:webHidden/>
          </w:rPr>
          <w:tab/>
        </w:r>
        <w:r w:rsidRPr="006159FD">
          <w:rPr>
            <w:rFonts w:ascii="Times New Roman" w:hAnsi="Times New Roman" w:cs="Times New Roman"/>
            <w:noProof/>
            <w:webHidden/>
          </w:rPr>
          <w:fldChar w:fldCharType="begin"/>
        </w:r>
        <w:r w:rsidRPr="006159FD">
          <w:rPr>
            <w:rFonts w:ascii="Times New Roman" w:hAnsi="Times New Roman" w:cs="Times New Roman"/>
            <w:noProof/>
            <w:webHidden/>
          </w:rPr>
          <w:instrText xml:space="preserve"> PAGEREF _Toc25838856 \h </w:instrText>
        </w:r>
        <w:r w:rsidRPr="006159FD">
          <w:rPr>
            <w:rFonts w:ascii="Times New Roman" w:hAnsi="Times New Roman" w:cs="Times New Roman"/>
            <w:noProof/>
            <w:webHidden/>
          </w:rPr>
        </w:r>
        <w:r w:rsidRPr="006159FD">
          <w:rPr>
            <w:rFonts w:ascii="Times New Roman" w:hAnsi="Times New Roman" w:cs="Times New Roman"/>
            <w:noProof/>
            <w:webHidden/>
          </w:rPr>
          <w:fldChar w:fldCharType="separate"/>
        </w:r>
        <w:r w:rsidRPr="006159FD">
          <w:rPr>
            <w:rFonts w:ascii="Times New Roman" w:hAnsi="Times New Roman" w:cs="Times New Roman"/>
            <w:noProof/>
            <w:webHidden/>
          </w:rPr>
          <w:t>2</w:t>
        </w:r>
        <w:r w:rsidRPr="006159FD">
          <w:rPr>
            <w:rFonts w:ascii="Times New Roman" w:hAnsi="Times New Roman" w:cs="Times New Roman"/>
            <w:noProof/>
            <w:webHidden/>
          </w:rPr>
          <w:fldChar w:fldCharType="end"/>
        </w:r>
      </w:hyperlink>
    </w:p>
    <w:p w14:paraId="75AEE724" w14:textId="0741EC57" w:rsidR="00E67F11" w:rsidRPr="006159FD" w:rsidRDefault="00A05554">
      <w:pPr>
        <w:pStyle w:val="TOC1"/>
        <w:tabs>
          <w:tab w:val="right" w:leader="underscore" w:pos="9350"/>
        </w:tabs>
        <w:rPr>
          <w:rFonts w:ascii="Times New Roman" w:eastAsiaTheme="minorEastAsia" w:hAnsi="Times New Roman" w:cs="Times New Roman"/>
          <w:b w:val="0"/>
          <w:bCs w:val="0"/>
          <w:i w:val="0"/>
          <w:iCs w:val="0"/>
          <w:noProof/>
        </w:rPr>
      </w:pPr>
      <w:hyperlink w:anchor="_Toc25838857" w:history="1">
        <w:r w:rsidR="00E67F11" w:rsidRPr="006159FD">
          <w:rPr>
            <w:rStyle w:val="Hyperlink"/>
            <w:rFonts w:ascii="Times New Roman" w:hAnsi="Times New Roman" w:cs="Times New Roman"/>
            <w:noProof/>
          </w:rPr>
          <w:t>Goal 2.</w:t>
        </w:r>
        <w:r w:rsidR="00E67F11" w:rsidRPr="006159FD">
          <w:rPr>
            <w:rFonts w:ascii="Times New Roman" w:hAnsi="Times New Roman" w:cs="Times New Roman"/>
            <w:noProof/>
            <w:webHidden/>
          </w:rPr>
          <w:tab/>
        </w:r>
        <w:r w:rsidR="00E67F11" w:rsidRPr="006159FD">
          <w:rPr>
            <w:rFonts w:ascii="Times New Roman" w:hAnsi="Times New Roman" w:cs="Times New Roman"/>
            <w:noProof/>
            <w:webHidden/>
          </w:rPr>
          <w:fldChar w:fldCharType="begin"/>
        </w:r>
        <w:r w:rsidR="00E67F11" w:rsidRPr="006159FD">
          <w:rPr>
            <w:rFonts w:ascii="Times New Roman" w:hAnsi="Times New Roman" w:cs="Times New Roman"/>
            <w:noProof/>
            <w:webHidden/>
          </w:rPr>
          <w:instrText xml:space="preserve"> PAGEREF _Toc25838857 \h </w:instrText>
        </w:r>
        <w:r w:rsidR="00E67F11" w:rsidRPr="006159FD">
          <w:rPr>
            <w:rFonts w:ascii="Times New Roman" w:hAnsi="Times New Roman" w:cs="Times New Roman"/>
            <w:noProof/>
            <w:webHidden/>
          </w:rPr>
        </w:r>
        <w:r w:rsidR="00E67F11" w:rsidRPr="006159FD">
          <w:rPr>
            <w:rFonts w:ascii="Times New Roman" w:hAnsi="Times New Roman" w:cs="Times New Roman"/>
            <w:noProof/>
            <w:webHidden/>
          </w:rPr>
          <w:fldChar w:fldCharType="separate"/>
        </w:r>
        <w:r w:rsidR="00E67F11" w:rsidRPr="006159FD">
          <w:rPr>
            <w:rFonts w:ascii="Times New Roman" w:hAnsi="Times New Roman" w:cs="Times New Roman"/>
            <w:noProof/>
            <w:webHidden/>
          </w:rPr>
          <w:t>3</w:t>
        </w:r>
        <w:r w:rsidR="00E67F11" w:rsidRPr="006159FD">
          <w:rPr>
            <w:rFonts w:ascii="Times New Roman" w:hAnsi="Times New Roman" w:cs="Times New Roman"/>
            <w:noProof/>
            <w:webHidden/>
          </w:rPr>
          <w:fldChar w:fldCharType="end"/>
        </w:r>
      </w:hyperlink>
    </w:p>
    <w:p w14:paraId="51E6365B" w14:textId="6045F157" w:rsidR="00E67F11" w:rsidRPr="006159FD" w:rsidRDefault="00A05554">
      <w:pPr>
        <w:pStyle w:val="TOC1"/>
        <w:tabs>
          <w:tab w:val="right" w:leader="underscore" w:pos="9350"/>
        </w:tabs>
        <w:rPr>
          <w:rFonts w:ascii="Times New Roman" w:eastAsiaTheme="minorEastAsia" w:hAnsi="Times New Roman" w:cs="Times New Roman"/>
          <w:b w:val="0"/>
          <w:bCs w:val="0"/>
          <w:i w:val="0"/>
          <w:iCs w:val="0"/>
          <w:noProof/>
        </w:rPr>
      </w:pPr>
      <w:hyperlink w:anchor="_Toc25838858" w:history="1">
        <w:r w:rsidR="00E67F11" w:rsidRPr="006159FD">
          <w:rPr>
            <w:rStyle w:val="Hyperlink"/>
            <w:rFonts w:ascii="Times New Roman" w:hAnsi="Times New Roman" w:cs="Times New Roman"/>
            <w:noProof/>
          </w:rPr>
          <w:t>Goal 3.</w:t>
        </w:r>
        <w:r w:rsidR="00E67F11" w:rsidRPr="006159FD">
          <w:rPr>
            <w:rFonts w:ascii="Times New Roman" w:hAnsi="Times New Roman" w:cs="Times New Roman"/>
            <w:noProof/>
            <w:webHidden/>
          </w:rPr>
          <w:tab/>
        </w:r>
        <w:r w:rsidR="00E67F11" w:rsidRPr="006159FD">
          <w:rPr>
            <w:rFonts w:ascii="Times New Roman" w:hAnsi="Times New Roman" w:cs="Times New Roman"/>
            <w:noProof/>
            <w:webHidden/>
          </w:rPr>
          <w:fldChar w:fldCharType="begin"/>
        </w:r>
        <w:r w:rsidR="00E67F11" w:rsidRPr="006159FD">
          <w:rPr>
            <w:rFonts w:ascii="Times New Roman" w:hAnsi="Times New Roman" w:cs="Times New Roman"/>
            <w:noProof/>
            <w:webHidden/>
          </w:rPr>
          <w:instrText xml:space="preserve"> PAGEREF _Toc25838858 \h </w:instrText>
        </w:r>
        <w:r w:rsidR="00E67F11" w:rsidRPr="006159FD">
          <w:rPr>
            <w:rFonts w:ascii="Times New Roman" w:hAnsi="Times New Roman" w:cs="Times New Roman"/>
            <w:noProof/>
            <w:webHidden/>
          </w:rPr>
        </w:r>
        <w:r w:rsidR="00E67F11" w:rsidRPr="006159FD">
          <w:rPr>
            <w:rFonts w:ascii="Times New Roman" w:hAnsi="Times New Roman" w:cs="Times New Roman"/>
            <w:noProof/>
            <w:webHidden/>
          </w:rPr>
          <w:fldChar w:fldCharType="separate"/>
        </w:r>
        <w:r w:rsidR="00E67F11" w:rsidRPr="006159FD">
          <w:rPr>
            <w:rFonts w:ascii="Times New Roman" w:hAnsi="Times New Roman" w:cs="Times New Roman"/>
            <w:noProof/>
            <w:webHidden/>
          </w:rPr>
          <w:t>4</w:t>
        </w:r>
        <w:r w:rsidR="00E67F11" w:rsidRPr="006159FD">
          <w:rPr>
            <w:rFonts w:ascii="Times New Roman" w:hAnsi="Times New Roman" w:cs="Times New Roman"/>
            <w:noProof/>
            <w:webHidden/>
          </w:rPr>
          <w:fldChar w:fldCharType="end"/>
        </w:r>
      </w:hyperlink>
    </w:p>
    <w:p w14:paraId="07C018A7" w14:textId="4BFEE1F0" w:rsidR="00E67F11" w:rsidRPr="006159FD" w:rsidRDefault="00A05554">
      <w:pPr>
        <w:pStyle w:val="TOC1"/>
        <w:tabs>
          <w:tab w:val="right" w:leader="underscore" w:pos="9350"/>
        </w:tabs>
        <w:rPr>
          <w:rFonts w:ascii="Times New Roman" w:eastAsiaTheme="minorEastAsia" w:hAnsi="Times New Roman" w:cs="Times New Roman"/>
          <w:b w:val="0"/>
          <w:bCs w:val="0"/>
          <w:i w:val="0"/>
          <w:iCs w:val="0"/>
          <w:noProof/>
        </w:rPr>
      </w:pPr>
      <w:hyperlink w:anchor="_Toc25838859" w:history="1">
        <w:r w:rsidR="00E67F11" w:rsidRPr="006159FD">
          <w:rPr>
            <w:rStyle w:val="Hyperlink"/>
            <w:rFonts w:ascii="Times New Roman" w:hAnsi="Times New Roman" w:cs="Times New Roman"/>
            <w:noProof/>
          </w:rPr>
          <w:t>Goal 4.</w:t>
        </w:r>
        <w:r w:rsidR="00E67F11" w:rsidRPr="006159FD">
          <w:rPr>
            <w:rFonts w:ascii="Times New Roman" w:hAnsi="Times New Roman" w:cs="Times New Roman"/>
            <w:noProof/>
            <w:webHidden/>
          </w:rPr>
          <w:tab/>
        </w:r>
        <w:r w:rsidR="00E67F11" w:rsidRPr="006159FD">
          <w:rPr>
            <w:rFonts w:ascii="Times New Roman" w:hAnsi="Times New Roman" w:cs="Times New Roman"/>
            <w:noProof/>
            <w:webHidden/>
          </w:rPr>
          <w:fldChar w:fldCharType="begin"/>
        </w:r>
        <w:r w:rsidR="00E67F11" w:rsidRPr="006159FD">
          <w:rPr>
            <w:rFonts w:ascii="Times New Roman" w:hAnsi="Times New Roman" w:cs="Times New Roman"/>
            <w:noProof/>
            <w:webHidden/>
          </w:rPr>
          <w:instrText xml:space="preserve"> PAGEREF _Toc25838859 \h </w:instrText>
        </w:r>
        <w:r w:rsidR="00E67F11" w:rsidRPr="006159FD">
          <w:rPr>
            <w:rFonts w:ascii="Times New Roman" w:hAnsi="Times New Roman" w:cs="Times New Roman"/>
            <w:noProof/>
            <w:webHidden/>
          </w:rPr>
        </w:r>
        <w:r w:rsidR="00E67F11" w:rsidRPr="006159FD">
          <w:rPr>
            <w:rFonts w:ascii="Times New Roman" w:hAnsi="Times New Roman" w:cs="Times New Roman"/>
            <w:noProof/>
            <w:webHidden/>
          </w:rPr>
          <w:fldChar w:fldCharType="separate"/>
        </w:r>
        <w:r w:rsidR="00E67F11" w:rsidRPr="006159FD">
          <w:rPr>
            <w:rFonts w:ascii="Times New Roman" w:hAnsi="Times New Roman" w:cs="Times New Roman"/>
            <w:noProof/>
            <w:webHidden/>
          </w:rPr>
          <w:t>5</w:t>
        </w:r>
        <w:r w:rsidR="00E67F11" w:rsidRPr="006159FD">
          <w:rPr>
            <w:rFonts w:ascii="Times New Roman" w:hAnsi="Times New Roman" w:cs="Times New Roman"/>
            <w:noProof/>
            <w:webHidden/>
          </w:rPr>
          <w:fldChar w:fldCharType="end"/>
        </w:r>
      </w:hyperlink>
    </w:p>
    <w:p w14:paraId="6F7E7F1B" w14:textId="18B6DE92" w:rsidR="00E67F11" w:rsidRPr="006159FD" w:rsidRDefault="00A05554">
      <w:pPr>
        <w:pStyle w:val="TOC1"/>
        <w:tabs>
          <w:tab w:val="right" w:leader="underscore" w:pos="9350"/>
        </w:tabs>
        <w:rPr>
          <w:rFonts w:ascii="Times New Roman" w:eastAsiaTheme="minorEastAsia" w:hAnsi="Times New Roman" w:cs="Times New Roman"/>
          <w:b w:val="0"/>
          <w:bCs w:val="0"/>
          <w:i w:val="0"/>
          <w:iCs w:val="0"/>
          <w:noProof/>
        </w:rPr>
      </w:pPr>
      <w:hyperlink w:anchor="_Toc25838860" w:history="1">
        <w:r w:rsidR="00E67F11" w:rsidRPr="006159FD">
          <w:rPr>
            <w:rStyle w:val="Hyperlink"/>
            <w:rFonts w:ascii="Times New Roman" w:hAnsi="Times New Roman" w:cs="Times New Roman"/>
            <w:noProof/>
          </w:rPr>
          <w:t>Goal 6.</w:t>
        </w:r>
        <w:r w:rsidR="00E67F11" w:rsidRPr="006159FD">
          <w:rPr>
            <w:rFonts w:ascii="Times New Roman" w:hAnsi="Times New Roman" w:cs="Times New Roman"/>
            <w:noProof/>
            <w:webHidden/>
          </w:rPr>
          <w:tab/>
        </w:r>
        <w:r w:rsidR="00E67F11" w:rsidRPr="006159FD">
          <w:rPr>
            <w:rFonts w:ascii="Times New Roman" w:hAnsi="Times New Roman" w:cs="Times New Roman"/>
            <w:noProof/>
            <w:webHidden/>
          </w:rPr>
          <w:fldChar w:fldCharType="begin"/>
        </w:r>
        <w:r w:rsidR="00E67F11" w:rsidRPr="006159FD">
          <w:rPr>
            <w:rFonts w:ascii="Times New Roman" w:hAnsi="Times New Roman" w:cs="Times New Roman"/>
            <w:noProof/>
            <w:webHidden/>
          </w:rPr>
          <w:instrText xml:space="preserve"> PAGEREF _Toc25838860 \h </w:instrText>
        </w:r>
        <w:r w:rsidR="00E67F11" w:rsidRPr="006159FD">
          <w:rPr>
            <w:rFonts w:ascii="Times New Roman" w:hAnsi="Times New Roman" w:cs="Times New Roman"/>
            <w:noProof/>
            <w:webHidden/>
          </w:rPr>
        </w:r>
        <w:r w:rsidR="00E67F11" w:rsidRPr="006159FD">
          <w:rPr>
            <w:rFonts w:ascii="Times New Roman" w:hAnsi="Times New Roman" w:cs="Times New Roman"/>
            <w:noProof/>
            <w:webHidden/>
          </w:rPr>
          <w:fldChar w:fldCharType="separate"/>
        </w:r>
        <w:r w:rsidR="00E67F11" w:rsidRPr="006159FD">
          <w:rPr>
            <w:rFonts w:ascii="Times New Roman" w:hAnsi="Times New Roman" w:cs="Times New Roman"/>
            <w:noProof/>
            <w:webHidden/>
          </w:rPr>
          <w:t>6</w:t>
        </w:r>
        <w:r w:rsidR="00E67F11" w:rsidRPr="006159FD">
          <w:rPr>
            <w:rFonts w:ascii="Times New Roman" w:hAnsi="Times New Roman" w:cs="Times New Roman"/>
            <w:noProof/>
            <w:webHidden/>
          </w:rPr>
          <w:fldChar w:fldCharType="end"/>
        </w:r>
      </w:hyperlink>
    </w:p>
    <w:p w14:paraId="62DF10BD" w14:textId="406FD7B8" w:rsidR="00E67F11" w:rsidRPr="006159FD" w:rsidRDefault="00A05554">
      <w:pPr>
        <w:pStyle w:val="TOC1"/>
        <w:tabs>
          <w:tab w:val="right" w:leader="underscore" w:pos="9350"/>
        </w:tabs>
        <w:rPr>
          <w:rFonts w:ascii="Times New Roman" w:eastAsiaTheme="minorEastAsia" w:hAnsi="Times New Roman" w:cs="Times New Roman"/>
          <w:b w:val="0"/>
          <w:bCs w:val="0"/>
          <w:i w:val="0"/>
          <w:iCs w:val="0"/>
          <w:noProof/>
        </w:rPr>
      </w:pPr>
      <w:hyperlink w:anchor="_Toc25838861" w:history="1">
        <w:r w:rsidR="00E67F11" w:rsidRPr="006159FD">
          <w:rPr>
            <w:rStyle w:val="Hyperlink"/>
            <w:rFonts w:ascii="Times New Roman" w:hAnsi="Times New Roman" w:cs="Times New Roman"/>
            <w:noProof/>
          </w:rPr>
          <w:t>Goal 8.</w:t>
        </w:r>
        <w:r w:rsidR="00E67F11" w:rsidRPr="006159FD">
          <w:rPr>
            <w:rFonts w:ascii="Times New Roman" w:hAnsi="Times New Roman" w:cs="Times New Roman"/>
            <w:noProof/>
            <w:webHidden/>
          </w:rPr>
          <w:tab/>
        </w:r>
        <w:r w:rsidR="00E67F11" w:rsidRPr="006159FD">
          <w:rPr>
            <w:rFonts w:ascii="Times New Roman" w:hAnsi="Times New Roman" w:cs="Times New Roman"/>
            <w:noProof/>
            <w:webHidden/>
          </w:rPr>
          <w:fldChar w:fldCharType="begin"/>
        </w:r>
        <w:r w:rsidR="00E67F11" w:rsidRPr="006159FD">
          <w:rPr>
            <w:rFonts w:ascii="Times New Roman" w:hAnsi="Times New Roman" w:cs="Times New Roman"/>
            <w:noProof/>
            <w:webHidden/>
          </w:rPr>
          <w:instrText xml:space="preserve"> PAGEREF _Toc25838861 \h </w:instrText>
        </w:r>
        <w:r w:rsidR="00E67F11" w:rsidRPr="006159FD">
          <w:rPr>
            <w:rFonts w:ascii="Times New Roman" w:hAnsi="Times New Roman" w:cs="Times New Roman"/>
            <w:noProof/>
            <w:webHidden/>
          </w:rPr>
        </w:r>
        <w:r w:rsidR="00E67F11" w:rsidRPr="006159FD">
          <w:rPr>
            <w:rFonts w:ascii="Times New Roman" w:hAnsi="Times New Roman" w:cs="Times New Roman"/>
            <w:noProof/>
            <w:webHidden/>
          </w:rPr>
          <w:fldChar w:fldCharType="separate"/>
        </w:r>
        <w:r w:rsidR="00E67F11" w:rsidRPr="006159FD">
          <w:rPr>
            <w:rFonts w:ascii="Times New Roman" w:hAnsi="Times New Roman" w:cs="Times New Roman"/>
            <w:noProof/>
            <w:webHidden/>
          </w:rPr>
          <w:t>7</w:t>
        </w:r>
        <w:r w:rsidR="00E67F11" w:rsidRPr="006159FD">
          <w:rPr>
            <w:rFonts w:ascii="Times New Roman" w:hAnsi="Times New Roman" w:cs="Times New Roman"/>
            <w:noProof/>
            <w:webHidden/>
          </w:rPr>
          <w:fldChar w:fldCharType="end"/>
        </w:r>
      </w:hyperlink>
    </w:p>
    <w:p w14:paraId="22920C16" w14:textId="671CDE0C" w:rsidR="00E67F11" w:rsidRPr="006159FD" w:rsidRDefault="00A05554">
      <w:pPr>
        <w:pStyle w:val="TOC1"/>
        <w:tabs>
          <w:tab w:val="right" w:leader="underscore" w:pos="9350"/>
        </w:tabs>
        <w:rPr>
          <w:rFonts w:ascii="Times New Roman" w:eastAsiaTheme="minorEastAsia" w:hAnsi="Times New Roman" w:cs="Times New Roman"/>
          <w:b w:val="0"/>
          <w:bCs w:val="0"/>
          <w:i w:val="0"/>
          <w:iCs w:val="0"/>
          <w:noProof/>
        </w:rPr>
      </w:pPr>
      <w:hyperlink w:anchor="_Toc25838862" w:history="1">
        <w:r w:rsidR="00E67F11" w:rsidRPr="006159FD">
          <w:rPr>
            <w:rStyle w:val="Hyperlink"/>
            <w:rFonts w:ascii="Times New Roman" w:hAnsi="Times New Roman" w:cs="Times New Roman"/>
            <w:noProof/>
          </w:rPr>
          <w:t>Goal 9.</w:t>
        </w:r>
        <w:r w:rsidR="00E67F11" w:rsidRPr="006159FD">
          <w:rPr>
            <w:rFonts w:ascii="Times New Roman" w:hAnsi="Times New Roman" w:cs="Times New Roman"/>
            <w:noProof/>
            <w:webHidden/>
          </w:rPr>
          <w:tab/>
        </w:r>
        <w:r w:rsidR="00E67F11" w:rsidRPr="006159FD">
          <w:rPr>
            <w:rFonts w:ascii="Times New Roman" w:hAnsi="Times New Roman" w:cs="Times New Roman"/>
            <w:noProof/>
            <w:webHidden/>
          </w:rPr>
          <w:fldChar w:fldCharType="begin"/>
        </w:r>
        <w:r w:rsidR="00E67F11" w:rsidRPr="006159FD">
          <w:rPr>
            <w:rFonts w:ascii="Times New Roman" w:hAnsi="Times New Roman" w:cs="Times New Roman"/>
            <w:noProof/>
            <w:webHidden/>
          </w:rPr>
          <w:instrText xml:space="preserve"> PAGEREF _Toc25838862 \h </w:instrText>
        </w:r>
        <w:r w:rsidR="00E67F11" w:rsidRPr="006159FD">
          <w:rPr>
            <w:rFonts w:ascii="Times New Roman" w:hAnsi="Times New Roman" w:cs="Times New Roman"/>
            <w:noProof/>
            <w:webHidden/>
          </w:rPr>
        </w:r>
        <w:r w:rsidR="00E67F11" w:rsidRPr="006159FD">
          <w:rPr>
            <w:rFonts w:ascii="Times New Roman" w:hAnsi="Times New Roman" w:cs="Times New Roman"/>
            <w:noProof/>
            <w:webHidden/>
          </w:rPr>
          <w:fldChar w:fldCharType="separate"/>
        </w:r>
        <w:r w:rsidR="00E67F11" w:rsidRPr="006159FD">
          <w:rPr>
            <w:rFonts w:ascii="Times New Roman" w:hAnsi="Times New Roman" w:cs="Times New Roman"/>
            <w:noProof/>
            <w:webHidden/>
          </w:rPr>
          <w:t>8</w:t>
        </w:r>
        <w:r w:rsidR="00E67F11" w:rsidRPr="006159FD">
          <w:rPr>
            <w:rFonts w:ascii="Times New Roman" w:hAnsi="Times New Roman" w:cs="Times New Roman"/>
            <w:noProof/>
            <w:webHidden/>
          </w:rPr>
          <w:fldChar w:fldCharType="end"/>
        </w:r>
      </w:hyperlink>
    </w:p>
    <w:p w14:paraId="57E67145" w14:textId="6FDE3A30" w:rsidR="00E67F11" w:rsidRPr="006159FD" w:rsidRDefault="00A05554">
      <w:pPr>
        <w:pStyle w:val="TOC1"/>
        <w:tabs>
          <w:tab w:val="right" w:leader="underscore" w:pos="9350"/>
        </w:tabs>
        <w:rPr>
          <w:rFonts w:ascii="Times New Roman" w:eastAsiaTheme="minorEastAsia" w:hAnsi="Times New Roman" w:cs="Times New Roman"/>
          <w:b w:val="0"/>
          <w:bCs w:val="0"/>
          <w:i w:val="0"/>
          <w:iCs w:val="0"/>
          <w:noProof/>
        </w:rPr>
      </w:pPr>
      <w:hyperlink w:anchor="_Toc25838863" w:history="1">
        <w:r w:rsidR="00E67F11" w:rsidRPr="006159FD">
          <w:rPr>
            <w:rStyle w:val="Hyperlink"/>
            <w:rFonts w:ascii="Times New Roman" w:hAnsi="Times New Roman" w:cs="Times New Roman"/>
            <w:noProof/>
          </w:rPr>
          <w:t>Goal 11.</w:t>
        </w:r>
        <w:r w:rsidR="00E67F11" w:rsidRPr="006159FD">
          <w:rPr>
            <w:rFonts w:ascii="Times New Roman" w:hAnsi="Times New Roman" w:cs="Times New Roman"/>
            <w:noProof/>
            <w:webHidden/>
          </w:rPr>
          <w:tab/>
        </w:r>
        <w:r w:rsidR="00E67F11" w:rsidRPr="006159FD">
          <w:rPr>
            <w:rFonts w:ascii="Times New Roman" w:hAnsi="Times New Roman" w:cs="Times New Roman"/>
            <w:noProof/>
            <w:webHidden/>
          </w:rPr>
          <w:fldChar w:fldCharType="begin"/>
        </w:r>
        <w:r w:rsidR="00E67F11" w:rsidRPr="006159FD">
          <w:rPr>
            <w:rFonts w:ascii="Times New Roman" w:hAnsi="Times New Roman" w:cs="Times New Roman"/>
            <w:noProof/>
            <w:webHidden/>
          </w:rPr>
          <w:instrText xml:space="preserve"> PAGEREF _Toc25838863 \h </w:instrText>
        </w:r>
        <w:r w:rsidR="00E67F11" w:rsidRPr="006159FD">
          <w:rPr>
            <w:rFonts w:ascii="Times New Roman" w:hAnsi="Times New Roman" w:cs="Times New Roman"/>
            <w:noProof/>
            <w:webHidden/>
          </w:rPr>
        </w:r>
        <w:r w:rsidR="00E67F11" w:rsidRPr="006159FD">
          <w:rPr>
            <w:rFonts w:ascii="Times New Roman" w:hAnsi="Times New Roman" w:cs="Times New Roman"/>
            <w:noProof/>
            <w:webHidden/>
          </w:rPr>
          <w:fldChar w:fldCharType="separate"/>
        </w:r>
        <w:r w:rsidR="00E67F11" w:rsidRPr="006159FD">
          <w:rPr>
            <w:rFonts w:ascii="Times New Roman" w:hAnsi="Times New Roman" w:cs="Times New Roman"/>
            <w:noProof/>
            <w:webHidden/>
          </w:rPr>
          <w:t>9</w:t>
        </w:r>
        <w:r w:rsidR="00E67F11" w:rsidRPr="006159FD">
          <w:rPr>
            <w:rFonts w:ascii="Times New Roman" w:hAnsi="Times New Roman" w:cs="Times New Roman"/>
            <w:noProof/>
            <w:webHidden/>
          </w:rPr>
          <w:fldChar w:fldCharType="end"/>
        </w:r>
      </w:hyperlink>
    </w:p>
    <w:p w14:paraId="3E9456A2" w14:textId="21299D65" w:rsidR="00E67F11" w:rsidRPr="006159FD" w:rsidRDefault="00A05554">
      <w:pPr>
        <w:pStyle w:val="TOC1"/>
        <w:tabs>
          <w:tab w:val="right" w:leader="underscore" w:pos="9350"/>
        </w:tabs>
        <w:rPr>
          <w:rFonts w:ascii="Times New Roman" w:eastAsiaTheme="minorEastAsia" w:hAnsi="Times New Roman" w:cs="Times New Roman"/>
          <w:b w:val="0"/>
          <w:bCs w:val="0"/>
          <w:i w:val="0"/>
          <w:iCs w:val="0"/>
          <w:noProof/>
        </w:rPr>
      </w:pPr>
      <w:hyperlink w:anchor="_Toc25838864" w:history="1">
        <w:r w:rsidR="00E67F11" w:rsidRPr="006159FD">
          <w:rPr>
            <w:rStyle w:val="Hyperlink"/>
            <w:rFonts w:ascii="Times New Roman" w:hAnsi="Times New Roman" w:cs="Times New Roman"/>
            <w:noProof/>
          </w:rPr>
          <w:t>Goal 12.</w:t>
        </w:r>
        <w:r w:rsidR="00E67F11" w:rsidRPr="006159FD">
          <w:rPr>
            <w:rFonts w:ascii="Times New Roman" w:hAnsi="Times New Roman" w:cs="Times New Roman"/>
            <w:noProof/>
            <w:webHidden/>
          </w:rPr>
          <w:tab/>
        </w:r>
        <w:r w:rsidR="00E67F11" w:rsidRPr="006159FD">
          <w:rPr>
            <w:rFonts w:ascii="Times New Roman" w:hAnsi="Times New Roman" w:cs="Times New Roman"/>
            <w:noProof/>
            <w:webHidden/>
          </w:rPr>
          <w:fldChar w:fldCharType="begin"/>
        </w:r>
        <w:r w:rsidR="00E67F11" w:rsidRPr="006159FD">
          <w:rPr>
            <w:rFonts w:ascii="Times New Roman" w:hAnsi="Times New Roman" w:cs="Times New Roman"/>
            <w:noProof/>
            <w:webHidden/>
          </w:rPr>
          <w:instrText xml:space="preserve"> PAGEREF _Toc25838864 \h </w:instrText>
        </w:r>
        <w:r w:rsidR="00E67F11" w:rsidRPr="006159FD">
          <w:rPr>
            <w:rFonts w:ascii="Times New Roman" w:hAnsi="Times New Roman" w:cs="Times New Roman"/>
            <w:noProof/>
            <w:webHidden/>
          </w:rPr>
        </w:r>
        <w:r w:rsidR="00E67F11" w:rsidRPr="006159FD">
          <w:rPr>
            <w:rFonts w:ascii="Times New Roman" w:hAnsi="Times New Roman" w:cs="Times New Roman"/>
            <w:noProof/>
            <w:webHidden/>
          </w:rPr>
          <w:fldChar w:fldCharType="separate"/>
        </w:r>
        <w:r w:rsidR="00E67F11" w:rsidRPr="006159FD">
          <w:rPr>
            <w:rFonts w:ascii="Times New Roman" w:hAnsi="Times New Roman" w:cs="Times New Roman"/>
            <w:noProof/>
            <w:webHidden/>
          </w:rPr>
          <w:t>10</w:t>
        </w:r>
        <w:r w:rsidR="00E67F11" w:rsidRPr="006159FD">
          <w:rPr>
            <w:rFonts w:ascii="Times New Roman" w:hAnsi="Times New Roman" w:cs="Times New Roman"/>
            <w:noProof/>
            <w:webHidden/>
          </w:rPr>
          <w:fldChar w:fldCharType="end"/>
        </w:r>
      </w:hyperlink>
    </w:p>
    <w:p w14:paraId="5BCC5446" w14:textId="27AE5DE5" w:rsidR="00E67F11" w:rsidRPr="006159FD" w:rsidRDefault="00A05554">
      <w:pPr>
        <w:pStyle w:val="TOC1"/>
        <w:tabs>
          <w:tab w:val="right" w:leader="underscore" w:pos="9350"/>
        </w:tabs>
        <w:rPr>
          <w:rFonts w:ascii="Times New Roman" w:eastAsiaTheme="minorEastAsia" w:hAnsi="Times New Roman" w:cs="Times New Roman"/>
          <w:b w:val="0"/>
          <w:bCs w:val="0"/>
          <w:i w:val="0"/>
          <w:iCs w:val="0"/>
          <w:noProof/>
        </w:rPr>
      </w:pPr>
      <w:hyperlink w:anchor="_Toc25838865" w:history="1">
        <w:r w:rsidR="00E67F11" w:rsidRPr="006159FD">
          <w:rPr>
            <w:rStyle w:val="Hyperlink"/>
            <w:rFonts w:ascii="Times New Roman" w:hAnsi="Times New Roman" w:cs="Times New Roman"/>
            <w:noProof/>
          </w:rPr>
          <w:t>Goal 13.</w:t>
        </w:r>
        <w:r w:rsidR="00E67F11" w:rsidRPr="006159FD">
          <w:rPr>
            <w:rFonts w:ascii="Times New Roman" w:hAnsi="Times New Roman" w:cs="Times New Roman"/>
            <w:noProof/>
            <w:webHidden/>
          </w:rPr>
          <w:tab/>
        </w:r>
        <w:r w:rsidR="00E67F11" w:rsidRPr="006159FD">
          <w:rPr>
            <w:rFonts w:ascii="Times New Roman" w:hAnsi="Times New Roman" w:cs="Times New Roman"/>
            <w:noProof/>
            <w:webHidden/>
          </w:rPr>
          <w:fldChar w:fldCharType="begin"/>
        </w:r>
        <w:r w:rsidR="00E67F11" w:rsidRPr="006159FD">
          <w:rPr>
            <w:rFonts w:ascii="Times New Roman" w:hAnsi="Times New Roman" w:cs="Times New Roman"/>
            <w:noProof/>
            <w:webHidden/>
          </w:rPr>
          <w:instrText xml:space="preserve"> PAGEREF _Toc25838865 \h </w:instrText>
        </w:r>
        <w:r w:rsidR="00E67F11" w:rsidRPr="006159FD">
          <w:rPr>
            <w:rFonts w:ascii="Times New Roman" w:hAnsi="Times New Roman" w:cs="Times New Roman"/>
            <w:noProof/>
            <w:webHidden/>
          </w:rPr>
        </w:r>
        <w:r w:rsidR="00E67F11" w:rsidRPr="006159FD">
          <w:rPr>
            <w:rFonts w:ascii="Times New Roman" w:hAnsi="Times New Roman" w:cs="Times New Roman"/>
            <w:noProof/>
            <w:webHidden/>
          </w:rPr>
          <w:fldChar w:fldCharType="separate"/>
        </w:r>
        <w:r w:rsidR="00E67F11" w:rsidRPr="006159FD">
          <w:rPr>
            <w:rFonts w:ascii="Times New Roman" w:hAnsi="Times New Roman" w:cs="Times New Roman"/>
            <w:noProof/>
            <w:webHidden/>
          </w:rPr>
          <w:t>11</w:t>
        </w:r>
        <w:r w:rsidR="00E67F11" w:rsidRPr="006159FD">
          <w:rPr>
            <w:rFonts w:ascii="Times New Roman" w:hAnsi="Times New Roman" w:cs="Times New Roman"/>
            <w:noProof/>
            <w:webHidden/>
          </w:rPr>
          <w:fldChar w:fldCharType="end"/>
        </w:r>
      </w:hyperlink>
    </w:p>
    <w:p w14:paraId="48C9EFF3" w14:textId="6069197B" w:rsidR="00E67F11" w:rsidRPr="006159FD" w:rsidRDefault="00A05554">
      <w:pPr>
        <w:pStyle w:val="TOC1"/>
        <w:tabs>
          <w:tab w:val="right" w:leader="underscore" w:pos="9350"/>
        </w:tabs>
        <w:rPr>
          <w:rFonts w:ascii="Times New Roman" w:eastAsiaTheme="minorEastAsia" w:hAnsi="Times New Roman" w:cs="Times New Roman"/>
          <w:b w:val="0"/>
          <w:bCs w:val="0"/>
          <w:i w:val="0"/>
          <w:iCs w:val="0"/>
          <w:noProof/>
        </w:rPr>
      </w:pPr>
      <w:hyperlink w:anchor="_Toc25838866" w:history="1">
        <w:r w:rsidR="00E67F11" w:rsidRPr="006159FD">
          <w:rPr>
            <w:rStyle w:val="Hyperlink"/>
            <w:rFonts w:ascii="Times New Roman" w:hAnsi="Times New Roman" w:cs="Times New Roman"/>
            <w:noProof/>
          </w:rPr>
          <w:t>Goal 14.</w:t>
        </w:r>
        <w:r w:rsidR="00E67F11" w:rsidRPr="006159FD">
          <w:rPr>
            <w:rFonts w:ascii="Times New Roman" w:hAnsi="Times New Roman" w:cs="Times New Roman"/>
            <w:noProof/>
            <w:webHidden/>
          </w:rPr>
          <w:tab/>
        </w:r>
        <w:r w:rsidR="00E67F11" w:rsidRPr="006159FD">
          <w:rPr>
            <w:rFonts w:ascii="Times New Roman" w:hAnsi="Times New Roman" w:cs="Times New Roman"/>
            <w:noProof/>
            <w:webHidden/>
          </w:rPr>
          <w:fldChar w:fldCharType="begin"/>
        </w:r>
        <w:r w:rsidR="00E67F11" w:rsidRPr="006159FD">
          <w:rPr>
            <w:rFonts w:ascii="Times New Roman" w:hAnsi="Times New Roman" w:cs="Times New Roman"/>
            <w:noProof/>
            <w:webHidden/>
          </w:rPr>
          <w:instrText xml:space="preserve"> PAGEREF _Toc25838866 \h </w:instrText>
        </w:r>
        <w:r w:rsidR="00E67F11" w:rsidRPr="006159FD">
          <w:rPr>
            <w:rFonts w:ascii="Times New Roman" w:hAnsi="Times New Roman" w:cs="Times New Roman"/>
            <w:noProof/>
            <w:webHidden/>
          </w:rPr>
        </w:r>
        <w:r w:rsidR="00E67F11" w:rsidRPr="006159FD">
          <w:rPr>
            <w:rFonts w:ascii="Times New Roman" w:hAnsi="Times New Roman" w:cs="Times New Roman"/>
            <w:noProof/>
            <w:webHidden/>
          </w:rPr>
          <w:fldChar w:fldCharType="separate"/>
        </w:r>
        <w:r w:rsidR="00E67F11" w:rsidRPr="006159FD">
          <w:rPr>
            <w:rFonts w:ascii="Times New Roman" w:hAnsi="Times New Roman" w:cs="Times New Roman"/>
            <w:noProof/>
            <w:webHidden/>
          </w:rPr>
          <w:t>12</w:t>
        </w:r>
        <w:r w:rsidR="00E67F11" w:rsidRPr="006159FD">
          <w:rPr>
            <w:rFonts w:ascii="Times New Roman" w:hAnsi="Times New Roman" w:cs="Times New Roman"/>
            <w:noProof/>
            <w:webHidden/>
          </w:rPr>
          <w:fldChar w:fldCharType="end"/>
        </w:r>
      </w:hyperlink>
    </w:p>
    <w:p w14:paraId="0607140C" w14:textId="7DC1D921" w:rsidR="00E67F11" w:rsidRPr="006159FD" w:rsidRDefault="00A05554">
      <w:pPr>
        <w:pStyle w:val="TOC1"/>
        <w:tabs>
          <w:tab w:val="right" w:leader="underscore" w:pos="9350"/>
        </w:tabs>
        <w:rPr>
          <w:rFonts w:ascii="Times New Roman" w:eastAsiaTheme="minorEastAsia" w:hAnsi="Times New Roman" w:cs="Times New Roman"/>
          <w:b w:val="0"/>
          <w:bCs w:val="0"/>
          <w:i w:val="0"/>
          <w:iCs w:val="0"/>
          <w:noProof/>
        </w:rPr>
      </w:pPr>
      <w:hyperlink w:anchor="_Toc25838867" w:history="1">
        <w:r w:rsidR="00E67F11" w:rsidRPr="006159FD">
          <w:rPr>
            <w:rStyle w:val="Hyperlink"/>
            <w:rFonts w:ascii="Times New Roman" w:hAnsi="Times New Roman" w:cs="Times New Roman"/>
            <w:noProof/>
          </w:rPr>
          <w:t>Goal 15.</w:t>
        </w:r>
        <w:r w:rsidR="00E67F11" w:rsidRPr="006159FD">
          <w:rPr>
            <w:rFonts w:ascii="Times New Roman" w:hAnsi="Times New Roman" w:cs="Times New Roman"/>
            <w:noProof/>
            <w:webHidden/>
          </w:rPr>
          <w:tab/>
        </w:r>
        <w:r w:rsidR="00E67F11" w:rsidRPr="006159FD">
          <w:rPr>
            <w:rFonts w:ascii="Times New Roman" w:hAnsi="Times New Roman" w:cs="Times New Roman"/>
            <w:noProof/>
            <w:webHidden/>
          </w:rPr>
          <w:fldChar w:fldCharType="begin"/>
        </w:r>
        <w:r w:rsidR="00E67F11" w:rsidRPr="006159FD">
          <w:rPr>
            <w:rFonts w:ascii="Times New Roman" w:hAnsi="Times New Roman" w:cs="Times New Roman"/>
            <w:noProof/>
            <w:webHidden/>
          </w:rPr>
          <w:instrText xml:space="preserve"> PAGEREF _Toc25838867 \h </w:instrText>
        </w:r>
        <w:r w:rsidR="00E67F11" w:rsidRPr="006159FD">
          <w:rPr>
            <w:rFonts w:ascii="Times New Roman" w:hAnsi="Times New Roman" w:cs="Times New Roman"/>
            <w:noProof/>
            <w:webHidden/>
          </w:rPr>
        </w:r>
        <w:r w:rsidR="00E67F11" w:rsidRPr="006159FD">
          <w:rPr>
            <w:rFonts w:ascii="Times New Roman" w:hAnsi="Times New Roman" w:cs="Times New Roman"/>
            <w:noProof/>
            <w:webHidden/>
          </w:rPr>
          <w:fldChar w:fldCharType="separate"/>
        </w:r>
        <w:r w:rsidR="00E67F11" w:rsidRPr="006159FD">
          <w:rPr>
            <w:rFonts w:ascii="Times New Roman" w:hAnsi="Times New Roman" w:cs="Times New Roman"/>
            <w:noProof/>
            <w:webHidden/>
          </w:rPr>
          <w:t>13</w:t>
        </w:r>
        <w:r w:rsidR="00E67F11" w:rsidRPr="006159FD">
          <w:rPr>
            <w:rFonts w:ascii="Times New Roman" w:hAnsi="Times New Roman" w:cs="Times New Roman"/>
            <w:noProof/>
            <w:webHidden/>
          </w:rPr>
          <w:fldChar w:fldCharType="end"/>
        </w:r>
      </w:hyperlink>
    </w:p>
    <w:p w14:paraId="5898D0DF" w14:textId="31A41396" w:rsidR="00E67F11" w:rsidRPr="006159FD" w:rsidRDefault="00A05554">
      <w:pPr>
        <w:pStyle w:val="TOC1"/>
        <w:tabs>
          <w:tab w:val="right" w:leader="underscore" w:pos="9350"/>
        </w:tabs>
        <w:rPr>
          <w:rFonts w:ascii="Times New Roman" w:eastAsiaTheme="minorEastAsia" w:hAnsi="Times New Roman" w:cs="Times New Roman"/>
          <w:b w:val="0"/>
          <w:bCs w:val="0"/>
          <w:i w:val="0"/>
          <w:iCs w:val="0"/>
          <w:noProof/>
        </w:rPr>
      </w:pPr>
      <w:hyperlink w:anchor="_Toc25838868" w:history="1">
        <w:r w:rsidR="00E67F11" w:rsidRPr="006159FD">
          <w:rPr>
            <w:rStyle w:val="Hyperlink"/>
            <w:rFonts w:ascii="Times New Roman" w:hAnsi="Times New Roman" w:cs="Times New Roman"/>
            <w:noProof/>
          </w:rPr>
          <w:t>Goal 17.</w:t>
        </w:r>
        <w:r w:rsidR="00E67F11" w:rsidRPr="006159FD">
          <w:rPr>
            <w:rFonts w:ascii="Times New Roman" w:hAnsi="Times New Roman" w:cs="Times New Roman"/>
            <w:noProof/>
            <w:webHidden/>
          </w:rPr>
          <w:tab/>
        </w:r>
        <w:r w:rsidR="00E67F11" w:rsidRPr="006159FD">
          <w:rPr>
            <w:rFonts w:ascii="Times New Roman" w:hAnsi="Times New Roman" w:cs="Times New Roman"/>
            <w:noProof/>
            <w:webHidden/>
          </w:rPr>
          <w:fldChar w:fldCharType="begin"/>
        </w:r>
        <w:r w:rsidR="00E67F11" w:rsidRPr="006159FD">
          <w:rPr>
            <w:rFonts w:ascii="Times New Roman" w:hAnsi="Times New Roman" w:cs="Times New Roman"/>
            <w:noProof/>
            <w:webHidden/>
          </w:rPr>
          <w:instrText xml:space="preserve"> PAGEREF _Toc25838868 \h </w:instrText>
        </w:r>
        <w:r w:rsidR="00E67F11" w:rsidRPr="006159FD">
          <w:rPr>
            <w:rFonts w:ascii="Times New Roman" w:hAnsi="Times New Roman" w:cs="Times New Roman"/>
            <w:noProof/>
            <w:webHidden/>
          </w:rPr>
        </w:r>
        <w:r w:rsidR="00E67F11" w:rsidRPr="006159FD">
          <w:rPr>
            <w:rFonts w:ascii="Times New Roman" w:hAnsi="Times New Roman" w:cs="Times New Roman"/>
            <w:noProof/>
            <w:webHidden/>
          </w:rPr>
          <w:fldChar w:fldCharType="separate"/>
        </w:r>
        <w:r w:rsidR="00E67F11" w:rsidRPr="006159FD">
          <w:rPr>
            <w:rFonts w:ascii="Times New Roman" w:hAnsi="Times New Roman" w:cs="Times New Roman"/>
            <w:noProof/>
            <w:webHidden/>
          </w:rPr>
          <w:t>14</w:t>
        </w:r>
        <w:r w:rsidR="00E67F11" w:rsidRPr="006159FD">
          <w:rPr>
            <w:rFonts w:ascii="Times New Roman" w:hAnsi="Times New Roman" w:cs="Times New Roman"/>
            <w:noProof/>
            <w:webHidden/>
          </w:rPr>
          <w:fldChar w:fldCharType="end"/>
        </w:r>
      </w:hyperlink>
    </w:p>
    <w:p w14:paraId="7991E3E8" w14:textId="028EE69B" w:rsidR="00E67F11" w:rsidRPr="006159FD" w:rsidRDefault="00A05554">
      <w:pPr>
        <w:pStyle w:val="TOC1"/>
        <w:tabs>
          <w:tab w:val="right" w:leader="underscore" w:pos="9350"/>
        </w:tabs>
        <w:rPr>
          <w:rFonts w:ascii="Times New Roman" w:eastAsiaTheme="minorEastAsia" w:hAnsi="Times New Roman" w:cs="Times New Roman"/>
          <w:b w:val="0"/>
          <w:bCs w:val="0"/>
          <w:i w:val="0"/>
          <w:iCs w:val="0"/>
          <w:noProof/>
        </w:rPr>
      </w:pPr>
      <w:hyperlink w:anchor="_Toc25838869" w:history="1">
        <w:r w:rsidR="00E67F11" w:rsidRPr="006159FD">
          <w:rPr>
            <w:rStyle w:val="Hyperlink"/>
            <w:rFonts w:ascii="Times New Roman" w:hAnsi="Times New Roman" w:cs="Times New Roman"/>
            <w:noProof/>
          </w:rPr>
          <w:t>References</w:t>
        </w:r>
        <w:r w:rsidR="00E67F11" w:rsidRPr="006159FD">
          <w:rPr>
            <w:rFonts w:ascii="Times New Roman" w:hAnsi="Times New Roman" w:cs="Times New Roman"/>
            <w:noProof/>
            <w:webHidden/>
          </w:rPr>
          <w:tab/>
        </w:r>
        <w:r w:rsidR="00E67F11" w:rsidRPr="006159FD">
          <w:rPr>
            <w:rFonts w:ascii="Times New Roman" w:hAnsi="Times New Roman" w:cs="Times New Roman"/>
            <w:noProof/>
            <w:webHidden/>
          </w:rPr>
          <w:fldChar w:fldCharType="begin"/>
        </w:r>
        <w:r w:rsidR="00E67F11" w:rsidRPr="006159FD">
          <w:rPr>
            <w:rFonts w:ascii="Times New Roman" w:hAnsi="Times New Roman" w:cs="Times New Roman"/>
            <w:noProof/>
            <w:webHidden/>
          </w:rPr>
          <w:instrText xml:space="preserve"> PAGEREF _Toc25838869 \h </w:instrText>
        </w:r>
        <w:r w:rsidR="00E67F11" w:rsidRPr="006159FD">
          <w:rPr>
            <w:rFonts w:ascii="Times New Roman" w:hAnsi="Times New Roman" w:cs="Times New Roman"/>
            <w:noProof/>
            <w:webHidden/>
          </w:rPr>
        </w:r>
        <w:r w:rsidR="00E67F11" w:rsidRPr="006159FD">
          <w:rPr>
            <w:rFonts w:ascii="Times New Roman" w:hAnsi="Times New Roman" w:cs="Times New Roman"/>
            <w:noProof/>
            <w:webHidden/>
          </w:rPr>
          <w:fldChar w:fldCharType="separate"/>
        </w:r>
        <w:r w:rsidR="00E67F11" w:rsidRPr="006159FD">
          <w:rPr>
            <w:rFonts w:ascii="Times New Roman" w:hAnsi="Times New Roman" w:cs="Times New Roman"/>
            <w:noProof/>
            <w:webHidden/>
          </w:rPr>
          <w:t>15</w:t>
        </w:r>
        <w:r w:rsidR="00E67F11" w:rsidRPr="006159FD">
          <w:rPr>
            <w:rFonts w:ascii="Times New Roman" w:hAnsi="Times New Roman" w:cs="Times New Roman"/>
            <w:noProof/>
            <w:webHidden/>
          </w:rPr>
          <w:fldChar w:fldCharType="end"/>
        </w:r>
      </w:hyperlink>
    </w:p>
    <w:p w14:paraId="61F96CF2" w14:textId="6CE146DF" w:rsidR="002F03F3" w:rsidRPr="006159FD" w:rsidRDefault="00E67F11" w:rsidP="003236C0">
      <w:pPr>
        <w:pStyle w:val="Heading1"/>
        <w:rPr>
          <w:rFonts w:ascii="Times New Roman" w:hAnsi="Times New Roman" w:cs="Times New Roman"/>
          <w:color w:val="000000" w:themeColor="text1"/>
          <w:sz w:val="24"/>
          <w:szCs w:val="24"/>
        </w:rPr>
      </w:pPr>
      <w:r w:rsidRPr="006159FD">
        <w:rPr>
          <w:rFonts w:ascii="Times New Roman" w:hAnsi="Times New Roman" w:cs="Times New Roman"/>
          <w:color w:val="000000" w:themeColor="text1"/>
          <w:sz w:val="24"/>
          <w:szCs w:val="24"/>
        </w:rPr>
        <w:fldChar w:fldCharType="end"/>
      </w:r>
    </w:p>
    <w:p w14:paraId="6E7914E9" w14:textId="36240F27" w:rsidR="002F03F3" w:rsidRPr="006159FD" w:rsidRDefault="002F03F3">
      <w:pPr>
        <w:rPr>
          <w:rFonts w:ascii="Times New Roman" w:eastAsiaTheme="majorEastAsia" w:hAnsi="Times New Roman" w:cs="Times New Roman"/>
          <w:color w:val="000000" w:themeColor="text1"/>
        </w:rPr>
      </w:pPr>
      <w:r w:rsidRPr="006159FD">
        <w:rPr>
          <w:rFonts w:ascii="Times New Roman" w:hAnsi="Times New Roman" w:cs="Times New Roman"/>
          <w:color w:val="000000" w:themeColor="text1"/>
        </w:rPr>
        <w:br w:type="page"/>
      </w:r>
    </w:p>
    <w:p w14:paraId="5238E750" w14:textId="1322E33A" w:rsidR="0026712D" w:rsidRPr="006159FD" w:rsidRDefault="0026712D" w:rsidP="003236C0">
      <w:pPr>
        <w:pStyle w:val="Heading1"/>
        <w:rPr>
          <w:rFonts w:ascii="Times New Roman" w:hAnsi="Times New Roman" w:cs="Times New Roman"/>
          <w:color w:val="000000" w:themeColor="text1"/>
          <w:sz w:val="24"/>
          <w:szCs w:val="24"/>
        </w:rPr>
      </w:pPr>
    </w:p>
    <w:p w14:paraId="795D32B0" w14:textId="08E48E52" w:rsidR="0026712D" w:rsidRPr="006159FD" w:rsidRDefault="008158A4">
      <w:pPr>
        <w:rPr>
          <w:rFonts w:ascii="Times New Roman" w:hAnsi="Times New Roman" w:cs="Times New Roman"/>
          <w:color w:val="000000" w:themeColor="text1"/>
        </w:rPr>
      </w:pPr>
      <w:r w:rsidRPr="006159FD">
        <w:rPr>
          <w:rFonts w:ascii="Times New Roman" w:hAnsi="Times New Roman" w:cs="Times New Roman"/>
          <w:noProof/>
          <w:color w:val="000000" w:themeColor="text1"/>
        </w:rPr>
        <w:drawing>
          <wp:inline distT="0" distB="0" distL="0" distR="0" wp14:anchorId="43349B82" wp14:editId="3517B23C">
            <wp:extent cx="5943600" cy="3785235"/>
            <wp:effectExtent l="0" t="0" r="0" b="0"/>
            <wp:docPr id="27" name="Picture 27"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Screenshot 2019-11-28 12.04.33.png"/>
                    <pic:cNvPicPr/>
                  </pic:nvPicPr>
                  <pic:blipFill>
                    <a:blip r:embed="rId11">
                      <a:extLst>
                        <a:ext uri="{28A0092B-C50C-407E-A947-70E740481C1C}">
                          <a14:useLocalDpi xmlns:a14="http://schemas.microsoft.com/office/drawing/2010/main" val="0"/>
                        </a:ext>
                      </a:extLst>
                    </a:blip>
                    <a:stretch>
                      <a:fillRect/>
                    </a:stretch>
                  </pic:blipFill>
                  <pic:spPr>
                    <a:xfrm>
                      <a:off x="0" y="0"/>
                      <a:ext cx="5943600" cy="3785235"/>
                    </a:xfrm>
                    <a:prstGeom prst="rect">
                      <a:avLst/>
                    </a:prstGeom>
                  </pic:spPr>
                </pic:pic>
              </a:graphicData>
            </a:graphic>
          </wp:inline>
        </w:drawing>
      </w:r>
    </w:p>
    <w:p w14:paraId="1D9A6347" w14:textId="6832B88D" w:rsidR="00F43DFC" w:rsidRPr="006159FD" w:rsidRDefault="00BC1DCD" w:rsidP="00F43DFC">
      <w:pPr>
        <w:rPr>
          <w:rFonts w:ascii="Times New Roman" w:hAnsi="Times New Roman" w:cs="Times New Roman"/>
          <w:color w:val="000000" w:themeColor="text1"/>
        </w:rPr>
      </w:pPr>
      <w:bookmarkStart w:id="0" w:name="_Toc25838856"/>
      <w:r w:rsidRPr="006159FD">
        <w:rPr>
          <w:rStyle w:val="Heading1Char"/>
          <w:rFonts w:ascii="Times New Roman" w:hAnsi="Times New Roman" w:cs="Times New Roman"/>
          <w:color w:val="000000" w:themeColor="text1"/>
          <w:sz w:val="24"/>
          <w:szCs w:val="24"/>
        </w:rPr>
        <w:t>Goal 1.</w:t>
      </w:r>
      <w:bookmarkEnd w:id="0"/>
      <w:r w:rsidRPr="006159FD">
        <w:rPr>
          <w:rFonts w:ascii="Times New Roman" w:hAnsi="Times New Roman" w:cs="Times New Roman"/>
          <w:color w:val="000000" w:themeColor="text1"/>
        </w:rPr>
        <w:t xml:space="preserve"> </w:t>
      </w:r>
      <w:r w:rsidR="00F43DFC" w:rsidRPr="006159FD">
        <w:rPr>
          <w:rFonts w:ascii="Times New Roman" w:hAnsi="Times New Roman" w:cs="Times New Roman"/>
          <w:color w:val="000000" w:themeColor="text1"/>
        </w:rPr>
        <w:t>Assumptions and inclusion criteria</w:t>
      </w:r>
    </w:p>
    <w:p w14:paraId="6F5A3AF7" w14:textId="77777777" w:rsidR="0086589D" w:rsidRPr="006159FD" w:rsidRDefault="0086589D" w:rsidP="0086589D">
      <w:pPr>
        <w:pStyle w:val="ListParagraph"/>
        <w:rPr>
          <w:rFonts w:ascii="Times New Roman" w:hAnsi="Times New Roman" w:cs="Times New Roman"/>
          <w:color w:val="000000" w:themeColor="text1"/>
        </w:rPr>
      </w:pPr>
    </w:p>
    <w:p w14:paraId="09142EF4" w14:textId="22ADA020" w:rsidR="00086131" w:rsidRPr="006159FD" w:rsidRDefault="00AB73DF" w:rsidP="00086131">
      <w:pPr>
        <w:pStyle w:val="ListParagraph"/>
        <w:numPr>
          <w:ilvl w:val="0"/>
          <w:numId w:val="2"/>
        </w:numPr>
        <w:rPr>
          <w:rFonts w:ascii="Times New Roman" w:hAnsi="Times New Roman" w:cs="Times New Roman"/>
          <w:color w:val="000000" w:themeColor="text1"/>
        </w:rPr>
      </w:pPr>
      <w:r w:rsidRPr="006159FD">
        <w:rPr>
          <w:rFonts w:ascii="Times New Roman" w:hAnsi="Times New Roman" w:cs="Times New Roman"/>
          <w:color w:val="000000" w:themeColor="text1"/>
        </w:rPr>
        <w:t xml:space="preserve">We used the </w:t>
      </w:r>
      <w:r w:rsidR="005E7A1C" w:rsidRPr="006159FD">
        <w:rPr>
          <w:rFonts w:ascii="Times New Roman" w:hAnsi="Times New Roman" w:cs="Times New Roman"/>
          <w:color w:val="000000" w:themeColor="text1"/>
        </w:rPr>
        <w:t>TIB</w:t>
      </w:r>
      <w:r w:rsidR="00F70E45" w:rsidRPr="006159FD">
        <w:rPr>
          <w:rFonts w:ascii="Times New Roman" w:hAnsi="Times New Roman" w:cs="Times New Roman"/>
          <w:color w:val="000000" w:themeColor="text1"/>
        </w:rPr>
        <w:t xml:space="preserve"> </w:t>
      </w:r>
      <w:r w:rsidR="00F70E45" w:rsidRPr="006159FD">
        <w:rPr>
          <w:rFonts w:ascii="Times New Roman" w:hAnsi="Times New Roman" w:cs="Times New Roman"/>
          <w:color w:val="000000" w:themeColor="text1"/>
        </w:rPr>
        <w:fldChar w:fldCharType="begin" w:fldLock="1"/>
      </w:r>
      <w:r w:rsidR="00A6678D">
        <w:rPr>
          <w:rFonts w:ascii="Times New Roman" w:hAnsi="Times New Roman" w:cs="Times New Roman"/>
          <w:color w:val="000000" w:themeColor="text1"/>
        </w:rPr>
        <w:instrText>ADDIN CSL_CITATION {"citationItems":[{"id":"ITEM-1","itemData":{"URL":"http://tib.islandconservation.org/","accessed":{"date-parts":[["2017","1","17"]]},"author":[{"dropping-particle":"","family":"Threatened Island Biodiversity Database Partners","given":"","non-dropping-particle":"","parse-names":false,"suffix":""}],"id":"ITEM-1","issued":{"date-parts":[["2019"]]},"title":"The Threatened Island Biodiversity Database","type":"webpage"},"uris":["http://www.mendeley.com/documents/?uuid=8ff4bc5d-79cf-40cd-9ca0-83a9f60c1f4e"]}],"mendeley":{"formattedCitation":"(Threatened Island Biodiversity Database Partners 2019)","manualFormatting":"(Threatened Island Biodiversity Database Partners 2019)","plainTextFormattedCitation":"(Threatened Island Biodiversity Database Partners 2019)","previouslyFormattedCitation":"(Threatened Island Biodiversity Database Partners, 2019)"},"properties":{"noteIndex":0},"schema":"https://github.com/citation-style-language/schema/raw/master/csl-citation.json"}</w:instrText>
      </w:r>
      <w:r w:rsidR="00F70E45" w:rsidRPr="006159FD">
        <w:rPr>
          <w:rFonts w:ascii="Times New Roman" w:hAnsi="Times New Roman" w:cs="Times New Roman"/>
          <w:color w:val="000000" w:themeColor="text1"/>
        </w:rPr>
        <w:fldChar w:fldCharType="separate"/>
      </w:r>
      <w:r w:rsidR="001F69D9" w:rsidRPr="006159FD">
        <w:rPr>
          <w:rFonts w:ascii="Times New Roman" w:hAnsi="Times New Roman" w:cs="Times New Roman"/>
          <w:noProof/>
          <w:color w:val="000000" w:themeColor="text1"/>
        </w:rPr>
        <w:t xml:space="preserve">(Threatened Island Biodiversity Database Partners </w:t>
      </w:r>
      <w:r w:rsidR="00EA27B9" w:rsidRPr="006159FD">
        <w:rPr>
          <w:rFonts w:ascii="Times New Roman" w:hAnsi="Times New Roman" w:cs="Times New Roman"/>
          <w:noProof/>
          <w:color w:val="000000" w:themeColor="text1"/>
        </w:rPr>
        <w:t>2019</w:t>
      </w:r>
      <w:r w:rsidR="001F69D9" w:rsidRPr="006159FD">
        <w:rPr>
          <w:rFonts w:ascii="Times New Roman" w:hAnsi="Times New Roman" w:cs="Times New Roman"/>
          <w:noProof/>
          <w:color w:val="000000" w:themeColor="text1"/>
        </w:rPr>
        <w:t>)</w:t>
      </w:r>
      <w:r w:rsidR="00F70E45" w:rsidRPr="006159FD">
        <w:rPr>
          <w:rFonts w:ascii="Times New Roman" w:hAnsi="Times New Roman" w:cs="Times New Roman"/>
          <w:color w:val="000000" w:themeColor="text1"/>
        </w:rPr>
        <w:fldChar w:fldCharType="end"/>
      </w:r>
      <w:r w:rsidR="005E7A1C" w:rsidRPr="006159FD">
        <w:rPr>
          <w:rFonts w:ascii="Times New Roman" w:hAnsi="Times New Roman" w:cs="Times New Roman"/>
          <w:color w:val="000000" w:themeColor="text1"/>
        </w:rPr>
        <w:t xml:space="preserve"> or </w:t>
      </w:r>
      <w:r w:rsidRPr="006159FD">
        <w:rPr>
          <w:rFonts w:ascii="Times New Roman" w:hAnsi="Times New Roman" w:cs="Times New Roman"/>
          <w:color w:val="000000" w:themeColor="text1"/>
        </w:rPr>
        <w:t>DIISE</w:t>
      </w:r>
      <w:r w:rsidR="00F70E45" w:rsidRPr="006159FD">
        <w:rPr>
          <w:rFonts w:ascii="Times New Roman" w:hAnsi="Times New Roman" w:cs="Times New Roman"/>
          <w:color w:val="000000" w:themeColor="text1"/>
        </w:rPr>
        <w:t xml:space="preserve"> </w:t>
      </w:r>
      <w:r w:rsidR="00F70E45" w:rsidRPr="006159FD">
        <w:rPr>
          <w:rFonts w:ascii="Times New Roman" w:hAnsi="Times New Roman" w:cs="Times New Roman"/>
          <w:color w:val="000000" w:themeColor="text1"/>
        </w:rPr>
        <w:fldChar w:fldCharType="begin" w:fldLock="1"/>
      </w:r>
      <w:r w:rsidR="00A6678D">
        <w:rPr>
          <w:rFonts w:ascii="Times New Roman" w:hAnsi="Times New Roman" w:cs="Times New Roman"/>
          <w:color w:val="000000" w:themeColor="text1"/>
        </w:rPr>
        <w:instrText>ADDIN CSL_CITATION {"citationItems":[{"id":"ITEM-1","itemData":{"URL":"http://diise.islandconservation.org/","accessed":{"date-parts":[["2015","1","10"]]},"author":[{"dropping-particle":"","family":"DIISE","given":"","non-dropping-particle":"","parse-names":false,"suffix":""}],"id":"ITEM-1","issued":{"date-parts":[["2018"]]},"title":"The Database of Island Invasive Species Eradications, developed by Island Conservation, Coastal Conservation Action Laboratory UCSC, IUCN SSC Invasive Species Specialist Group, University of Auckland and Landcare Research New Zealand.","type":"webpage"},"uris":["http://www.mendeley.com/documents/?uuid=48c4c132-e979-4ff8-8396-fa0f9ebf9a67"]}],"mendeley":{"formattedCitation":"(DIISE 2018)","manualFormatting":"(DIISE 2019)","plainTextFormattedCitation":"(DIISE 2018)","previouslyFormattedCitation":"(DIISE, 2018)"},"properties":{"noteIndex":0},"schema":"https://github.com/citation-style-language/schema/raw/master/csl-citation.json"}</w:instrText>
      </w:r>
      <w:r w:rsidR="00F70E45" w:rsidRPr="006159FD">
        <w:rPr>
          <w:rFonts w:ascii="Times New Roman" w:hAnsi="Times New Roman" w:cs="Times New Roman"/>
          <w:color w:val="000000" w:themeColor="text1"/>
        </w:rPr>
        <w:fldChar w:fldCharType="separate"/>
      </w:r>
      <w:r w:rsidR="001F69D9" w:rsidRPr="006159FD">
        <w:rPr>
          <w:rFonts w:ascii="Times New Roman" w:hAnsi="Times New Roman" w:cs="Times New Roman"/>
          <w:noProof/>
          <w:color w:val="000000" w:themeColor="text1"/>
        </w:rPr>
        <w:t xml:space="preserve">(DIISE </w:t>
      </w:r>
      <w:r w:rsidR="00EA27B9" w:rsidRPr="006159FD">
        <w:rPr>
          <w:rFonts w:ascii="Times New Roman" w:hAnsi="Times New Roman" w:cs="Times New Roman"/>
          <w:noProof/>
          <w:color w:val="000000" w:themeColor="text1"/>
        </w:rPr>
        <w:t>2019</w:t>
      </w:r>
      <w:r w:rsidR="001F69D9" w:rsidRPr="006159FD">
        <w:rPr>
          <w:rFonts w:ascii="Times New Roman" w:hAnsi="Times New Roman" w:cs="Times New Roman"/>
          <w:noProof/>
          <w:color w:val="000000" w:themeColor="text1"/>
        </w:rPr>
        <w:t>)</w:t>
      </w:r>
      <w:r w:rsidR="00F70E45" w:rsidRPr="006159FD">
        <w:rPr>
          <w:rFonts w:ascii="Times New Roman" w:hAnsi="Times New Roman" w:cs="Times New Roman"/>
          <w:color w:val="000000" w:themeColor="text1"/>
        </w:rPr>
        <w:fldChar w:fldCharType="end"/>
      </w:r>
      <w:r w:rsidRPr="006159FD">
        <w:rPr>
          <w:rFonts w:ascii="Times New Roman" w:hAnsi="Times New Roman" w:cs="Times New Roman"/>
          <w:color w:val="000000" w:themeColor="text1"/>
        </w:rPr>
        <w:t xml:space="preserve"> </w:t>
      </w:r>
      <w:r w:rsidR="005B74F6" w:rsidRPr="006159FD">
        <w:rPr>
          <w:rFonts w:ascii="Times New Roman" w:hAnsi="Times New Roman" w:cs="Times New Roman"/>
          <w:color w:val="000000" w:themeColor="text1"/>
        </w:rPr>
        <w:t xml:space="preserve">databases </w:t>
      </w:r>
      <w:r w:rsidRPr="006159FD">
        <w:rPr>
          <w:rFonts w:ascii="Times New Roman" w:hAnsi="Times New Roman" w:cs="Times New Roman"/>
          <w:color w:val="000000" w:themeColor="text1"/>
        </w:rPr>
        <w:t>to obtain information on presence of humans and considered an island inhabited if at least one person was present. Using the poverty threshold of USD 1.90 day</w:t>
      </w:r>
      <w:r w:rsidRPr="006159FD">
        <w:rPr>
          <w:rFonts w:ascii="Times New Roman" w:hAnsi="Times New Roman" w:cs="Times New Roman"/>
          <w:color w:val="000000" w:themeColor="text1"/>
          <w:vertAlign w:val="superscript"/>
        </w:rPr>
        <w:t>-1</w:t>
      </w:r>
      <w:r w:rsidRPr="006159FD">
        <w:rPr>
          <w:rFonts w:ascii="Times New Roman" w:hAnsi="Times New Roman" w:cs="Times New Roman"/>
          <w:color w:val="000000" w:themeColor="text1"/>
        </w:rPr>
        <w:t xml:space="preserve"> (2011 PPP) established by the World Bank, we considered islands with impoverished communities if any percentage of the population of a country an island was part of lived at or with less than this threshold </w:t>
      </w:r>
      <w:r w:rsidRPr="006159FD">
        <w:rPr>
          <w:rFonts w:ascii="Times New Roman" w:hAnsi="Times New Roman" w:cs="Times New Roman"/>
          <w:color w:val="000000" w:themeColor="text1"/>
        </w:rPr>
        <w:fldChar w:fldCharType="begin" w:fldLock="1"/>
      </w:r>
      <w:r w:rsidR="00A6678D">
        <w:rPr>
          <w:rFonts w:ascii="Times New Roman" w:hAnsi="Times New Roman" w:cs="Times New Roman"/>
          <w:color w:val="000000" w:themeColor="text1"/>
        </w:rPr>
        <w:instrText>ADDIN CSL_CITATION {"citationItems":[{"id":"ITEM-1","itemData":{"URL":"http://povertydata.worldbank.org/Poverty/Home","accessed":{"date-parts":[["2016","2","1"]]},"author":[{"dropping-particle":"","family":"World Bank Group","given":"","non-dropping-particle":"","parse-names":false,"suffix":""}],"id":"ITEM-1","issued":{"date-parts":[["2019"]]},"title":"Poverty and Equity Data Portal","type":"webpage"},"uris":["http://www.mendeley.com/documents/?uuid=1a80eda3-6026-42ba-b68a-35e149ecef7c"]}],"mendeley":{"formattedCitation":"(World Bank Group 2019)","plainTextFormattedCitation":"(World Bank Group 2019)","previouslyFormattedCitation":"(World Bank Group, 2019)"},"properties":{"noteIndex":0},"schema":"https://github.com/citation-style-language/schema/raw/master/csl-citation.json"}</w:instrText>
      </w:r>
      <w:r w:rsidRPr="006159FD">
        <w:rPr>
          <w:rFonts w:ascii="Times New Roman" w:hAnsi="Times New Roman" w:cs="Times New Roman"/>
          <w:color w:val="000000" w:themeColor="text1"/>
        </w:rPr>
        <w:fldChar w:fldCharType="separate"/>
      </w:r>
      <w:r w:rsidR="00A6678D" w:rsidRPr="00A6678D">
        <w:rPr>
          <w:rFonts w:ascii="Times New Roman" w:hAnsi="Times New Roman" w:cs="Times New Roman"/>
          <w:noProof/>
          <w:color w:val="000000" w:themeColor="text1"/>
        </w:rPr>
        <w:t>(World Bank Group 2019)</w:t>
      </w:r>
      <w:r w:rsidRPr="006159FD">
        <w:rPr>
          <w:rFonts w:ascii="Times New Roman" w:hAnsi="Times New Roman" w:cs="Times New Roman"/>
          <w:color w:val="000000" w:themeColor="text1"/>
        </w:rPr>
        <w:fldChar w:fldCharType="end"/>
      </w:r>
      <w:r w:rsidR="00EA27B9" w:rsidRPr="006159FD">
        <w:rPr>
          <w:rFonts w:ascii="Times New Roman" w:hAnsi="Times New Roman" w:cs="Times New Roman"/>
          <w:color w:val="000000" w:themeColor="text1"/>
        </w:rPr>
        <w:t xml:space="preserve"> except for islands identified in the TIB or DIISE databases as a Research Station or Military installation</w:t>
      </w:r>
      <w:r w:rsidRPr="006159FD">
        <w:rPr>
          <w:rFonts w:ascii="Times New Roman" w:hAnsi="Times New Roman" w:cs="Times New Roman"/>
          <w:color w:val="000000" w:themeColor="text1"/>
        </w:rPr>
        <w:t xml:space="preserve">. Islands for which country-level poverty data was lacking were not included in the analysis. Islands were classified as SIDS based on the United Nations classification </w:t>
      </w:r>
      <w:r w:rsidRPr="006159FD">
        <w:rPr>
          <w:rFonts w:ascii="Times New Roman" w:hAnsi="Times New Roman" w:cs="Times New Roman"/>
          <w:color w:val="000000" w:themeColor="text1"/>
        </w:rPr>
        <w:fldChar w:fldCharType="begin" w:fldLock="1"/>
      </w:r>
      <w:r w:rsidR="00A6678D">
        <w:rPr>
          <w:rFonts w:ascii="Times New Roman" w:hAnsi="Times New Roman" w:cs="Times New Roman"/>
          <w:color w:val="000000" w:themeColor="text1"/>
        </w:rPr>
        <w:instrText>ADDIN CSL_CITATION {"citationItems":[{"id":"ITEM-1","itemData":{"DOI":"https://sustainabledevelopment.un.org/post2015/transformingourworld","abstract":"This Agenda is a plan of action for people, planet and prosperity. It also seeks to strengthen universal peace in larger freedom. We recognise that eradicating poverty in all its forms and dimensions, including extreme poverty, is the greatest global challenge and an indispensable requirement for sustainable development. All countries and all stakeholders, acting in collaborative partnership, will implement this plan. We are resolved to free the human race from the tyranny of poverty and want and to heal and secure our planet. We are determined to take the bold and transformative steps which are urgently needed to shift the world onto a sustainable and resilient path. As we embark on this collective journey, we pledge that no one will be left behind. The 17 Sustainable Development Goals and 169 targets which we are announcing today demonstrate the scale and ambition of this new universal Agenda. They seek to build on the Millennium Development Goals and complete what these did not achieve. They seek to realize the human rights of all and to achieve gender equality and the empowerment of all women and girls. They are integrated and indivisible and balance the three dimensions of sustainable development: the economic, social and environmental.","author":[{"dropping-particle":"","family":"United Nations","given":"","non-dropping-particle":"","parse-names":false,"suffix":""}],"container-title":"Sustainable Development Goals","id":"ITEM-1","issued":{"date-parts":[["2015"]]},"page":"1-40a","title":"Transforming our world: the 2030 Agenda for Sustainable Development. United Nations Sustainable knowledge platform","type":"article-journal"},"uris":["http://www.mendeley.com/documents/?uuid=4ca9913b-874b-49ac-8d8b-195383a9af25"]}],"mendeley":{"formattedCitation":"(United Nations 2015)","plainTextFormattedCitation":"(United Nations 2015)","previouslyFormattedCitation":"(United Nations, 2015)"},"properties":{"noteIndex":0},"schema":"https://github.com/citation-style-language/schema/raw/master/csl-citation.json"}</w:instrText>
      </w:r>
      <w:r w:rsidRPr="006159FD">
        <w:rPr>
          <w:rFonts w:ascii="Times New Roman" w:hAnsi="Times New Roman" w:cs="Times New Roman"/>
          <w:color w:val="000000" w:themeColor="text1"/>
        </w:rPr>
        <w:fldChar w:fldCharType="separate"/>
      </w:r>
      <w:r w:rsidR="00A6678D" w:rsidRPr="00A6678D">
        <w:rPr>
          <w:rFonts w:ascii="Times New Roman" w:hAnsi="Times New Roman" w:cs="Times New Roman"/>
          <w:noProof/>
          <w:color w:val="000000" w:themeColor="text1"/>
        </w:rPr>
        <w:t>(United Nations 2015)</w:t>
      </w:r>
      <w:r w:rsidRPr="006159FD">
        <w:rPr>
          <w:rFonts w:ascii="Times New Roman" w:hAnsi="Times New Roman" w:cs="Times New Roman"/>
          <w:color w:val="000000" w:themeColor="text1"/>
        </w:rPr>
        <w:fldChar w:fldCharType="end"/>
      </w:r>
      <w:r w:rsidRPr="006159FD">
        <w:rPr>
          <w:rFonts w:ascii="Times New Roman" w:hAnsi="Times New Roman" w:cs="Times New Roman"/>
          <w:color w:val="000000" w:themeColor="text1"/>
        </w:rPr>
        <w:t xml:space="preserve"> regardless of whether the island was a UN Member or Associate Member.</w:t>
      </w:r>
      <w:r w:rsidR="00086131" w:rsidRPr="006159FD">
        <w:rPr>
          <w:rFonts w:ascii="Times New Roman" w:hAnsi="Times New Roman" w:cs="Times New Roman"/>
          <w:color w:val="000000" w:themeColor="text1"/>
        </w:rPr>
        <w:t xml:space="preserve"> </w:t>
      </w:r>
    </w:p>
    <w:p w14:paraId="7A745FE8" w14:textId="77777777" w:rsidR="00086131" w:rsidRPr="006159FD" w:rsidRDefault="00086131" w:rsidP="00086131">
      <w:pPr>
        <w:pStyle w:val="ListParagraph"/>
        <w:rPr>
          <w:rFonts w:ascii="Times New Roman" w:hAnsi="Times New Roman" w:cs="Times New Roman"/>
          <w:color w:val="000000" w:themeColor="text1"/>
        </w:rPr>
      </w:pPr>
    </w:p>
    <w:p w14:paraId="6659FB17" w14:textId="726F6CFF" w:rsidR="00086131" w:rsidRPr="006159FD" w:rsidRDefault="00086131" w:rsidP="00086131">
      <w:pPr>
        <w:pStyle w:val="ListParagraph"/>
        <w:numPr>
          <w:ilvl w:val="0"/>
          <w:numId w:val="2"/>
        </w:numPr>
        <w:rPr>
          <w:rFonts w:ascii="Times New Roman" w:hAnsi="Times New Roman" w:cs="Times New Roman"/>
          <w:color w:val="000000" w:themeColor="text1"/>
        </w:rPr>
      </w:pPr>
      <w:r w:rsidRPr="006159FD">
        <w:rPr>
          <w:rFonts w:ascii="Times New Roman" w:hAnsi="Times New Roman" w:cs="Times New Roman"/>
          <w:color w:val="000000" w:themeColor="text1"/>
        </w:rPr>
        <w:t>I</w:t>
      </w:r>
      <w:r w:rsidR="00E90A36" w:rsidRPr="006159FD">
        <w:rPr>
          <w:rFonts w:ascii="Times New Roman" w:hAnsi="Times New Roman" w:cs="Times New Roman"/>
          <w:color w:val="000000" w:themeColor="text1"/>
        </w:rPr>
        <w:t>nvasive vertebrate</w:t>
      </w:r>
      <w:r w:rsidRPr="006159FD">
        <w:rPr>
          <w:rFonts w:ascii="Times New Roman" w:hAnsi="Times New Roman" w:cs="Times New Roman"/>
          <w:color w:val="000000" w:themeColor="text1"/>
        </w:rPr>
        <w:t xml:space="preserve"> impacts food sources or health</w:t>
      </w:r>
    </w:p>
    <w:p w14:paraId="3A55B7C9" w14:textId="77777777" w:rsidR="00086131" w:rsidRPr="006159FD" w:rsidRDefault="00086131" w:rsidP="00086131">
      <w:pPr>
        <w:pStyle w:val="ListParagraph"/>
        <w:rPr>
          <w:rFonts w:ascii="Times New Roman" w:hAnsi="Times New Roman" w:cs="Times New Roman"/>
          <w:color w:val="000000" w:themeColor="text1"/>
        </w:rPr>
      </w:pPr>
    </w:p>
    <w:p w14:paraId="250280E4" w14:textId="2BB6FB23" w:rsidR="00086131" w:rsidRPr="006159FD" w:rsidRDefault="003F3B59" w:rsidP="00086131">
      <w:pPr>
        <w:numPr>
          <w:ilvl w:val="1"/>
          <w:numId w:val="2"/>
        </w:numPr>
        <w:rPr>
          <w:rFonts w:ascii="Times New Roman" w:hAnsi="Times New Roman" w:cs="Times New Roman"/>
          <w:color w:val="000000" w:themeColor="text1"/>
        </w:rPr>
      </w:pPr>
      <w:r w:rsidRPr="006159FD">
        <w:rPr>
          <w:rFonts w:ascii="Times New Roman" w:hAnsi="Times New Roman" w:cs="Times New Roman"/>
          <w:color w:val="000000" w:themeColor="text1"/>
        </w:rPr>
        <w:t xml:space="preserve">We assumed </w:t>
      </w:r>
      <w:r w:rsidR="00EA27B9" w:rsidRPr="006159FD">
        <w:rPr>
          <w:rFonts w:ascii="Times New Roman" w:hAnsi="Times New Roman" w:cs="Times New Roman"/>
          <w:color w:val="000000" w:themeColor="text1"/>
        </w:rPr>
        <w:t xml:space="preserve">the </w:t>
      </w:r>
      <w:r w:rsidRPr="006159FD">
        <w:rPr>
          <w:rFonts w:ascii="Times New Roman" w:hAnsi="Times New Roman" w:cs="Times New Roman"/>
          <w:color w:val="000000" w:themeColor="text1"/>
        </w:rPr>
        <w:t>i</w:t>
      </w:r>
      <w:r w:rsidR="00E90A36" w:rsidRPr="006159FD">
        <w:rPr>
          <w:rFonts w:ascii="Times New Roman" w:hAnsi="Times New Roman" w:cs="Times New Roman"/>
          <w:color w:val="000000" w:themeColor="text1"/>
        </w:rPr>
        <w:t>nvasive vertebrate</w:t>
      </w:r>
      <w:r w:rsidR="00086131" w:rsidRPr="006159FD">
        <w:rPr>
          <w:rFonts w:ascii="Times New Roman" w:hAnsi="Times New Roman" w:cs="Times New Roman"/>
          <w:color w:val="000000" w:themeColor="text1"/>
        </w:rPr>
        <w:t xml:space="preserve"> </w:t>
      </w:r>
      <w:r w:rsidRPr="006159FD">
        <w:rPr>
          <w:rFonts w:ascii="Times New Roman" w:hAnsi="Times New Roman" w:cs="Times New Roman"/>
          <w:color w:val="000000" w:themeColor="text1"/>
        </w:rPr>
        <w:t xml:space="preserve">will have </w:t>
      </w:r>
      <w:r w:rsidR="00E90A36" w:rsidRPr="006159FD">
        <w:rPr>
          <w:rFonts w:ascii="Times New Roman" w:hAnsi="Times New Roman" w:cs="Times New Roman"/>
          <w:color w:val="000000" w:themeColor="text1"/>
        </w:rPr>
        <w:t>i</w:t>
      </w:r>
      <w:r w:rsidR="00086131" w:rsidRPr="006159FD">
        <w:rPr>
          <w:rFonts w:ascii="Times New Roman" w:hAnsi="Times New Roman" w:cs="Times New Roman"/>
          <w:color w:val="000000" w:themeColor="text1"/>
        </w:rPr>
        <w:t xml:space="preserve">mpacts </w:t>
      </w:r>
      <w:r w:rsidR="00E90A36" w:rsidRPr="006159FD">
        <w:rPr>
          <w:rFonts w:ascii="Times New Roman" w:hAnsi="Times New Roman" w:cs="Times New Roman"/>
          <w:color w:val="000000" w:themeColor="text1"/>
        </w:rPr>
        <w:t>on h</w:t>
      </w:r>
      <w:r w:rsidR="00086131" w:rsidRPr="006159FD">
        <w:rPr>
          <w:rFonts w:ascii="Times New Roman" w:hAnsi="Times New Roman" w:cs="Times New Roman"/>
          <w:color w:val="000000" w:themeColor="text1"/>
        </w:rPr>
        <w:t>ealth</w:t>
      </w:r>
      <w:r w:rsidRPr="006159FD">
        <w:rPr>
          <w:rFonts w:ascii="Times New Roman" w:hAnsi="Times New Roman" w:cs="Times New Roman"/>
          <w:color w:val="000000" w:themeColor="text1"/>
        </w:rPr>
        <w:t xml:space="preserve"> if</w:t>
      </w:r>
      <w:r w:rsidR="00086131" w:rsidRPr="006159FD">
        <w:rPr>
          <w:rFonts w:ascii="Times New Roman" w:hAnsi="Times New Roman" w:cs="Times New Roman"/>
          <w:color w:val="000000" w:themeColor="text1"/>
        </w:rPr>
        <w:t xml:space="preserve"> </w:t>
      </w:r>
      <w:r w:rsidR="00EA27B9" w:rsidRPr="006159FD">
        <w:rPr>
          <w:rFonts w:ascii="Times New Roman" w:hAnsi="Times New Roman" w:cs="Times New Roman"/>
          <w:color w:val="000000" w:themeColor="text1"/>
        </w:rPr>
        <w:t xml:space="preserve">it is a </w:t>
      </w:r>
      <w:r w:rsidR="00086131" w:rsidRPr="006159FD">
        <w:rPr>
          <w:rFonts w:ascii="Times New Roman" w:hAnsi="Times New Roman" w:cs="Times New Roman"/>
          <w:color w:val="000000" w:themeColor="text1"/>
        </w:rPr>
        <w:t>carrie</w:t>
      </w:r>
      <w:r w:rsidR="00E90A36" w:rsidRPr="006159FD">
        <w:rPr>
          <w:rFonts w:ascii="Times New Roman" w:hAnsi="Times New Roman" w:cs="Times New Roman"/>
          <w:color w:val="000000" w:themeColor="text1"/>
        </w:rPr>
        <w:t>r of</w:t>
      </w:r>
      <w:r w:rsidR="00086131" w:rsidRPr="006159FD">
        <w:rPr>
          <w:rFonts w:ascii="Times New Roman" w:hAnsi="Times New Roman" w:cs="Times New Roman"/>
          <w:color w:val="000000" w:themeColor="text1"/>
        </w:rPr>
        <w:t xml:space="preserve"> zoonotic </w:t>
      </w:r>
      <w:r w:rsidRPr="006159FD">
        <w:rPr>
          <w:rFonts w:ascii="Times New Roman" w:hAnsi="Times New Roman" w:cs="Times New Roman"/>
          <w:color w:val="000000" w:themeColor="text1"/>
        </w:rPr>
        <w:t xml:space="preserve">pathogens </w:t>
      </w:r>
      <w:r w:rsidR="00086131" w:rsidRPr="006159FD">
        <w:rPr>
          <w:rFonts w:ascii="Times New Roman" w:hAnsi="Times New Roman" w:cs="Times New Roman"/>
          <w:color w:val="000000" w:themeColor="text1"/>
        </w:rPr>
        <w:t>(cats, rodents, dogs)</w:t>
      </w:r>
      <w:r w:rsidR="0048606D" w:rsidRPr="006159FD">
        <w:rPr>
          <w:rFonts w:ascii="Times New Roman" w:hAnsi="Times New Roman" w:cs="Times New Roman"/>
          <w:color w:val="000000" w:themeColor="text1"/>
        </w:rPr>
        <w:t xml:space="preserve"> </w:t>
      </w:r>
      <w:r w:rsidR="0048606D"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{"citationItems":[{"id":"ITEM-1","itemData":{"DOI":"10.4269/ajtmh.16-0573","author":[{"dropping-particle":"","family":"Wit","given":"Luz A","non-dropping-particle":"de","parse-names":false,"suffix":""},{"dropping-particle":"","family":"Croll","given":"Donald A","non-dropping-particle":"","parse-names":false,"suffix":""},{"dropping-particle":"","family":"Tershy","given":"Bernie","non-dropping-particle":"","parse-names":false,"suffix":""},{"dropping-particle":"","family":"Newton","given":"Kelly M","non-dropping-particle":"","parse-names":false,"suffix":""},{"dropping-particle":"","family":"Spatz","given":"Dena R","non-dropping-particle":"","parse-names":false,"suffix":""},{"dropping-particle":"","family":"Holmes","given":"Nick D","non-dropping-particle":"","parse-names":false,"suffix":""},{"dropping-particle":"","family":"Kilpatrick","given":"A Marm","non-dropping-particle":"","parse-names":false,"suffix":""}],"container-title":"American Journal of Tropical Medicine and Hygiene","id":"ITEM-1","issue":"3","issued":{"date-parts":[["2017"]]},"page":"749-757","title":"Estimating Burdens of Neglected Tropical Zoonotic Diseases on Islands with Introduced Mammals","type":"article-journal","volume":"96"},"uris":["http://www.mendeley.com/documents/?uuid=ecbb8534-88f1-42ed-974c-b15630230d28"]},{"id":"ITEM-2","itemData":{"DOI":"10.1371/journal.pntd.0000368","author":[{"dropping-particle":"","family":"Lv","given":"Shan","non-dropping-particle":"","parse-names":false,"suffix":""},{"dropping-particle":"","family":"Zhang","given":"Yi","non-dropping-particle":"","parse-names":false,"suffix":""},{"dropping-particle":"","family":"Liu","given":"He-xiang","non-dropping-particle":"","parse-names":false,"suffix":""},{"dropping-particle":"","family":"Hu","given":"Ling","non-dropping-particle":"","parse-names":false,"suffix":""},{"dropping-particle":"","family":"Yang","given":"Kun","non-dropping-particle":"","parse-names":false,"suffix":""},{"dropping-particle":"","family":"Steinmann","given":"Peter","non-dropping-particle":"","parse-names":false,"suffix":""},{"dropping-particle":"","family":"Chen","given":"Zhao","non-dropping-particle":"","parse-names":false,"suffix":""},{"dropping-particle":"","family":"Zhou","given":"Xiao-nong","non-dropping-particle":"","parse-names":false,"suffix":""}],"container-title":"PLoS Neglected Tropical Diseases","id":"ITEM-2","issue":"2","issued":{"date-parts":[["2009"]]},"page":"1-8","title":"Invasive Snails and an Emerging Infectious Disease : Results from the First National Survey on Angiostrongylus cantonensis in China","type":"article-journal","volume":"3"},"uris":["http://www.mendeley.com/documents/?uuid=35dcdb22-ad24-40c8-b47e-e8c0e46d3c66"]},{"id":"ITEM-3","itemData":{"DOI":"10.1071/WR14201","ISSN":"10353712","abstract":"This review aims to synthesise knowledge regarding the taxonomy of South-east Asian murine rodents and the challenges associated with the identification of habitat preferences and associated rodent-borne diseases. Recent studies concerning the Rattini tribe have identified unclear species boundaries that would benefit from further investigation. The development of barcoding may allow more accurate identification of rodents, specifically for complex species. However, knowledge on the distribution and habitat specialisations of many common murine rodents is still scarce, particularly regarding the specific habitat preferences of most synanthropic rodent species (Rattus tanezumi or Rattus exulans). Several studies have analysed the prevalence of major rodent-borne diseases in South-east Asia and it appears that the greatest risk of rodent zoonoses are in the lowland rain-fed and irrigated landscapes, generally in and around rice fields.","author":[{"dropping-particle":"","family":"Blasdell","given":"Kim","non-dropping-particle":"","parse-names":false,"suffix":""},{"dropping-particle":"","family":"Bordes","given":"Frédéric","non-dropping-particle":"","parse-names":false,"suffix":""},{"dropping-particle":"","family":"Chaisiri","given":"Kittipong","non-dropping-particle":"","parse-names":false,"suffix":""},{"dropping-particle":"","family":"Chaval","given":"Yannick","non-dropping-particle":"","parse-names":false,"suffix":""},{"dropping-particle":"","family":"Claude","given":"Julien","non-dropping-particle":"","parse-names":false,"suffix":""},{"dropping-particle":"","family":"Cosson","given":"Jean François","non-dropping-particle":"","parse-names":false,"suffix":""},{"dropping-particle":"","family":"Latinne","given":"Alice","non-dropping-particle":"","parse-names":false,"suffix":""},{"dropping-particle":"","family":"Michaux","given":"Johan","non-dropping-particle":"","parse-names":false,"suffix":""},{"dropping-particle":"","family":"Morand","given":"Serge","non-dropping-particle":"","parse-names":false,"suffix":""},{"dropping-particle":"","family":"Pagès","given":"Marie","non-dropping-particle":"","parse-names":false,"suffix":""},{"dropping-particle":"","family":"Tran","given":"Annelise","non-dropping-particle":"","parse-names":false,"suffix":""}],"container-title":"Wildlife Research","id":"ITEM-3","issue":"2","issued":{"date-parts":[["2015"]]},"page":"98-107","title":"Progress on research on rodents and rodent-borne zoonoses in South-east Asia","type":"article-journal","volume":"42"},"uris":["http://www.mendeley.com/documents/?uuid=0f60ee48-0967-407d-826c-684e537d6c2c"]},{"id":"ITEM-4","itemData":{"DOI":"10.1089/vbz.2013.1375","ISSN":"15577759","abstract":"The presence of bartonellae in invasive rats (Rattus rattus) and indigenous rodents (Arvicanthis niloticus and Cricetomys gambianus) from two districts in Uganda, Arua and Zombo, was examined by PCR detection and culture. Blood from a total of 228 R. rattus, 31 A. niloticus, and 5 C. gambianus was screened using genus-specific primers targeting the 16S-23S intergenic spacer region. Furthermore, rodent blood was plated on brain heart infusion blood agar, and isolates were verified as Bartonella species using citrate synthase gene- (gltA) specific primers. One hundred and four fleas recovered from R. rattus were also tested for the presence of Bartonella species using the same gltA primer set. An overall prevalence of 1.3% (three of 228) was obtained in R. rattus, whereas 61.3% of 31 A. niloticus and 60% of five C. gambianus were positive for the presence of Bartonella species. Genotypes related to Bartonella elizabethae, a known zoonotic pathogen, were detected in three R. rattus and one C. gambianus. Bartonella strains, similar to bacteria detected in indigenous rodents from other African countries, were isolated from the blood of A. niloticus. Bartonellae, similar to bacteria initially cultured from Ornithodorus sonrai (soft tick) from Senegal, were found in two C. gambianus. Interestingly, bartonellae detected in fleas from invasive rats were similar to bacteria identified in indigenous rodents and not their rat hosts, with an overall prevalence of 6.7%. These results suggest that if fleas are competent vectors of these bartonellae, humans residing in these two districts of Uganda are potentially at greater risk for exposure to Bartonella species from native rodents than from invasive rats. The low prevalence of bartonellae in R. rattus was quite surprising, in contrast, to the detection of these organisms in a large percentage of Rattus species from other geographical areas. A possible reason for this disparity is discussed. © Mary Ann Liebert, Inc.","author":[{"dropping-particle":"","family":"Billeter","given":"Sarah A.","non-dropping-particle":"","parse-names":false,"suffix":""},{"dropping-particle":"","family":"Borchert","given":"Jeff N.","non-dropping-particle":"","parse-names":false,"suffix":""},{"dropping-particle":"","family":"Atiku","given":"Linda A.","non-dropping-particle":"","parse-names":false,"suffix":""},{"dropping-particle":"","family":"Mpanga","given":"Joseph T.","non-dropping-particle":"","parse-names":false,"suffix":""},{"dropping-particle":"","family":"Gage","given":"Kenneth L.","non-dropping-particle":"","parse-names":false,"suffix":""},{"dropping-particle":"","family":"Kosoy","given":"Michael Y.","non-dropping-particle":"","parse-names":false,"suffix":""}],"container-title":"Vector-Borne and Zoonotic Diseases","id":"ITEM-4","issue":"3","issued":{"date-parts":[["2014"]]},"page":"182-188","title":"Bartonella species in invasive rats and indigenous rodents from Uganda","type":"article-journal","volume":"14"},"uris":["http://www.mendeley.com/documents/?uuid=d3a9387a-dd81-47f6-8e61-429e1688e8af"]},{"id":"ITEM-5","itemData":{"DOI":"10.5070/v425110574","author":[{"dropping-particle":"","family":"Julius, Rolanda","given":"S.","non-dropping-particle":"","parse-names":false,"suffix":""},{"dropping-particle":"","family":"Bastos, Armanda","given":"D.","non-dropping-particle":"","parse-names":false,"suffix":""},{"dropping-particle":"","family":"Chimimba, Christian","given":"T.","non-dropping-particle":"","parse-names":false,"suffix":""},{"dropping-particle":"","family":"Brettschneider","given":"Helene","non-dropping-particle":"","parse-names":false,"suffix":""}],"container-title":"Proceedings of the Vertebrate Pest Conference","id":"ITEM-5","issued":{"date-parts":[["2012"]]},"page":"261-266","title":"Dynamics of Rodent-Borne Zoonotic Diseases and Their Reservoir Hosts: Invasive Rattus in South Africa","type":"article-journal","volume":"25"},"uris":["http://www.mendeley.com/documents/?uuid=5707bec9-cc8d-421f-ad1d-01c53d1c34ea"]},{"id":"ITEM-6","itemData":{"DOI":"10.1111/1749-4877.12143","ISSN":"17494877","abstract":"We summarize the current knowledge on parasitism-related invasion processes of the globally invasive Rattus lineages, originating from Asia, and how these invasions have impacted the local epidemiology of rodent-borne diseases. Parasites play an important role in the invasion processes and successes of their hosts through multiple biological mechanisms such as \"parasite release,\" \"immunocompetence advantage,\" \"biotic resistance\" and \"novel weapon.\" Parasites may also greatly increase the impact of invasions by spillover of parasites and other pathogens, introduced with invasive hosts, into new hosts, potentially leading to novel emerging diseases. Another potential impact is the ability of the invader to amplify local parasites by spillback. In both cases, local fauna and humans may be exposed to new health risks, which may decrease biodiversity and potentially cause increases in human morbidity and mortality. Here we review the current knowledge on these processes and propose some research priorities.","author":[{"dropping-particle":"","family":"Morand","given":"Serge","non-dropping-particle":"","parse-names":false,"suffix":""},{"dropping-particle":"","family":"Bordes","given":"Frédéric","non-dropping-particle":"","parse-names":false,"suffix":""},{"dropping-particle":"","family":"Chen","given":"Hsuan Wien","non-dropping-particle":"","parse-names":false,"suffix":""},{"dropping-particle":"","family":"Claude","given":"Julien","non-dropping-particle":"","parse-names":false,"suffix":""},{"dropping-particle":"","family":"Cosson","given":"Jean François","non-dropping-particle":"","parse-names":false,"suffix":""},{"dropping-particle":"","family":"Galan","given":"Maxime","non-dropping-particle":"","parse-names":false,"suffix":""},{"dropping-particle":"","family":"Czirják","given":"Gábor A.","non-dropping-particle":"","parse-names":false,"suffix":""},{"dropping-particle":"","family":"Greenwood","given":"Alex D.","non-dropping-particle":"","parse-names":false,"suffix":""},{"dropping-particle":"","family":"Latinne","given":"Alice","non-dropping-particle":"","parse-names":false,"suffix":""},{"dropping-particle":"","family":"Michaux","given":"Johan","non-dropping-particle":"","parse-names":false,"suffix":""},{"dropping-particle":"","family":"Ribas","given":"Alexis","non-dropping-particle":"","parse-names":false,"suffix":""}],"container-title":"Integrative Zoology","id":"ITEM-6","issue":"5","issued":{"date-parts":[["2015"]]},"page":"409-423","title":"Global parasite and Rattus rodent invasions: The consequences for rodent-borne diseases","type":"article-journal","volume":"10"},"uris":["http://www.mendeley.com/documents/?uuid=d4e6f651-b8d6-46bb-b5c2-ce947b102345"]},{"id":"ITEM-7","itemData":{"DOI":"10.1371/journal.pntd.0006615","ISBN":"1111111111","ISSN":"19352735","abstract":"Bioinvasion is a major public health issue because it can lead to the introduction of pathogens in new areas and favours the emergence of zoonotic diseases. Rodents are prominent invasive species, and act as reservoirs in many zoonotic infectious diseases. The aim of this study was to determine the link between the distribution and spread of two parasite taxa (Leishmania spp. and Trypanosoma lewisi) and the progressive invasion of Senegal by two commensal rodent species (the house mouse Mus musculus domesticus and the black rat Rattus rattus). M. m. domesticus and R. rattus have invaded the northern part and the central/southern part of the country, respectively. Native and invasive rodents were caught in villages and cities along the invasion gradients of both invaders, from coastal localities towards the interior of the land. Molecular diagnosis of the two trypanosomatid infections was performed using spleen specimens. In the north, neither M. m. domesticus nor the native species were carriers of these parasites. Conversely, in the south, 17.5% of R. rattus were infected by L. major and 27.8% by T. lewisi, while very few commensal native rodents were carriers. Prevalence pattern along invasion gradients, together with the knowledge on the geographical distribution of the parasites, suggested that the presence of the two parasites in R. rattus in Senegal is of different origins. Indeed, the invader R. rattus could have been locally infected by the native parasite L. major. Conversely, it could have introduced the exotic parasite T. lewisi in Senegal, the latter appearing to be poorly transmitted to native rodents. Altogether, these data show that R. rattus is a carrier of both parasites and could be responsible for the emergence of new foci of cutaneous leishmaniasis, or for the transmission of atypical human trypanosomiasis in Senegal.","author":[{"dropping-particle":"","family":"Cassan","given":"Cécile","non-dropping-particle":"","parse-names":false,"suffix":""},{"dropping-particle":"","family":"Diagne","given":"Christophe A.","non-dropping-particle":"","parse-names":false,"suffix":""},{"dropping-particle":"","family":"Tatard","given":"Caroline","non-dropping-particle":"","parse-names":false,"suffix":""},{"dropping-particle":"","family":"Gauthier","given":"Philippe","non-dropping-particle":"","parse-names":false,"suffix":""},{"dropping-particle":"","family":"Dalecky","given":"Ambroise","non-dropping-particle":"","parse-names":false,"suffix":""},{"dropping-particle":"","family":"Bâ","given":"Khalilou","non-dropping-particle":"","parse-names":false,"suffix":""},{"dropping-particle":"","family":"Kane","given":"Mamadou","non-dropping-particle":"","parse-names":false,"suffix":""},{"dropping-particle":"","family":"Niang","given":"Youssoupha","non-dropping-particle":"","parse-names":false,"suffix":""},{"dropping-particle":"","family":"Diallo","given":"Mamoudou","non-dropping-particle":"","parse-names":false,"suffix":""},{"dropping-particle":"","family":"Sow","given":"Aliou","non-dropping-particle":"","parse-names":false,"suffix":""},{"dropping-particle":"","family":"Brouat","given":"Carine","non-dropping-particle":"","parse-names":false,"suffix":""},{"dropping-particle":"","family":"Bañuls","given":"Anne Laure","non-dropping-particle":"","parse-names":false,"suffix":""}],"container-title":"PLoS Neglected Tropical Diseases","id":"ITEM-7","issue":"6","issued":{"date-parts":[["2018"]]},"page":"1-21","title":"Leishmania major and Trypanosoma lewisi infection in invasive and native rodents in Senegal","type":"article-journal","volume":"12"},"uris":["http://www.mendeley.com/documents/?uuid=854d8c75-c14e-4e36-94d4-43707595bb50"]},{"id":"ITEM-8","itemData":{"DOI":"10.1007/s10344-011-0600-4","ISBN":"1034401106","ISSN":"16124642","abstract":"From the past, species have been transferred among ecosystems trough traveling and global trade. The establishment and spread of such invasive species has caused significant damage to the economy, the environment, and human or native species health. This review compiles information on infections or contact with pathogens reported in raccoons (Procyon lotor). Raccoons are opportunistic carnivores native to North America. However, nowadays they are distributed across mainland Europe as a result of escaped pets and introductions. In their native range, raccoons are known to be host to a number of disease agents that could be transmitted to humans, domestic animals and other wildlife. Hence, the increase of raccoon populations and their geographic spread in Europe may result in new disease hazards. Raccoons have been identified as possible sentinels of diseases such as West Nile virus, and they pose a disease-related conservation risk by maintaining circulation of canine distemper virus. They also have the potential to participate in the maintenance of zoonoses including the raccoon roundworm Baylisascaris procyonis. Due its fast expansion and the large list of diseases, we conclude that the introduction of the raccoon has had adverse effects on health in Europe. This might well be the case of other invasive species, too. Hence, studies on invasive species health aspects are urgently needed to assess the risk of disease spread and eventually establish control measures. © 2011 Springer-Verlag.","author":[{"dropping-particle":"","family":"Beltrán-Beck","given":"Beatriz","non-dropping-particle":"","parse-names":false,"suffix":""},{"dropping-particle":"","family":"García","given":"Francisco José","non-dropping-particle":"","parse-names":false,"suffix":""},{"dropping-particle":"","family":"Gortázar","given":"Christian","non-dropping-particle":"","parse-names":false,"suffix":""}],"container-title":"European Journal of Wildlife Research","id":"ITEM-8","issue":"1","issued":{"date-parts":[["2012"]]},"page":"5-15","title":"Raccoons in Europe: Disease hazards due to the establishment of an invasive species","type":"article-journal","volume":"58"},"uris":["http://www.mendeley.com/documents/?uuid=5fb26227-dd25-4570-800e-9697b8676ea2"]},{"id":"ITEM-9","itemData":{"DOI":"10.1016/j.vetpar.2011.07.014","ISSN":"03044017","abstract":"The close emotional tie between people and companion animals is a beneficial relation known as the human-animal bond. However, pet dogs and cats can play an important role in the transmission of helminthic zoonotic agents such as the tapeworms Echinococcus and the roundworms Toxocara which are directly transmitted from pets to the human environment without the involvement of vectors or intermediate hosts. In humans, echinococcosis has emerged in Europe and toxocarosis is still persisting in large endemic areas despite the availability of highly efficient anthelminthics for dogs and cats. Ecological changes significantly contributed to these trends: the high wild fox populations and the high density of freely roaming dogs and cats maintain a permanent infection pressure of these and other parasites. Further, the establishment of urban recreational environments closer to natural ecological systems boosted vole populations that represent urban reservoirs for zoonotic helminths. A good understanding of the parasites' biology and epidemiology including the transmission to humans is required for planning and implementing effective prevention strategies. The continuous education of veterinarians and the information of the pet owners by providing uniform recommendations are of priority importance. A close collaboration between veterinary and public health professionals in a 'One Health' concept is required. © 2011 Elsevier B.V.","author":[{"dropping-particle":"","family":"Deplazes","given":"Peter","non-dropping-particle":"","parse-names":false,"suffix":""},{"dropping-particle":"","family":"Knapen","given":"Frans","non-dropping-particle":"van","parse-names":false,"suffix":""},{"dropping-particle":"","family":"Schweiger","given":"Alexander","non-dropping-particle":"","parse-names":false,"suffix":""},{"dropping-particle":"","family":"Overgaauw","given":"Paul A.M.","non-dropping-particle":"","parse-names":false,"suffix":""}],"container-title":"Veterinary Parasitology","id":"ITEM-9","issue":"1","issued":{"date-parts":[["2011"]]},"page":"41-53","publisher":"Elsevier B.V.","title":"Role of pet dogs and cats in the transmission of helminthic zoonoses in Europe, with a focus on echinococcosis and toxocarosis","type":"article-journal","volume":"182"},"uris":["http://www.mendeley.com/documents/?uuid=e658ac0a-a94c-4bab-aac5-823cc6c1aafa"]},{"id":"ITEM-10","itemData":{"DOI":"10.1016/S0020-7519(00)00122-3","ISSN":"00207519","PMID":"11113260","abstract":"As our ability to recognise and diagnose human disease caused by helminth parasites has improved, so our understanding of the epidemiology and clinical manifestations of these diseases has improved. Humans can develop patent infection with a wide range of helminth parasites, whose natural host is another vertebrate. Rather than focusing on a comprehensive review of zoonotic helminth infections, this review describes in detail examples of zoonotic helminth infections that have newly appeared in human populations, or have existed but are increasing in incidence or geographic range. Examples include intestinal capillariasis, anisakidosis, eosinophilic enteritis, oesophagostomiasis and gnathostomiasis. Potential reasons for the emergence of these infections, including changes in social, dietary or cultural mores, environmental changes, and the improved recognition of heretofore neglected infections often coupled with an improved ability to diagnose infection are discussed. Copyright (C) 2000 .","author":[{"dropping-particle":"","family":"McCarthy","given":"James","non-dropping-particle":"","parse-names":false,"suffix":""},{"dropping-particle":"","family":"Moore","given":"Thomas A.","non-dropping-particle":"","parse-names":false,"suffix":""}],"container-title":"International Journal for Parasitology","id":"ITEM-10","issue":"12-13","issued":{"date-parts":[["2000"]]},"page":"1351-1359","title":"Emerging helminth zoonoses","type":"article-journal","volume":"30"},"uris":["http://www.mendeley.com/documents/?uuid=d900e027-2011-409e-8d97-ab42140f3d7f"]},{"id":"ITEM-11","itemData":{"DOI":"10.1080/10408410902989837","ISBN":"1040841090","ISSN":"1040841X","abstract":"Rodents are the most abundant and diversified order of living mammals in the world. Already since the Middle Ages we know that they can contribute to human disease, as black rats were associated with distribution of plague. However, also in modern times rodents form a threat for public health. In this review article a large number of pathogens that are directly or indirectly transmitted by rodents are described. Moreover, a simplified rodent disease model is discussed. © 2009 Informa UK Ltd.","author":[{"dropping-particle":"","family":"Meerburg","given":"Bastiaan G.","non-dropping-particle":"","parse-names":false,"suffix":""},{"dropping-particle":"","family":"Singleton","given":"Grant R.","non-dropping-particle":"","parse-names":false,"suffix":""},{"dropping-particle":"","family":"Kijlstra","given":"Aize","non-dropping-particle":"","parse-names":false,"suffix":""}],"container-title":"Critical Reviews in Microbiology","id":"ITEM-11","issue":"3","issued":{"date-parts":[["2009"]]},"number-of-pages":"221-270","title":"Rodent-borne diseases and their risks for public health Rodent-borne diseases and their risks for public health","type":"book","volume":"35"},"uris":["http://www.mendeley.com/documents/?uuid=f28ebd48-7e63-47e5-b3c1-efaa7114ec34"]},{"id":"ITEM-12","itemData":{"DOI":"10.1371/journal.pntd.0000320","abstract":"Visceral pentastomiasis in humans is caused by the larval stages (nymphs) of the arthropod-related tongue worms Linguatula serrata, Armillifer armillatus, A. moniliformis, A. grandis, and Porocephalus crotali. The majority of cases has been reported from Africa, Malaysia, and the Middle East, where visceral pentastomiasis may be an incidental finding in autopsies, and less often from China and Latin America. In Europe and North America, the disease is only rarely encountered in immigrants and long-term travelers, and the parasitic lesions may be confused with malignancies, leading to a delay in the correct diagnosis. Since clinical symptoms are variable and serological tests are not readily available, the diagnosis often relies on histopathological examinations. This laboratory symposium focuses on the diagnosis of this unusual parasitic disease and presents its risk factors and epidemiology. © 2009 Tappe, Büttner.","author":[{"dropping-particle":"","family":"Tappe","given":"Dennis","non-dropping-particle":"","parse-names":false,"suffix":""},{"dropping-particle":"","family":"Büttner","given":"Dietrich W.","non-dropping-particle":"","parse-names":false,"suffix":""}],"container-title":"PLoS Neglected Tropical Diseases","id":"ITEM-12","issue":"2","issued":{"date-parts":[["2009"]]},"title":"Diagnosis of human visceral pentastomiasis","type":"article-journal","volume":"3"},"uris":["http://www.mendeley.com/documents/?uuid=cab0d638-fb05-4029-9985-dcb878d3172d"]},{"id":"ITEM-13","itemData":{"DOI":"10.1007/s13364-013-0138-9","ISSN":"00017051","abstract":"Invasive wildlife species have the potential to act as additional host and vector species for infectious diseases. The raccoon dog (Nyctereutes procyonides), a carnivore species that has its origin in Asia, was taken as an example to demonstrate biological and ecological prerequisites which enables an invasive species to occupy a new habitat permanently. Studies conducted during the last 20 years identified a total of 35 species of endoparasites, five ectoparasites, six bacterial or protozoan species, and five viruses found in the subspecies Nyctereutes procyonoides ussuriensis in its original and newly occupied habitat or in Nyctereutes procyonoides koreensis in its original habitat, respectively. With reference to raccoon dogs impact as vector species and the relevance for human and animal health, we selected Trichinella spp., Echinococcus multilocularis, Francisella tularensis, rabies virus, and canine distemper virus for detailed description. Results of studies from Finland and Germany furthermore showed that biological characteristics of the raccoon dog make this carnivore an ideal host and vector for a variety of pathogens. This may result in a growing importance of this invasive species concerning the epidemiology of some transmissible diseases in Europe, including the hazard that the existence of autochthonous wildlife, particularly small populations, is endangered. Potential adverse effects on human and animal health in the livestock sector must also be taken into account. Especially with regard to its potential as a reservoir for zoonotic diseases, the raccoon dog should receive more attention in disease prevention and eradication strategies. © 2013 Mammal Research Institute, Polish Academy of Sciences, Białowieża, Poland.","author":[{"dropping-particle":"","family":"Sutor","given":"Astrid","non-dropping-particle":"","parse-names":false,"suffix":""},{"dropping-particle":"","family":"Schwarz","given":"Sabine","non-dropping-particle":"","parse-names":false,"suffix":""},{"dropping-particle":"","family":"Conraths","given":"Franz Josef","non-dropping-particle":"","parse-names":false,"suffix":""}],"container-title":"Acta Theriologica","id":"ITEM-13","issue":"1","issued":{"date-parts":[["2014"]]},"page":"49-59","title":"The biological potential of the raccoon dog (Nyctereutes procyonoides, Gray 1834) as an invasive species in Europe-new risks for disease spread?","type":"article-journal","volume":"59"},"uris":["http://www.mendeley.com/documents/?uuid=46ac0025-6658-46cd-b6ef-c56415f06e79"]},{"id":"ITEM-14","itemData":{"DOI":"10.1371/journal.pone.0096358","ISSN":"19326203","abstract":"The raccoon dog (Nyctereutes procyonoides) is an introduced species in Europe with a continually expanding range. Since the species is capable of affecting local ecosystems and is a vector for a number of severe zoonotic diseases, it is important to understand its food habits. Raccoon dog diet was studied in Estonia by examining the contents of 223 stomach samples collected during the coldest period of the year, August to March, in 2010-2012. The most frequently consumed food categories were anthropogenic plants (e.g. cereals, fruits; FO = 56.1%) and carrion (e.g. carcasses of artiodactyls and carnivores; FO = 48.4%). Carrion was also the only food category that was consumed significantly more frequently by raccoon dogs exhibiting symptoms of sarcoptic mange than by uninfected animals. Small mammals, which represent intermediate hosts for the zoonotic tapeworm Echinococcus multilocularis, were more commonly recorded in samples also containing anthropogenic plants than expected by chance. Comparison of raccoon dog and red fox (Vulpes vulpes) diet in Estonia revealed higher overlap than found elsewhere in Europe, with 'carrion' and 'anthropogenic plants' making up the bulk of both species' diet; however, raccoon dogs were more omnivorous than red foxes. Our results suggest that while the use of most food categories reflects the phenology of natural food sources, 'anthropogenic plants' and 'carrion' provide an essential resource for raccoon dogs during the coldest period of the year, with the latter resource especially important for individuals infected with sarcoptic mange. Since both of these food categories and small mammals are often found at supplementary feeding sites for wild boar (Sus scrofa), this game management practice may facilitate high densities of mesocarnivores and promote the spread of some severe zoonotic diseases, including alveolar echinococcosis, trichinellosis, rabies and sarcoptic mange. © 2014 Süld et al.","author":[{"dropping-particle":"","family":"Süld","given":"Karmen","non-dropping-particle":"","parse-names":false,"suffix":""},{"dropping-particle":"","family":"Valdmann","given":"Harri","non-dropping-particle":"","parse-names":false,"suffix":""},{"dropping-particle":"","family":"Laurimaa","given":"Leidi","non-dropping-particle":"","parse-names":false,"suffix":""},{"dropping-particle":"","family":"Soe","given":"Egle","non-dropping-particle":"","parse-names":false,"suffix":""},{"dropping-particle":"","family":"Davison","given":"John","non-dropping-particle":"","parse-names":false,"suffix":""},{"dropping-particle":"","family":"Saarma","given":"Urmas","non-dropping-particle":"","parse-names":false,"suffix":""}],"container-title":"PLoS ONE","id":"ITEM-14","issue":"5","issued":{"date-parts":[["2014"]]},"title":"An invasive vector of zoonotic disease sustained by anthropogenic resources: The raccoon dog in Northern Europe","type":"article-journal","volume":"9"},"uris":["http://www.mendeley.com/documents/?uuid=b33879cc-d016-48ad-ad69-7717eae068dc"]},{"id":"ITEM-15","itemData":{"DOI":"10.1016/j.pt.2014.03.005","ISSN":"14715007","abstract":"Forecasts of emerging zoonoses neglect the threat alien species pose in disease transmission to humans. A review of alien parasites, hosts, and vectors introduced to Europe highlights the wide range of potential public health risks, the need for better surveillance and risk assessment, and major policy gaps in global preparedness. © 2014 Elsevier Ltd.","author":[{"dropping-particle":"","family":"Hulme","given":"Philip E.","non-dropping-particle":"","parse-names":false,"suffix":""}],"container-title":"Trends in Parasitology","id":"ITEM-15","issue":"6","issued":{"date-parts":[["2014"]]},"page":"267-270","publisher":"Elsevier Ltd","title":"Invasive species challenge the global response to emerging diseases","type":"article-journal","volume":"30"},"uris":["http://www.mendeley.com/documents/?uuid=0304064a-4d2f-47af-8ec2-e94afc4956cf"]},{"id":"ITEM-16","itemData":{"DOI":"10.2984/66.2.7","ISBN":"0030-8870","ISSN":"0030-8870","PMID":"76454611","author":[{"dropping-particle":"","family":"Duffy","given":"David Cameron","non-dropping-particle":"","parse-names":false,"suffix":""},{"dropping-particle":"","family":"Capece","given":"Paula","non-dropping-particle":"","parse-names":false,"suffix":""}],"container-title":"Pacific Science","id":"ITEM-16","issue":"2","issued":{"date-parts":[["2012"]]},"page":"173-212","title":"Biology and Impacts of Pacific Island Invasive Species. 7. The Domestic Cat ( Felis catus ) 1","type":"article-journal","volume":"66"},"uris":["http://www.mendeley.com/documents/?uuid=52b0635d-9988-4eea-b0ca-50a0ca0da707"]}],"mendeley":{"formattedCitation":"(McCarthy and Moore 2000, Meerburg et al. 2009, Tappe and Büttner 2009, Lv et al. 2009, Deplazes et al. 2011, Beltrán-Beck et al. 2012, Duffy and Capece 2012, Julius, Rolanda et al. 2012, Billeter et al. 2014, Süld et al. 2014, Sutor et al. 2014, Hulme 2014, Morand et al. 2015, Blasdell et al. 2015, de Wit et al. 2017, Cassan et al. 2018)","plainTextFormattedCitation":"(McCarthy and Moore 2000, Meerburg et al. 2009, Tappe and Büttner 2009, Lv et al. 2009, Deplazes et al. 2011, Beltrán-Beck et al. 2012, Duffy and Capece 2012, Julius, Rolanda et al. 2012, Billeter et al. 2014, Süld et al. 2014, Sutor et al. 2014, Hulme 2014, Morand et al. 2015, Blasdell et al. 2015, de Wit et al. 2017, Cassan et al. 2018)","previouslyFormattedCitation":"(Beltrán-Beck, García, &amp; Gortázar, 2012; Billeter et al., 2014; Blasdell et al., 2015; Cassan et al., 2018; de Wit et al., 2017; Deplazes, van Knapen, Schweiger, &amp; Overgaauw, 2011; Duffy &amp; Capece, 2012; Philip E. Hulme, 2014; Julius, Rolanda, Bastos, Armanda, Chimimba, Christian, &amp; Brettschneider, 2012; Lv et al., 2009; McCarthy &amp; Moore, 2000; Meerburg, Singleton, &amp; Kijlstra, 2009; Morand et al., 2015; Süld et al., 2014; Sutor, Schwarz, &amp; Conraths, 2014; Tappe &amp; Büttner, 2009)"},"properties":{"noteIndex":0},"schema":"https://github.com/citation-style-language/schema/raw/master/csl-citation.json"}</w:instrText>
      </w:r>
      <w:r w:rsidR="0048606D"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(McCarthy and Moore 2000, Meerburg et al. 2009, Tappe and Büttner 2009, Lv et al. 2009, Deplazes et al. 2011, Beltrán-Beck et al. 2012, Duffy and Capece 2012, Julius, Rolanda et al. 2012, Billeter et al. 2014, Süld et al. 2014, Sutor et al. 2014, Hulme 2014, Morand et al. 2015, Blasdell et al. 2015, de Wit et al. 2017, Cassan et al. 2018)</w:t>
      </w:r>
      <w:r w:rsidR="0048606D" w:rsidRPr="006159FD">
        <w:rPr>
          <w:rFonts w:ascii="Times New Roman" w:eastAsia="Times New Roman" w:hAnsi="Times New Roman" w:cs="Times New Roman"/>
          <w:color w:val="000000" w:themeColor="text1"/>
        </w:rPr>
        <w:fldChar w:fldCharType="end"/>
      </w:r>
      <w:r w:rsidR="00351899" w:rsidRPr="006159FD">
        <w:rPr>
          <w:rFonts w:ascii="Times New Roman" w:hAnsi="Times New Roman" w:cs="Times New Roman"/>
          <w:color w:val="000000" w:themeColor="text1"/>
        </w:rPr>
        <w:t>.</w:t>
      </w:r>
      <w:r w:rsidR="00AB73DF" w:rsidRPr="006159FD">
        <w:rPr>
          <w:rFonts w:ascii="Times New Roman" w:hAnsi="Times New Roman" w:cs="Times New Roman"/>
          <w:color w:val="000000" w:themeColor="text1"/>
        </w:rPr>
        <w:t xml:space="preserve"> </w:t>
      </w:r>
    </w:p>
    <w:p w14:paraId="0AD31097" w14:textId="674FFF8A" w:rsidR="003236C0" w:rsidRPr="006159FD" w:rsidRDefault="003F3B59" w:rsidP="003236C0">
      <w:pPr>
        <w:numPr>
          <w:ilvl w:val="1"/>
          <w:numId w:val="2"/>
        </w:numPr>
        <w:rPr>
          <w:rFonts w:ascii="Times New Roman" w:hAnsi="Times New Roman" w:cs="Times New Roman"/>
          <w:color w:val="000000" w:themeColor="text1"/>
        </w:rPr>
      </w:pPr>
      <w:r w:rsidRPr="006159FD">
        <w:rPr>
          <w:rFonts w:ascii="Times New Roman" w:hAnsi="Times New Roman" w:cs="Times New Roman"/>
          <w:color w:val="000000" w:themeColor="text1"/>
        </w:rPr>
        <w:t xml:space="preserve">We assumed </w:t>
      </w:r>
      <w:r w:rsidR="00EA27B9" w:rsidRPr="006159FD">
        <w:rPr>
          <w:rFonts w:ascii="Times New Roman" w:hAnsi="Times New Roman" w:cs="Times New Roman"/>
          <w:color w:val="000000" w:themeColor="text1"/>
        </w:rPr>
        <w:t xml:space="preserve">the </w:t>
      </w:r>
      <w:r w:rsidRPr="006159FD">
        <w:rPr>
          <w:rFonts w:ascii="Times New Roman" w:hAnsi="Times New Roman" w:cs="Times New Roman"/>
          <w:color w:val="000000" w:themeColor="text1"/>
        </w:rPr>
        <w:t xml:space="preserve">invasive vertebrate will have impacts on </w:t>
      </w:r>
      <w:r w:rsidR="00086131" w:rsidRPr="006159FD">
        <w:rPr>
          <w:rFonts w:ascii="Times New Roman" w:hAnsi="Times New Roman" w:cs="Times New Roman"/>
          <w:color w:val="000000" w:themeColor="text1"/>
        </w:rPr>
        <w:t>food sources through contamination or consumption (rodents)</w:t>
      </w:r>
      <w:r w:rsidR="0048606D" w:rsidRPr="006159FD">
        <w:rPr>
          <w:rFonts w:ascii="Times New Roman" w:hAnsi="Times New Roman" w:cs="Times New Roman"/>
          <w:color w:val="000000" w:themeColor="text1"/>
        </w:rPr>
        <w:t xml:space="preserve"> </w:t>
      </w:r>
      <w:r w:rsidR="0048606D"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{"citationItems":[{"id":"ITEM-1","itemData":{"abstract":"Nutria or coypu (Myocastor coypus), semi-aquatic rodents native to southern South America, are an invasive species having detrimental impacts mainly in the southern and eastern United States. Nutria were introduced into the U.S. in 1899 for fur farming and became established in several states. Nutria dispersals resulted primarily from releases by fur farmers, escapes during hurricanes or rising floodwaters, or as translocations in an attempt to control nuisance aquatic vegetation. The ravenous appetite of these herbivores can cause damage to agricultural crops and aquatic vegetation, and can alter aquatic ecosystems. Their burrowing habits can weaken irrigation structures and they are a host for some diseases. Eradication is desired in areas such as national wildlife refuges, but can be difficult due to the nutria’s extensive suitable range of habitat, the logistical challenges posed to land managers associated with these habitats, their efficiency in dispersal, and their high, year-round reproductive ability. Control is more practical in some areas and is facilitated by periods of cold temperatures and sustained lethal control. An example of an eradication strategy was implemented by USDA/Wildlife Services at Blackwater National Wildlife Refuge, Maryland, during 2002-2004 where systematic intensive control depopulated nutria from the Refuge. An example of long-term management of nutria was implemented by the Louisiana Department of Wildlife and Fisheries where an incentive payment is distributed to registered trappers and hunters on a per nutria basis. Louisiana continues to recognize nutria as a beneficial natural resource, such as fur and food, and manages for a low population. To offset negative attributy Blackwater National Wildlife Refuge recognizes only the negative impacts of this invasive species and has implemented an eradication strategy. Research efforts continue to develop efficient methods for nutria control, including detection and monitoring techniques, attractants for bait delivery of toxicants or fertility control materials, lures for improved capture rates, and improved capture devices.","author":[{"dropping-particle":"","family":"Jojola","given":"Susan","non-dropping-particle":"","parse-names":false,"suffix":""},{"dropping-particle":"","family":"Witmer","given":"Gary","non-dropping-particle":"","parse-names":false,"suffix":""},{"dropping-particle":"","family":"Nolte","given":"Dale","non-dropping-particle":"","parse-names":false,"suffix":""}],"container-title":"Proceedings of the 11th Wildlife Damage Management Conference","id":"ITEM-1","issued":{"date-parts":[["2005"]]},"page":"120-126","title":"Nutria: An Invasive Rodent Pest or Valued Resource?","type":"article-journal"},"uris":["http://www.mendeley.com/documents/?uuid=e5151de9-11e5-4d88-8b89-77814c900dc6"]},{"id":"ITEM-2","itemData":{"abstract":"Mice, rats, and other rodents threaten food production and act as reservoirs for disease throughout the world. In Asia alone, the rice loss every year caused by rodents could feed about 200 million people. Damage to crops in Africa and South America is equally dramatic. Rodent control often comes too late, is inefficient, or is considered too expensive. Using the multimammate mouse (Mastomys natalensis) in Tanzania and the house mouse (Mus domesticus) in southeastern Australia as primary case studies, we demonstrate how ecology and economics can be combined to identify management strategies to make rodent control work more efficiently than it does today. Three more rodent–pest systems – including two from Asia, the rice-field rat (Rattus argentiventer) and Brandt’s vole (Microtus brandti), and one from South America, the leaf-eared mouse (Phyllotis darwini) – are presented within the same bio-economic per- spective. For all these species, the ability to relate outbreaks to interannual climatic variability creates the potential to assess the economic benefits of forecasting rodent outbreaks.","author":[{"dropping-particle":"","family":"Stenseth","given":"Nils Chr.","non-dropping-particle":"","parse-names":false,"suffix":""},{"dropping-particle":"","family":"Leirs","given":"Herwig","non-dropping-particle":"","parse-names":false,"suffix":""},{"dropping-particle":"","family":"Skonhoft","given":"Anders","non-dropping-particle":"","parse-names":false,"suffix":""},{"dropping-particle":"","family":"Davis","given":"Stephen A.","non-dropping-particle":"","parse-names":false,"suffix":""},{"dropping-particle":"","family":"Pech","given":"Roger P.","non-dropping-particle":"","parse-names":false,"suffix":""},{"dropping-particle":"","family":"Andreassen","given":"Harry P.","non-dropping-particle":"","parse-names":false,"suffix":""},{"dropping-particle":"","family":"Singleton","given":"Grant R.","non-dropping-particle":"","parse-names":false,"suffix":""},{"dropping-particle":"","family":"Lima","given":"Mauricio","non-dropping-particle":"","parse-names":false,"suffix":""},{"dropping-particle":"","family":"Machangu","given":"Robert M.","non-dropping-particle":"","parse-names":false,"suffix":""},{"dropping-particle":"","family":"Makundi","given":"Rhodes H.","non-dropping-particle":"","parse-names":false,"suffix":""},{"dropping-particle":"","family":"Zhang","given":"Zhibin","non-dropping-particle":"","parse-names":false,"suffix":""},{"dropping-particle":"","family":"Brown","given":"Peter R.","non-dropping-particle":"","parse-names":false,"suffix":""},{"dropping-particle":"","family":"Shi","given":"Dazhao","non-dropping-particle":"","parse-names":false,"suffix":""},{"dropping-particle":"","family":"Wan","given":"Xinrong","non-dropping-particle":"","parse-names":false,"suffix":""}],"container-title":"Frontiers in Ecology and the Environment","id":"ITEM-2","issue":"7","issued":{"date-parts":[["2003"]]},"page":"367-375","title":"Mice and rats : the dynamics and bio- economics of agricultural rodents pests In a nutshell :","type":"article-journal","volume":"1"},"uris":["http://www.mendeley.com/documents/?uuid=1f97c607-b9d0-4abf-ad0d-1c933f1166e1"]},{"id":"ITEM-3","itemData":{"DOI":"10.1111/mam.12019","ISSN":"13652907","abstract":"We report the results of the first systematic assessment of global patterns and research priorities emerging in the field of rodent pest management. We carried out an extensive literature review targeted towards identifying the most relevant rodent pests, their impacts and the most common methods used to control them. We identified three disproportionally important pest species that are characterized by severe, generalist and geographically widespread impacts: the black rat Rattus rattus, the Norway rat Rattus norvegicus and the house mouse Mus musculus. Overall, only 7% of known rodent species may be considered pests. Scansorial (i.e. terrestrial and semi-arboreal) and fossorial species are generally important as pests, while aquatic and arboreal species have only specific impacts. Impacts of rodent pests on arable crops were studied most, followed by impacts on ecosystems. Studies on arable crops were typical in countries with low net income and health expenditure, while the opposite was observed for studies on ecosystems. Poisons were the most commonly used control method, followed by traps and habitat management. The need to control rodent species is expanding, especially to protect ecosystems and public health. Unlike in other fields of pest management (e.g. insect control), in rodent control we are approaching new problems with old solutions; control strategies and methods have not kept pace with emerging impacts. The need to control a rodent pest species is higher when it is non-native than within its original geographical range. The impact of a rodent species in its native range is a good predictor of the impact it may have in areas of introduction. Our review will contribute towards guiding researchers and stakeholders to focus research efforts and investments on a subset of species, and on new, less hazardous control techniques. © 2014 The Mammal Society and John Wiley &amp; Sons Ltd.","author":[{"dropping-particle":"","family":"Capizzi","given":"Dario","non-dropping-particle":"","parse-names":false,"suffix":""},{"dropping-particle":"","family":"Bertolino","given":"Sandro","non-dropping-particle":"","parse-names":false,"suffix":""},{"dropping-particle":"","family":"Mortelliti","given":"Alessio","non-dropping-particle":"","parse-names":false,"suffix":""}],"container-title":"Mammal Review","id":"ITEM-3","issue":"2","issued":{"date-parts":[["2014"]]},"page":"148-162","title":"Rating the rat: Global patterns and research priorities in impacts and management of rodent pests","type":"article-journal","volume":"44"},"uris":["http://www.mendeley.com/documents/?uuid=5e13a8d9-dcf4-48c5-83ca-cf5a6ea3ec16"]},{"id":"ITEM-4","itemData":{"DOI":"10.1134/s2075111710040089","ISSN":"2075-1117","abstract":"Taxonomic diversity of synanthropic and agrophilic rodents of Russia is analyzed. It is demonstrated that biological features of these mammals are similar. The history and pathways of their invasion, size of invaded area, and role in ecosystems are characterized. It is shown that synanthropic and agrophilic rodents are a part of a number of dangerous invasive alien mammals, but they take different places in the system of alien mammals. Synanthropic and agrophilic rodents are distinct from other alien species of mammals because their harm to natural ecosystems is not very noticeable; however, they cause serious damage to people in built-up areas and agrocoenoses. Agrophyly and synanthropy of rodents developed as an entire process of agro-synantropic population formation at early stages. Urban expansion and extensive plowing led to formation of independent agrophilic and synanthropic populations of rodents. On Russian territory, the house mice combines agrophyly and synanthropy to a greater extent. Expansion of synanthropic and agrophilic animals is connected with maximal transformation of nature by man: town planning and plowing. The global nature of these processes leads to erasure of zonal borders of biodiversity modification.","author":[{"dropping-particle":"","family":"Khlyap","given":"L. A.","non-dropping-particle":"","parse-names":false,"suffix":""},{"dropping-particle":"","family":"Warshavsky","given":"A. A.","non-dropping-particle":"","parse-names":false,"suffix":""}],"container-title":"Russian Journal of Biological Invasions","id":"ITEM-4","issue":"4","issued":{"date-parts":[["2010"]]},"page":"301-312","title":"Synanthropic and agrophilic rodents as invasive alien mammals","type":"article-journal","volume":"1"},"uris":["http://www.mendeley.com/documents/?uuid=43b577f6-5674-4287-89e0-f5191e10f887"]},{"id":"ITEM-5","itemData":{"DOI":"10.1016/j.ecolecon.2004.10.002","ISSN":"09218009","abstract":"Invading alien species in the United States cause major environmental damages and losses adding up to almost $120 billion per year. There are approximately 50,000 foreign species and the number is increasing. About 42% of the species on the Threatened or Endangered species lists are at risk primarily because of alien-invasive species. © 2004 Elsevier B.V. All rights reserved.","author":[{"dropping-particle":"","family":"Pimentel","given":"David","non-dropping-particle":"","parse-names":false,"suffix":""},{"dropping-particle":"","family":"Zuniga","given":"Rodolfo","non-dropping-particle":"","parse-names":false,"suffix":""},{"dropping-particle":"","family":"Morrison","given":"Doug","non-dropping-particle":"","parse-names":false,"suffix":""}],"container-title":"Ecological Economics","id":"ITEM-5","issue":"3 SPEC. ISS.","issued":{"date-parts":[["2005"]]},"page":"273-288","title":"Update on the environmental and economic costs associated with alien-invasive species in the United States","type":"article-journal","volume":"52"},"uris":["http://www.mendeley.com/documents/?uuid=74a47460-0f4f-4d9e-a12c-94bb46de4795"]},{"id":"ITEM-6","itemData":{"DOI":"10.5070/v426110437","abstract":"Many invasive rodent species have become established in the United States and its territories, both on the mainland and on islands. While most were introduced accidently, some were introduced for food or fur. These rodents have caused serious impacts to native flora and fauna, agriculture, and other resources. They have caused the extinction of many species of birds in insular ecosystems. Although many methods are used to control or eradicate introduced rodents, rodenticides and traps are the main tools. Since the early 1990s, agencies have been eradicating rodents from various islands, primarily for conservation purposes. There have been numerous eradication attempts in the United States and most have been successful. We review introduced rodent impacts and eradications, both successful and unsuccessful, which have occurred, with an emphasis on the United States. Finally, we consider some research needs and some remaining challenges in invasive rodent management and eradication in the United States, including the use of toxicants, land access, public attitudes, resource availability, and monitoring difficulties.","author":[{"dropping-particle":"","family":"Witmer","given":"Gary , W.","non-dropping-particle":"","parse-names":false,"suffix":""},{"dropping-particle":"","family":"Pitt","given":"William, C.","non-dropping-particle":"","parse-names":false,"suffix":""},{"dropping-particle":"","family":"Howald","given":"Gregg","non-dropping-particle":"","parse-names":false,"suffix":""}],"container-title":"Proceedings of the Vertebrate Pest Conference","id":"ITEM-6","issued":{"date-parts":[["2014"]]},"title":"Invasive Rodent Ecology, Impacts, and Management with an Emphasis on the United States","type":"article-journal","volume":"26"},"uris":["http://www.mendeley.com/documents/?uuid=a7d35236-7872-4301-94d2-a46b47156a31"]}],"mendeley":{"formattedCitation":"(Stenseth et al. 2003, Jojola et al. 2005, Pimentel et al. 2005, Khlyap and Warshavsky 2010, Capizzi et al. 2014, Witmer et al. 2014)","plainTextFormattedCitation":"(Stenseth et al. 2003, Jojola et al. 2005, Pimentel et al. 2005, Khlyap and Warshavsky 2010, Capizzi et al. 2014, Witmer et al. 2014)","previouslyFormattedCitation":"(Capizzi, Bertolino, &amp; Mortelliti, 2014; Jojola, Witmer, &amp; Nolte, 2005; Khlyap &amp; Warshavsky, 2010; Pimentel, Zuniga, &amp; Morrison, 2005; Stenseth et al., 2003; G. , W. Witmer, Pitt, &amp; Howald, 2014)"},"properties":{"noteIndex":0},"schema":"https://github.com/citation-style-language/schema/raw/master/csl-citation.json"}</w:instrText>
      </w:r>
      <w:r w:rsidR="0048606D"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 xml:space="preserve">(Stenseth et al. 2003, Jojola et al. 2005, </w:t>
      </w:r>
      <w:r w:rsidR="00A6678D" w:rsidRPr="00A6678D">
        <w:rPr>
          <w:rFonts w:ascii="Times New Roman" w:eastAsia="Times New Roman" w:hAnsi="Times New Roman" w:cs="Times New Roman"/>
          <w:noProof/>
          <w:color w:val="000000" w:themeColor="text1"/>
        </w:rPr>
        <w:lastRenderedPageBreak/>
        <w:t>Pimentel et al. 2005, Khlyap and Warshavsky 2010, Capizzi et al. 2014, Witmer et al. 2014)</w:t>
      </w:r>
      <w:r w:rsidR="0048606D" w:rsidRPr="006159FD">
        <w:rPr>
          <w:rFonts w:ascii="Times New Roman" w:eastAsia="Times New Roman" w:hAnsi="Times New Roman" w:cs="Times New Roman"/>
          <w:color w:val="000000" w:themeColor="text1"/>
        </w:rPr>
        <w:fldChar w:fldCharType="end"/>
      </w:r>
      <w:r w:rsidR="00086131" w:rsidRPr="006159FD">
        <w:rPr>
          <w:rFonts w:ascii="Times New Roman" w:hAnsi="Times New Roman" w:cs="Times New Roman"/>
          <w:color w:val="000000" w:themeColor="text1"/>
        </w:rPr>
        <w:t xml:space="preserve">. </w:t>
      </w:r>
    </w:p>
    <w:p w14:paraId="55C6444D" w14:textId="45497968" w:rsidR="003236C0" w:rsidRPr="006159FD" w:rsidRDefault="003236C0" w:rsidP="003236C0">
      <w:pPr>
        <w:pStyle w:val="Heading1"/>
        <w:rPr>
          <w:rFonts w:ascii="Times New Roman" w:hAnsi="Times New Roman" w:cs="Times New Roman"/>
          <w:color w:val="000000" w:themeColor="text1"/>
          <w:sz w:val="24"/>
          <w:szCs w:val="24"/>
        </w:rPr>
      </w:pPr>
    </w:p>
    <w:p w14:paraId="323728BF" w14:textId="55DC7F33" w:rsidR="003236C0" w:rsidRPr="006159FD" w:rsidRDefault="003236C0" w:rsidP="003236C0">
      <w:pPr>
        <w:rPr>
          <w:rFonts w:ascii="Times New Roman" w:hAnsi="Times New Roman" w:cs="Times New Roman"/>
          <w:color w:val="000000" w:themeColor="text1"/>
        </w:rPr>
      </w:pPr>
    </w:p>
    <w:p w14:paraId="0922FB03" w14:textId="2957062B" w:rsidR="003236C0" w:rsidRPr="006159FD" w:rsidRDefault="008158A4" w:rsidP="003236C0">
      <w:pPr>
        <w:rPr>
          <w:rFonts w:ascii="Times New Roman" w:hAnsi="Times New Roman" w:cs="Times New Roman"/>
          <w:color w:val="000000" w:themeColor="text1"/>
        </w:rPr>
      </w:pPr>
      <w:r w:rsidRPr="006159FD">
        <w:rPr>
          <w:rFonts w:ascii="Times New Roman" w:hAnsi="Times New Roman" w:cs="Times New Roman"/>
          <w:noProof/>
          <w:color w:val="000000" w:themeColor="text1"/>
        </w:rPr>
        <w:drawing>
          <wp:inline distT="0" distB="0" distL="0" distR="0" wp14:anchorId="0A9476FE" wp14:editId="09EA6991">
            <wp:extent cx="5943600" cy="4506595"/>
            <wp:effectExtent l="0" t="0" r="0" b="190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Screenshot 2019-11-28 12.04.44.png"/>
                    <pic:cNvPicPr/>
                  </pic:nvPicPr>
                  <pic:blipFill>
                    <a:blip r:embed="rId12">
                      <a:extLst>
                        <a:ext uri="{28A0092B-C50C-407E-A947-70E740481C1C}">
                          <a14:useLocalDpi xmlns:a14="http://schemas.microsoft.com/office/drawing/2010/main" val="0"/>
                        </a:ext>
                      </a:extLst>
                    </a:blip>
                    <a:stretch>
                      <a:fillRect/>
                    </a:stretch>
                  </pic:blipFill>
                  <pic:spPr>
                    <a:xfrm>
                      <a:off x="0" y="0"/>
                      <a:ext cx="5943600" cy="4506595"/>
                    </a:xfrm>
                    <a:prstGeom prst="rect">
                      <a:avLst/>
                    </a:prstGeom>
                  </pic:spPr>
                </pic:pic>
              </a:graphicData>
            </a:graphic>
          </wp:inline>
        </w:drawing>
      </w:r>
    </w:p>
    <w:p w14:paraId="1E044A7B" w14:textId="77777777" w:rsidR="003236C0" w:rsidRPr="006159FD" w:rsidRDefault="003236C0" w:rsidP="003236C0">
      <w:pPr>
        <w:rPr>
          <w:rFonts w:ascii="Times New Roman" w:hAnsi="Times New Roman" w:cs="Times New Roman"/>
          <w:color w:val="000000" w:themeColor="text1"/>
        </w:rPr>
      </w:pPr>
    </w:p>
    <w:p w14:paraId="25AA007D" w14:textId="77777777" w:rsidR="003236C0" w:rsidRPr="006159FD" w:rsidRDefault="003236C0" w:rsidP="003236C0">
      <w:pPr>
        <w:rPr>
          <w:rFonts w:ascii="Times New Roman" w:hAnsi="Times New Roman" w:cs="Times New Roman"/>
          <w:color w:val="000000" w:themeColor="text1"/>
        </w:rPr>
      </w:pPr>
    </w:p>
    <w:p w14:paraId="05E190E8" w14:textId="569ADF21" w:rsidR="003236C0" w:rsidRPr="006159FD" w:rsidRDefault="00BC1DCD" w:rsidP="003236C0">
      <w:pPr>
        <w:rPr>
          <w:rFonts w:ascii="Times New Roman" w:hAnsi="Times New Roman" w:cs="Times New Roman"/>
          <w:color w:val="000000" w:themeColor="text1"/>
        </w:rPr>
      </w:pPr>
      <w:bookmarkStart w:id="1" w:name="_Toc25838857"/>
      <w:r w:rsidRPr="006159FD">
        <w:rPr>
          <w:rStyle w:val="Heading1Char"/>
          <w:rFonts w:ascii="Times New Roman" w:hAnsi="Times New Roman" w:cs="Times New Roman"/>
          <w:color w:val="000000" w:themeColor="text1"/>
          <w:sz w:val="24"/>
          <w:szCs w:val="24"/>
        </w:rPr>
        <w:t>Goal 2.</w:t>
      </w:r>
      <w:bookmarkEnd w:id="1"/>
      <w:r w:rsidRPr="006159FD">
        <w:rPr>
          <w:rFonts w:ascii="Times New Roman" w:hAnsi="Times New Roman" w:cs="Times New Roman"/>
          <w:color w:val="000000" w:themeColor="text1"/>
        </w:rPr>
        <w:t xml:space="preserve"> </w:t>
      </w:r>
      <w:r w:rsidR="003236C0" w:rsidRPr="006159FD">
        <w:rPr>
          <w:rFonts w:ascii="Times New Roman" w:hAnsi="Times New Roman" w:cs="Times New Roman"/>
          <w:color w:val="000000" w:themeColor="text1"/>
        </w:rPr>
        <w:t xml:space="preserve">Assumptions </w:t>
      </w:r>
      <w:r w:rsidR="003F3B59" w:rsidRPr="006159FD">
        <w:rPr>
          <w:rFonts w:ascii="Times New Roman" w:hAnsi="Times New Roman" w:cs="Times New Roman"/>
          <w:color w:val="000000" w:themeColor="text1"/>
        </w:rPr>
        <w:t>and inclusion criteria</w:t>
      </w:r>
    </w:p>
    <w:p w14:paraId="13B72C43" w14:textId="6FA687C6" w:rsidR="003F3B59" w:rsidRPr="006159FD" w:rsidRDefault="005B74F6" w:rsidP="003F3B59">
      <w:pPr>
        <w:pStyle w:val="ListParagraph"/>
        <w:numPr>
          <w:ilvl w:val="0"/>
          <w:numId w:val="17"/>
        </w:numPr>
        <w:rPr>
          <w:rFonts w:ascii="Times New Roman" w:hAnsi="Times New Roman" w:cs="Times New Roman"/>
          <w:color w:val="000000" w:themeColor="text1"/>
        </w:rPr>
      </w:pPr>
      <w:r w:rsidRPr="006159FD">
        <w:rPr>
          <w:rFonts w:ascii="Times New Roman" w:hAnsi="Times New Roman" w:cs="Times New Roman"/>
          <w:color w:val="000000" w:themeColor="text1"/>
        </w:rPr>
        <w:t>The i</w:t>
      </w:r>
      <w:r w:rsidR="003236C0" w:rsidRPr="006159FD">
        <w:rPr>
          <w:rFonts w:ascii="Times New Roman" w:hAnsi="Times New Roman" w:cs="Times New Roman"/>
          <w:color w:val="000000" w:themeColor="text1"/>
        </w:rPr>
        <w:t xml:space="preserve">sland must have agriculture. </w:t>
      </w:r>
      <w:r w:rsidR="00E90A36" w:rsidRPr="006159FD">
        <w:rPr>
          <w:rFonts w:ascii="Times New Roman" w:hAnsi="Times New Roman" w:cs="Times New Roman"/>
          <w:color w:val="000000" w:themeColor="text1"/>
        </w:rPr>
        <w:t>To establish whether agriculture was present on those islands inhabited by humans we used Google Earth imagery to survey entire islands for areas where agricultural plots were visible</w:t>
      </w:r>
      <w:r w:rsidR="00F96914" w:rsidRPr="006159FD">
        <w:rPr>
          <w:rFonts w:ascii="Times New Roman" w:hAnsi="Times New Roman" w:cs="Times New Roman"/>
          <w:color w:val="000000" w:themeColor="text1"/>
        </w:rPr>
        <w:t xml:space="preserve"> at an eye altitude of approximately 8 km. We defined agricultural plots as human-made and geometrically distinguishable areas with barren soil or vegetation growing in defined rows (e.g. uniform lines of vegetation or sharp boundaries between native vegetation and crops), and confirmed them at an eye elevation of approximately 1.5 km</w:t>
      </w:r>
      <w:r w:rsidR="00E90A36" w:rsidRPr="006159FD">
        <w:rPr>
          <w:rFonts w:ascii="Times New Roman" w:hAnsi="Times New Roman" w:cs="Times New Roman"/>
          <w:color w:val="000000" w:themeColor="text1"/>
        </w:rPr>
        <w:t>. We defined agricultural plots as human-made and geometrically distinguishable areas with barren soil or vegetation growing in defined rows (e.g. uniform lines of vegetation or sharp boundaries between native vegetation and crops).</w:t>
      </w:r>
    </w:p>
    <w:p w14:paraId="3A4A72C6" w14:textId="1E520C8C" w:rsidR="003F3B59" w:rsidRPr="006159FD" w:rsidRDefault="00EA27B9" w:rsidP="003F3B59">
      <w:pPr>
        <w:pStyle w:val="ListParagraph"/>
        <w:numPr>
          <w:ilvl w:val="0"/>
          <w:numId w:val="17"/>
        </w:numPr>
        <w:rPr>
          <w:rFonts w:ascii="Times New Roman" w:hAnsi="Times New Roman" w:cs="Times New Roman"/>
          <w:color w:val="000000" w:themeColor="text1"/>
        </w:rPr>
      </w:pPr>
      <w:r w:rsidRPr="006159FD">
        <w:rPr>
          <w:rFonts w:ascii="Times New Roman" w:hAnsi="Times New Roman" w:cs="Times New Roman"/>
          <w:color w:val="000000" w:themeColor="text1"/>
        </w:rPr>
        <w:t>The i</w:t>
      </w:r>
      <w:r w:rsidR="00E90A36" w:rsidRPr="006159FD">
        <w:rPr>
          <w:rFonts w:ascii="Times New Roman" w:hAnsi="Times New Roman" w:cs="Times New Roman"/>
          <w:color w:val="000000" w:themeColor="text1"/>
        </w:rPr>
        <w:t>nvasive vertebrate</w:t>
      </w:r>
      <w:r w:rsidR="003236C0" w:rsidRPr="006159FD">
        <w:rPr>
          <w:rFonts w:ascii="Times New Roman" w:hAnsi="Times New Roman" w:cs="Times New Roman"/>
          <w:color w:val="000000" w:themeColor="text1"/>
        </w:rPr>
        <w:t xml:space="preserve"> must be </w:t>
      </w:r>
      <w:r w:rsidRPr="006159FD">
        <w:rPr>
          <w:rFonts w:ascii="Times New Roman" w:hAnsi="Times New Roman" w:cs="Times New Roman"/>
          <w:color w:val="000000" w:themeColor="text1"/>
        </w:rPr>
        <w:t xml:space="preserve">a </w:t>
      </w:r>
      <w:r w:rsidR="00B37D37" w:rsidRPr="006159FD">
        <w:rPr>
          <w:rFonts w:ascii="Times New Roman" w:hAnsi="Times New Roman" w:cs="Times New Roman"/>
          <w:color w:val="000000" w:themeColor="text1"/>
        </w:rPr>
        <w:t>rodent</w:t>
      </w:r>
      <w:r w:rsidR="003236C0" w:rsidRPr="006159FD">
        <w:rPr>
          <w:rFonts w:ascii="Times New Roman" w:hAnsi="Times New Roman" w:cs="Times New Roman"/>
          <w:color w:val="000000" w:themeColor="text1"/>
        </w:rPr>
        <w:t xml:space="preserve"> </w:t>
      </w:r>
      <w:r w:rsidRPr="006159FD">
        <w:rPr>
          <w:rFonts w:ascii="Times New Roman" w:hAnsi="Times New Roman" w:cs="Times New Roman"/>
          <w:color w:val="000000" w:themeColor="text1"/>
        </w:rPr>
        <w:t xml:space="preserve">species </w:t>
      </w:r>
      <w:r w:rsidR="003236C0" w:rsidRPr="006159FD">
        <w:rPr>
          <w:rFonts w:ascii="Times New Roman" w:hAnsi="Times New Roman" w:cs="Times New Roman"/>
          <w:color w:val="000000" w:themeColor="text1"/>
        </w:rPr>
        <w:t xml:space="preserve">to </w:t>
      </w:r>
      <w:r w:rsidR="00A95042" w:rsidRPr="006159FD">
        <w:rPr>
          <w:rFonts w:ascii="Times New Roman" w:hAnsi="Times New Roman" w:cs="Times New Roman"/>
          <w:color w:val="000000" w:themeColor="text1"/>
        </w:rPr>
        <w:t xml:space="preserve">directly affect local food sources </w:t>
      </w:r>
      <w:r w:rsidR="00B37D37"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{"citationItems":[{"id":"ITEM-1","itemData":{"abstract":"Nutria or coypu (Myocastor coypus), semi-aquatic rodents native to southern South America, are an invasive species having detrimental impacts mainly in the southern and eastern United States. Nutria were introduced into the U.S. in 1899 for fur farming and became established in several states. Nutria dispersals resulted primarily from releases by fur farmers, escapes during hurricanes or rising floodwaters, or as translocations in an attempt to control nuisance aquatic vegetation. The ravenous appetite of these herbivores can cause damage to agricultural crops and aquatic vegetation, and can alter aquatic ecosystems. Their burrowing habits can weaken irrigation structures and they are a host for some diseases. Eradication is desired in areas such as national wildlife refuges, but can be difficult due to the nutria’s extensive suitable range of habitat, the logistical challenges posed to land managers associated with these habitats, their efficiency in dispersal, and their high, year-round reproductive ability. Control is more practical in some areas and is facilitated by periods of cold temperatures and sustained lethal control. An example of an eradication strategy was implemented by USDA/Wildlife Services at Blackwater National Wildlife Refuge, Maryland, during 2002-2004 where systematic intensive control depopulated nutria from the Refuge. An example of long-term management of nutria was implemented by the Louisiana Department of Wildlife and Fisheries where an incentive payment is distributed to registered trappers and hunters on a per nutria basis. Louisiana continues to recognize nutria as a beneficial natural resource, such as fur and food, and manages for a low population. To offset negative attributy Blackwater National Wildlife Refuge recognizes only the negative impacts of this invasive species and has implemented an eradication strategy. Research efforts continue to develop efficient methods for nutria control, including detection and monitoring techniques, attractants for bait delivery of toxicants or fertility control materials, lures for improved capture rates, and improved capture devices.","author":[{"dropping-particle":"","family":"Jojola","given":"Susan","non-dropping-particle":"","parse-names":false,"suffix":""},{"dropping-particle":"","family":"Witmer","given":"Gary","non-dropping-particle":"","parse-names":false,"suffix":""},{"dropping-particle":"","family":"Nolte","given":"Dale","non-dropping-particle":"","parse-names":false,"suffix":""}],"container-title":"Proceedings of the 11th Wildlife Damage Management Conference","id":"ITEM-1","issued":{"date-parts":[["2005"]]},"page":"120-126","title":"Nutria: An Invasive Rodent Pest or Valued Resource?","type":"article-journal"},"uris":["http://www.mendeley.com/documents/?uuid=e5151de9-11e5-4d88-8b89-77814c900dc6"]},{"id":"ITEM-2","itemData":{"abstract":"Mice, rats, and other rodents threaten food production and act as reservoirs for disease throughout the world. In Asia alone, the rice loss every year caused by rodents could feed about 200 million people. Damage to crops in Africa and South America is equally dramatic. Rodent control often comes too late, is inefficient, or is considered too expensive. Using the multimammate mouse (Mastomys natalensis) in Tanzania and the house mouse (Mus domesticus) in southeastern Australia as primary case studies, we demonstrate how ecology and economics can be combined to identify management strategies to make rodent control work more efficiently than it does today. Three more rodent–pest systems – including two from Asia, the rice-field rat (Rattus argentiventer) and Brandt’s vole (Microtus brandti), and one from South America, the leaf-eared mouse (Phyllotis darwini) – are presented within the same bio-economic per- spective. For all these species, the ability to relate outbreaks to interannual climatic variability creates the potential to assess the economic benefits of forecasting rodent outbreaks.","author":[{"dropping-particle":"","family":"Stenseth","given":"Nils Chr.","non-dropping-particle":"","parse-names":false,"suffix":""},{"dropping-particle":"","family":"Leirs","given":"Herwig","non-dropping-particle":"","parse-names":false,"suffix":""},{"dropping-particle":"","family":"Skonhoft","given":"Anders","non-dropping-particle":"","parse-names":false,"suffix":""},{"dropping-particle":"","family":"Davis","given":"Stephen A.","non-dropping-particle":"","parse-names":false,"suffix":""},{"dropping-particle":"","family":"Pech","given":"Roger P.","non-dropping-particle":"","parse-names":false,"suffix":""},{"dropping-particle":"","family":"Andreassen","given":"Harry P.","non-dropping-particle":"","parse-names":false,"suffix":""},{"dropping-particle":"","family":"Singleton","given":"Grant R.","non-dropping-particle":"","parse-names":false,"suffix":""},{"dropping-particle":"","family":"Lima","given":"Mauricio","non-dropping-particle":"","parse-names":false,"suffix":""},{"dropping-particle":"","family":"Machangu","given":"Robert M.","non-dropping-particle":"","parse-names":false,"suffix":""},{"dropping-particle":"","family":"Makundi","given":"Rhodes H.","non-dropping-particle":"","parse-names":false,"suffix":""},{"dropping-particle":"","family":"Zhang","given":"Zhibin","non-dropping-particle":"","parse-names":false,"suffix":""},{"dropping-particle":"","family":"Brown","given":"Peter R.","non-dropping-particle":"","parse-names":false,"suffix":""},{"dropping-particle":"","family":"Shi","given":"Dazhao","non-dropping-particle":"","parse-names":false,"suffix":""},{"dropping-particle":"","family":"Wan","given":"Xinrong","non-dropping-particle":"","parse-names":false,"suffix":""}],"container-title":"Frontiers in Ecology and the Environment","id":"ITEM-2","issue":"7","issued":{"date-parts":[["2003"]]},"page":"367-375","title":"Mice and rats : the dynamics and bio- economics of agricultural rodents pests In a nutshell :","type":"article-journal","volume":"1"},"uris":["http://www.mendeley.com/documents/?uuid=1f97c607-b9d0-4abf-ad0d-1c933f1166e1"]},{"id":"ITEM-3","itemData":{"DOI":"10.1111/mam.12019","ISSN":"13652907","abstract":"We report the results of the first systematic assessment of global patterns and research priorities emerging in the field of rodent pest management. We carried out an extensive literature review targeted towards identifying the most relevant rodent pests, their impacts and the most common methods used to control them. We identified three disproportionally important pest species that are characterized by severe, generalist and geographically widespread impacts: the black rat Rattus rattus, the Norway rat Rattus norvegicus and the house mouse Mus musculus. Overall, only 7% of known rodent species may be considered pests. Scansorial (i.e. terrestrial and semi-arboreal) and fossorial species are generally important as pests, while aquatic and arboreal species have only specific impacts. Impacts of rodent pests on arable crops were studied most, followed by impacts on ecosystems. Studies on arable crops were typical in countries with low net income and health expenditure, while the opposite was observed for studies on ecosystems. Poisons were the most commonly used control method, followed by traps and habitat management. The need to control rodent species is expanding, especially to protect ecosystems and public health. Unlike in other fields of pest management (e.g. insect control), in rodent control we are approaching new problems with old solutions; control strategies and methods have not kept pace with emerging impacts. The need to control a rodent pest species is higher when it is non-native than within its original geographical range. The impact of a rodent species in its native range is a good predictor of the impact it may have in areas of introduction. Our review will contribute towards guiding researchers and stakeholders to focus research efforts and investments on a subset of species, and on new, less hazardous control techniques. © 2014 The Mammal Society and John Wiley &amp; Sons Ltd.","author":[{"dropping-particle":"","family":"Capizzi","given":"Dario","non-dropping-particle":"","parse-names":false,"suffix":""},{"dropping-particle":"","family":"Bertolino","given":"Sandro","non-dropping-particle":"","parse-names":false,"suffix":""},{"dropping-particle":"","family":"Mortelliti","given":"Alessio","non-dropping-particle":"","parse-names":false,"suffix":""}],"container-title":"Mammal Review","id":"ITEM-3","issue":"2","issued":{"date-parts":[["2014"]]},"page":"148-162","title":"Rating the rat: Global patterns and research priorities in impacts and management of rodent pests","type":"article-journal","volume":"44"},"uris":["http://www.mendeley.com/documents/?uuid=5e13a8d9-dcf4-48c5-83ca-cf5a6ea3ec16"]},{"id":"ITEM-4","itemData":{"DOI":"10.1134/s2075111710040089","ISSN":"2075-1117","abstract":"Taxonomic diversity of synanthropic and agrophilic rodents of Russia is analyzed. It is demonstrated that biological features of these mammals are similar. The history and pathways of their invasion, size of invaded area, and role in ecosystems are characterized. It is shown that synanthropic and agrophilic rodents are a part of a number of dangerous invasive alien mammals, but they take different places in the system of alien mammals. Synanthropic and agrophilic rodents are distinct from other alien species of mammals because their harm to natural ecosystems is not very noticeable; however, they cause serious damage to people in built-up areas and agrocoenoses. Agrophyly and synanthropy of rodents developed as an entire process of agro-synantropic population formation at early stages. Urban expansion and extensive plowing led to formation of independent agrophilic and synanthropic populations of rodents. On Russian territory, the house mice combines agrophyly and synanthropy to a greater extent. Expansion of synanthropic and agrophilic animals is connected with maximal transformation of nature by man: town planning and plowing. The global nature of these processes leads to erasure of zonal borders of biodiversity modification.","author":[{"dropping-particle":"","family":"Khlyap","given":"L. A.","non-dropping-particle":"","parse-names":false,"suffix":""},{"dropping-particle":"","family":"Warshavsky","given":"A. A.","non-dropping-particle":"","parse-names":false,"suffix":""}],"container-title":"Russian Journal of Biological Invasions","id":"ITEM-4","issue":"4","issued":{"date-parts":[["2010"]]},"page":"301-312","title":"Synanthropic and agrophilic rodents as invasive alien mammals","type":"article-journal","volume":"1"},"uris":["http://www.mendeley.com/documents/?uuid=43b577f6-5674-4287-89e0-f5191e10f887"]},{"id":"ITEM-5","itemData":{"DOI":"10.1016/j.ecolecon.2004.10.002","ISSN":"09218009","abstract":"Invading alien species in the United States cause major environmental damages and losses adding up to almost $120 billion per year. There are approximately 50,000 foreign species and the number is increasing. About 42% of the species on the Threatened or Endangered species lists are at risk primarily because of alien-invasive species. © 2004 Elsevier B.V. All rights reserved.","author":[{"dropping-particle":"","family":"Pimentel","given":"David","non-dropping-particle":"","parse-names":false,"suffix":""},{"dropping-particle":"","family":"Zuniga","given":"Rodolfo","non-dropping-particle":"","parse-names":false,"suffix":""},{"dropping-particle":"","family":"Morrison","given":"Doug","non-dropping-particle":"","parse-names":false,"suffix":""}],"container-title":"Ecological Economics","id":"ITEM-5","issue":"3 SPEC. ISS.","issued":{"date-parts":[["2005"]]},"page":"273-288","title":"Update on the environmental and economic costs associated with alien-invasive species in the United States","type":"article-journal","volume":"52"},"uris":["http://www.mendeley.com/documents/?uuid=74a47460-0f4f-4d9e-a12c-94bb46de4795"]},{"id":"ITEM-6","itemData":{"DOI":"10.5070/v426110437","abstract":"Many invasive rodent species have become established in the United States and its territories, both on the mainland and on islands. While most were introduced accidently, some were introduced for food or fur. These rodents have caused serious impacts to native flora and fauna, agriculture, and other resources. They have caused the extinction of many species of birds in insular ecosystems. Although many methods are used to control or eradicate introduced rodents, rodenticides and traps are the main tools. Since the early 1990s, agencies have been eradicating rodents from various islands, primarily for conservation purposes. There have been numerous eradication attempts in the United States and most have been successful. We review introduced rodent impacts and eradications, both successful and unsuccessful, which have occurred, with an emphasis on the United States. Finally, we consider some research needs and some remaining challenges in invasive rodent management and eradication in the United States, including the use of toxicants, land access, public attitudes, resource availability, and monitoring difficulties.","author":[{"dropping-particle":"","family":"Witmer","given":"Gary , W.","non-dropping-particle":"","parse-names":false,"suffix":""},{"dropping-particle":"","family":"Pitt","given":"William, C.","non-dropping-particle":"","parse-names":false,"suffix":""},{"dropping-particle":"","family":"Howald","given":"Gregg","non-dropping-particle":"","parse-names":false,"suffix":""}],"container-title":"Proceedings of the Vertebrate Pest Conference","id":"ITEM-6","issued":{"date-parts":[["2014"]]},"title":"Invasive Rodent Ecology, Impacts, and Management with an Emphasis on the United States","type":"article-journal","volume":"26"},"uris":["http://www.mendeley.com/documents/?uuid=a7d35236-7872-4301-94d2-a46b47156a31"]}],"mendeley":{"formattedCitation":"(Stenseth et al. 2003, Jojola et al. 2005, Pimentel et al. 2005, Khlyap and Warshavsky 2010, Capizzi et al. 2014, Witmer et al. 2014)","plainTextFormattedCitation":"(Stenseth et al. 2003, Jojola et al. 2005, Pimentel et al. 2005, Khlyap and Warshavsky 2010, Capizzi et al. 2014, Witmer et al. 2014)","previouslyFormattedCitation":"(Capizzi et al., 2014; Jojola et al., 2005; Khlyap &amp; Warshavsky, 2010; Pimentel et al., 2005; Stenseth et al., 2003; G. , W. Witmer et al., 2014)"},"properties":{"noteIndex":0},"schema":"https://github.com/citation-style-language/schema/raw/master/csl-citation.json"}</w:instrText>
      </w:r>
      <w:r w:rsidR="00B37D37"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(Stenseth et al. 2003, Jojola et al. 2005, Pimentel et al. 2005, Khlyap and Warshavsky 2010, Capizzi et al. 2014, Witmer et al. 2014)</w:t>
      </w:r>
      <w:r w:rsidR="00B37D37" w:rsidRPr="006159FD">
        <w:rPr>
          <w:rFonts w:ascii="Times New Roman" w:eastAsia="Times New Roman" w:hAnsi="Times New Roman" w:cs="Times New Roman"/>
          <w:color w:val="000000" w:themeColor="text1"/>
        </w:rPr>
        <w:fldChar w:fldCharType="end"/>
      </w:r>
      <w:r w:rsidR="00B37D37" w:rsidRPr="006159FD">
        <w:rPr>
          <w:rFonts w:ascii="Times New Roman" w:eastAsia="Times New Roman" w:hAnsi="Times New Roman" w:cs="Times New Roman"/>
          <w:color w:val="000000" w:themeColor="text1"/>
        </w:rPr>
        <w:t>.</w:t>
      </w:r>
    </w:p>
    <w:p w14:paraId="0615BBC9" w14:textId="381E4DF3" w:rsidR="003236C0" w:rsidRPr="006159FD" w:rsidRDefault="00E90A36" w:rsidP="006159FD">
      <w:pPr>
        <w:pStyle w:val="ListParagraph"/>
        <w:numPr>
          <w:ilvl w:val="0"/>
          <w:numId w:val="17"/>
        </w:numPr>
        <w:rPr>
          <w:rFonts w:ascii="Times New Roman" w:hAnsi="Times New Roman" w:cs="Times New Roman"/>
          <w:color w:val="000000" w:themeColor="text1"/>
        </w:rPr>
      </w:pPr>
      <w:r w:rsidRPr="006159FD">
        <w:rPr>
          <w:rFonts w:ascii="Times New Roman" w:hAnsi="Times New Roman" w:cs="Times New Roman"/>
          <w:color w:val="000000" w:themeColor="text1"/>
        </w:rPr>
        <w:lastRenderedPageBreak/>
        <w:t xml:space="preserve">We assumed </w:t>
      </w:r>
      <w:r w:rsidR="00EA27B9" w:rsidRPr="006159FD">
        <w:rPr>
          <w:rFonts w:ascii="Times New Roman" w:hAnsi="Times New Roman" w:cs="Times New Roman"/>
          <w:color w:val="000000" w:themeColor="text1"/>
        </w:rPr>
        <w:t xml:space="preserve">the </w:t>
      </w:r>
      <w:r w:rsidRPr="006159FD">
        <w:rPr>
          <w:rFonts w:ascii="Times New Roman" w:hAnsi="Times New Roman" w:cs="Times New Roman"/>
          <w:color w:val="000000" w:themeColor="text1"/>
        </w:rPr>
        <w:t xml:space="preserve">invasive vertebrate has an impact on </w:t>
      </w:r>
      <w:r w:rsidR="00CB6D77" w:rsidRPr="006159FD">
        <w:rPr>
          <w:rFonts w:ascii="Times New Roman" w:hAnsi="Times New Roman" w:cs="Times New Roman"/>
          <w:color w:val="000000" w:themeColor="text1"/>
        </w:rPr>
        <w:t xml:space="preserve">food availability through natural resource degradation </w:t>
      </w:r>
      <w:r w:rsidR="001F69D9"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{"citationItems":[{"id":"ITEM-1","itemData":{"abstract":"Nutria or coypu (Myocastor coypus), semi-aquatic rodents native to southern South America, are an invasive species having detrimental impacts mainly in the southern and eastern United States. Nutria were introduced into the U.S. in 1899 for fur farming and became established in several states. Nutria dispersals resulted primarily from releases by fur farmers, escapes during hurricanes or rising floodwaters, or as translocations in an attempt to control nuisance aquatic vegetation. The ravenous appetite of these herbivores can cause damage to agricultural crops and aquatic vegetation, and can alter aquatic ecosystems. Their burrowing habits can weaken irrigation structures and they are a host for some diseases. Eradication is desired in areas such as national wildlife refuges, but can be difficult due to the nutria’s extensive suitable range of habitat, the logistical challenges posed to land managers associated with these habitats, their efficiency in dispersal, and their high, year-round reproductive ability. Control is more practical in some areas and is facilitated by periods of cold temperatures and sustained lethal control. An example of an eradication strategy was implemented by USDA/Wildlife Services at Blackwater National Wildlife Refuge, Maryland, during 2002-2004 where systematic intensive control depopulated nutria from the Refuge. An example of long-term management of nutria was implemented by the Louisiana Department of Wildlife and Fisheries where an incentive payment is distributed to registered trappers and hunters on a per nutria basis. Louisiana continues to recognize nutria as a beneficial natural resource, such as fur and food, and manages for a low population. To offset negative attributy Blackwater National Wildlife Refuge recognizes only the negative impacts of this invasive species and has implemented an eradication strategy. Research efforts continue to develop efficient methods for nutria control, including detection and monitoring techniques, attractants for bait delivery of toxicants or fertility control materials, lures for improved capture rates, and improved capture devices.","author":[{"dropping-particle":"","family":"Jojola","given":"Susan","non-dropping-particle":"","parse-names":false,"suffix":""},{"dropping-particle":"","family":"Witmer","given":"Gary","non-dropping-particle":"","parse-names":false,"suffix":""},{"dropping-particle":"","family":"Nolte","given":"Dale","non-dropping-particle":"","parse-names":false,"suffix":""}],"container-title":"Proceedings of the 11th Wildlife Damage Management Conference","id":"ITEM-1","issued":{"date-parts":[["2005"]]},"page":"120-126","title":"Nutria: An Invasive Rodent Pest or Valued Resource?","type":"article-journal"},"uris":["http://www.mendeley.com/documents/?uuid=e5151de9-11e5-4d88-8b89-77814c900dc6"]},{"id":"ITEM-2","itemData":{"abstract":"Mice, rats, and other rodents threaten food production and act as reservoirs for disease throughout the world. In Asia alone, the rice loss every year caused by rodents could feed about 200 million people. Damage to crops in Africa and South America is equally dramatic. Rodent control often comes too late, is inefficient, or is considered too expensive. Using the multimammate mouse (Mastomys natalensis) in Tanzania and the house mouse (Mus domesticus) in southeastern Australia as primary case studies, we demonstrate how ecology and economics can be combined to identify management strategies to make rodent control work more efficiently than it does today. Three more rodent–pest systems – including two from Asia, the rice-field rat (Rattus argentiventer) and Brandt’s vole (Microtus brandti), and one from South America, the leaf-eared mouse (Phyllotis darwini) – are presented within the same bio-economic per- spective. For all these species, the ability to relate outbreaks to interannual climatic variability creates the potential to assess the economic benefits of forecasting rodent outbreaks.","author":[{"dropping-particle":"","family":"Stenseth","given":"Nils Chr.","non-dropping-particle":"","parse-names":false,"suffix":""},{"dropping-particle":"","family":"Leirs","given":"Herwig","non-dropping-particle":"","parse-names":false,"suffix":""},{"dropping-particle":"","family":"Skonhoft","given":"Anders","non-dropping-particle":"","parse-names":false,"suffix":""},{"dropping-particle":"","family":"Davis","given":"Stephen A.","non-dropping-particle":"","parse-names":false,"suffix":""},{"dropping-particle":"","family":"Pech","given":"Roger P.","non-dropping-particle":"","parse-names":false,"suffix":""},{"dropping-particle":"","family":"Andreassen","given":"Harry P.","non-dropping-particle":"","parse-names":false,"suffix":""},{"dropping-particle":"","family":"Singleton","given":"Grant R.","non-dropping-particle":"","parse-names":false,"suffix":""},{"dropping-particle":"","family":"Lima","given":"Mauricio","non-dropping-particle":"","parse-names":false,"suffix":""},{"dropping-particle":"","family":"Machangu","given":"Robert M.","non-dropping-particle":"","parse-names":false,"suffix":""},{"dropping-particle":"","family":"Makundi","given":"Rhodes H.","non-dropping-particle":"","parse-names":false,"suffix":""},{"dropping-particle":"","family":"Zhang","given":"Zhibin","non-dropping-particle":"","parse-names":false,"suffix":""},{"dropping-particle":"","family":"Brown","given":"Peter R.","non-dropping-particle":"","parse-names":false,"suffix":""},{"dropping-particle":"","family":"Shi","given":"Dazhao","non-dropping-particle":"","parse-names":false,"suffix":""},{"dropping-particle":"","family":"Wan","given":"Xinrong","non-dropping-particle":"","parse-names":false,"suffix":""}],"container-title":"Frontiers in Ecology and the Environment","id":"ITEM-2","issue":"7","issued":{"date-parts":[["2003"]]},"page":"367-375","title":"Mice and rats : the dynamics and bio- economics of agricultural rodents pests In a nutshell :","type":"article-journal","volume":"1"},"uris":["http://www.mendeley.com/documents/?uuid=1f97c607-b9d0-4abf-ad0d-1c933f1166e1"]},{"id":"ITEM-3","itemData":{"DOI":"10.1111/mam.12019","ISSN":"13652907","abstract":"We report the results of the first systematic assessment of global patterns and research priorities emerging in the field of rodent pest management. We carried out an extensive literature review targeted towards identifying the most relevant rodent pests, their impacts and the most common methods used to control them. We identified three disproportionally important pest species that are characterized by severe, generalist and geographically widespread impacts: the black rat Rattus rattus, the Norway rat Rattus norvegicus and the house mouse Mus musculus. Overall, only 7% of known rodent species may be considered pests. Scansorial (i.e. terrestrial and semi-arboreal) and fossorial species are generally important as pests, while aquatic and arboreal species have only specific impacts. Impacts of rodent pests on arable crops were studied most, followed by impacts on ecosystems. Studies on arable crops were typical in countries with low net income and health expenditure, while the opposite was observed for studies on ecosystems. Poisons were the most commonly used control method, followed by traps and habitat management. The need to control rodent species is expanding, especially to protect ecosystems and public health. Unlike in other fields of pest management (e.g. insect control), in rodent control we are approaching new problems with old solutions; control strategies and methods have not kept pace with emerging impacts. The need to control a rodent pest species is higher when it is non-native than within its original geographical range. The impact of a rodent species in its native range is a good predictor of the impact it may have in areas of introduction. Our review will contribute towards guiding researchers and stakeholders to focus research efforts and investments on a subset of species, and on new, less hazardous control techniques. © 2014 The Mammal Society and John Wiley &amp; Sons Ltd.","author":[{"dropping-particle":"","family":"Capizzi","given":"Dario","non-dropping-particle":"","parse-names":false,"suffix":""},{"dropping-particle":"","family":"Bertolino","given":"Sandro","non-dropping-particle":"","parse-names":false,"suffix":""},{"dropping-particle":"","family":"Mortelliti","given":"Alessio","non-dropping-particle":"","parse-names":false,"suffix":""}],"container-title":"Mammal Review","id":"ITEM-3","issue":"2","issued":{"date-parts":[["2014"]]},"page":"148-162","title":"Rating the rat: Global patterns and research priorities in impacts and management of rodent pests","type":"article-journal","volume":"44"},"uris":["http://www.mendeley.com/documents/?uuid=5e13a8d9-dcf4-48c5-83ca-cf5a6ea3ec16"]},{"id":"ITEM-4","itemData":{"DOI":"10.1134/s2075111710040089","ISSN":"2075-1117","abstract":"Taxonomic diversity of synanthropic and agrophilic rodents of Russia is analyzed. It is demonstrated that biological features of these mammals are similar. The history and pathways of their invasion, size of invaded area, and role in ecosystems are characterized. It is shown that synanthropic and agrophilic rodents are a part of a number of dangerous invasive alien mammals, but they take different places in the system of alien mammals. Synanthropic and agrophilic rodents are distinct from other alien species of mammals because their harm to natural ecosystems is not very noticeable; however, they cause serious damage to people in built-up areas and agrocoenoses. Agrophyly and synanthropy of rodents developed as an entire process of agro-synantropic population formation at early stages. Urban expansion and extensive plowing led to formation of independent agrophilic and synanthropic populations of rodents. On Russian territory, the house mice combines agrophyly and synanthropy to a greater extent. Expansion of synanthropic and agrophilic animals is connected with maximal transformation of nature by man: town planning and plowing. The global nature of these processes leads to erasure of zonal borders of biodiversity modification.","author":[{"dropping-particle":"","family":"Khlyap","given":"L. A.","non-dropping-particle":"","parse-names":false,"suffix":""},{"dropping-particle":"","family":"Warshavsky","given":"A. A.","non-dropping-particle":"","parse-names":false,"suffix":""}],"container-title":"Russian Journal of Biological Invasions","id":"ITEM-4","issue":"4","issued":{"date-parts":[["2010"]]},"page":"301-312","title":"Synanthropic and agrophilic rodents as invasive alien mammals","type":"article-journal","volume":"1"},"uris":["http://www.mendeley.com/documents/?uuid=43b577f6-5674-4287-89e0-f5191e10f887"]},{"id":"ITEM-5","itemData":{"DOI":"10.1016/j.ecolecon.2004.10.002","ISSN":"09218009","abstract":"Invading alien species in the United States cause major environmental damages and losses adding up to almost $120 billion per year. There are approximately 50,000 foreign species and the number is increasing. About 42% of the species on the Threatened or Endangered species lists are at risk primarily because of alien-invasive species. © 2004 Elsevier B.V. All rights reserved.","author":[{"dropping-particle":"","family":"Pimentel","given":"David","non-dropping-particle":"","parse-names":false,"suffix":""},{"dropping-particle":"","family":"Zuniga","given":"Rodolfo","non-dropping-particle":"","parse-names":false,"suffix":""},{"dropping-particle":"","family":"Morrison","given":"Doug","non-dropping-particle":"","parse-names":false,"suffix":""}],"container-title":"Ecological Economics","id":"ITEM-5","issue":"3 SPEC. ISS.","issued":{"date-parts":[["2005"]]},"page":"273-288","title":"Update on the environmental and economic costs associated with alien-invasive species in the United States","type":"article-journal","volume":"52"},"uris":["http://www.mendeley.com/documents/?uuid=74a47460-0f4f-4d9e-a12c-94bb46de4795"]},{"id":"ITEM-6","itemData":{"DOI":"10.5070/v426110437","abstract":"Many invasive rodent species have become established in the United States and its territories, both on the mainland and on islands. While most were introduced accidently, some were introduced for food or fur. These rodents have caused serious impacts to native flora and fauna, agriculture, and other resources. They have caused the extinction of many species of birds in insular ecosystems. Although many methods are used to control or eradicate introduced rodents, rodenticides and traps are the main tools. Since the early 1990s, agencies have been eradicating rodents from various islands, primarily for conservation purposes. There have been numerous eradication attempts in the United States and most have been successful. We review introduced rodent impacts and eradications, both successful and unsuccessful, which have occurred, with an emphasis on the United States. Finally, we consider some research needs and some remaining challenges in invasive rodent management and eradication in the United States, including the use of toxicants, land access, public attitudes, resource availability, and monitoring difficulties.","author":[{"dropping-particle":"","family":"Witmer","given":"Gary , W.","non-dropping-particle":"","parse-names":false,"suffix":""},{"dropping-particle":"","family":"Pitt","given":"William, C.","non-dropping-particle":"","parse-names":false,"suffix":""},{"dropping-particle":"","family":"Howald","given":"Gregg","non-dropping-particle":"","parse-names":false,"suffix":""}],"container-title":"Proceedings of the Vertebrate Pest Conference","id":"ITEM-6","issued":{"date-parts":[["2014"]]},"title":"Invasive Rodent Ecology, Impacts, and Management with an Emphasis on the United States","type":"article-journal","volume":"26"},"uris":["http://www.mendeley.com/documents/?uuid=a7d35236-7872-4301-94d2-a46b47156a31"]}],"mendeley":{"formattedCitation":"(Stenseth et al. 2003, Jojola et al. 2005, Pimentel et al. 2005, Khlyap and Warshavsky 2010, Capizzi et al. 2014, Witmer et al. 2014)","plainTextFormattedCitation":"(Stenseth et al. 2003, Jojola et al. 2005, Pimentel et al. 2005, Khlyap and Warshavsky 2010, Capizzi et al. 2014, Witmer et al. 2014)","previouslyFormattedCitation":"(Capizzi et al., 2014; Jojola et al., 2005; Khlyap &amp; Warshavsky, 2010; Pimentel et al., 2005; Stenseth et al., 2003; G. , W. Witmer et al., 2014)"},"properties":{"noteIndex":0},"schema":"https://github.com/citation-style-language/schema/raw/master/csl-citation.json"}</w:instrText>
      </w:r>
      <w:r w:rsidR="001F69D9"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(Stenseth et al. 2003, Jojola et al. 2005, Pimentel et al. 2005, Khlyap and Warshavsky 2010, Capizzi et al. 2014, Witmer et al. 2014)</w:t>
      </w:r>
      <w:r w:rsidR="001F69D9" w:rsidRPr="006159FD">
        <w:rPr>
          <w:rFonts w:ascii="Times New Roman" w:eastAsia="Times New Roman" w:hAnsi="Times New Roman" w:cs="Times New Roman"/>
          <w:color w:val="000000" w:themeColor="text1"/>
        </w:rPr>
        <w:fldChar w:fldCharType="end"/>
      </w:r>
      <w:r w:rsidR="001F69D9" w:rsidRPr="006159FD">
        <w:rPr>
          <w:rFonts w:ascii="Times New Roman" w:eastAsia="Times New Roman" w:hAnsi="Times New Roman" w:cs="Times New Roman"/>
          <w:color w:val="000000" w:themeColor="text1"/>
        </w:rPr>
        <w:t>.</w:t>
      </w:r>
    </w:p>
    <w:p w14:paraId="2AF36294" w14:textId="5619988A" w:rsidR="003236C0" w:rsidRPr="006159FD" w:rsidRDefault="003236C0" w:rsidP="00B934DE">
      <w:pPr>
        <w:widowControl w:val="0"/>
        <w:autoSpaceDE w:val="0"/>
        <w:autoSpaceDN w:val="0"/>
        <w:adjustRightInd w:val="0"/>
        <w:ind w:left="480" w:hanging="480"/>
        <w:rPr>
          <w:rFonts w:ascii="Times New Roman" w:hAnsi="Times New Roman" w:cs="Times New Roman"/>
          <w:color w:val="000000" w:themeColor="text1"/>
        </w:rPr>
      </w:pPr>
    </w:p>
    <w:p w14:paraId="2EFDB8A1" w14:textId="56A0D1CD" w:rsidR="003236C0" w:rsidRPr="006159FD" w:rsidRDefault="003236C0" w:rsidP="00B934DE">
      <w:pPr>
        <w:widowControl w:val="0"/>
        <w:autoSpaceDE w:val="0"/>
        <w:autoSpaceDN w:val="0"/>
        <w:adjustRightInd w:val="0"/>
        <w:ind w:left="480" w:hanging="480"/>
        <w:rPr>
          <w:rFonts w:ascii="Times New Roman" w:hAnsi="Times New Roman" w:cs="Times New Roman"/>
          <w:color w:val="000000" w:themeColor="text1"/>
        </w:rPr>
      </w:pPr>
    </w:p>
    <w:p w14:paraId="729D9317" w14:textId="2AC39203" w:rsidR="003236C0" w:rsidRPr="006159FD" w:rsidRDefault="008915DF" w:rsidP="00E67F11">
      <w:pPr>
        <w:rPr>
          <w:rFonts w:ascii="Times New Roman" w:hAnsi="Times New Roman" w:cs="Times New Roman"/>
        </w:rPr>
      </w:pPr>
      <w:r w:rsidRPr="006159FD">
        <w:rPr>
          <w:rFonts w:ascii="Times New Roman" w:hAnsi="Times New Roman" w:cs="Times New Roman"/>
          <w:noProof/>
        </w:rPr>
        <w:drawing>
          <wp:inline distT="0" distB="0" distL="0" distR="0" wp14:anchorId="2BC53CB5" wp14:editId="56D8BE16">
            <wp:extent cx="5943600" cy="4285615"/>
            <wp:effectExtent l="0" t="0" r="0" b="0"/>
            <wp:docPr id="1" name="Picture 1" descr="A picture containing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Screenshot 2019-12-05 13.54.19.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943600" cy="4285615"/>
                    </a:xfrm>
                    <a:prstGeom prst="rect">
                      <a:avLst/>
                    </a:prstGeom>
                  </pic:spPr>
                </pic:pic>
              </a:graphicData>
            </a:graphic>
          </wp:inline>
        </w:drawing>
      </w:r>
    </w:p>
    <w:p w14:paraId="7DD73617" w14:textId="77777777" w:rsidR="003236C0" w:rsidRPr="006159FD" w:rsidRDefault="003236C0" w:rsidP="003236C0">
      <w:pPr>
        <w:rPr>
          <w:rFonts w:ascii="Times New Roman" w:hAnsi="Times New Roman" w:cs="Times New Roman"/>
          <w:color w:val="000000" w:themeColor="text1"/>
        </w:rPr>
      </w:pPr>
    </w:p>
    <w:p w14:paraId="444307DE" w14:textId="202C12DE" w:rsidR="003236C0" w:rsidRPr="006159FD" w:rsidRDefault="003236C0" w:rsidP="003236C0">
      <w:pPr>
        <w:rPr>
          <w:rFonts w:ascii="Times New Roman" w:hAnsi="Times New Roman" w:cs="Times New Roman"/>
          <w:color w:val="000000" w:themeColor="text1"/>
        </w:rPr>
      </w:pPr>
    </w:p>
    <w:p w14:paraId="5A919EB2" w14:textId="77777777" w:rsidR="003236C0" w:rsidRPr="006159FD" w:rsidRDefault="003236C0" w:rsidP="003236C0">
      <w:pPr>
        <w:rPr>
          <w:rFonts w:ascii="Times New Roman" w:hAnsi="Times New Roman" w:cs="Times New Roman"/>
          <w:color w:val="000000" w:themeColor="text1"/>
        </w:rPr>
      </w:pPr>
    </w:p>
    <w:p w14:paraId="21FE565E" w14:textId="58D04791" w:rsidR="003F3B59" w:rsidRPr="006159FD" w:rsidRDefault="00BC1DCD" w:rsidP="003F3B59">
      <w:pPr>
        <w:rPr>
          <w:rFonts w:ascii="Times New Roman" w:hAnsi="Times New Roman" w:cs="Times New Roman"/>
          <w:color w:val="000000" w:themeColor="text1"/>
        </w:rPr>
      </w:pPr>
      <w:bookmarkStart w:id="2" w:name="_Toc25838858"/>
      <w:r w:rsidRPr="006159FD">
        <w:rPr>
          <w:rStyle w:val="Heading1Char"/>
          <w:rFonts w:ascii="Times New Roman" w:hAnsi="Times New Roman" w:cs="Times New Roman"/>
          <w:color w:val="000000" w:themeColor="text1"/>
          <w:sz w:val="24"/>
          <w:szCs w:val="24"/>
        </w:rPr>
        <w:t>Goal 3.</w:t>
      </w:r>
      <w:bookmarkEnd w:id="2"/>
      <w:r w:rsidRPr="006159FD">
        <w:rPr>
          <w:rFonts w:ascii="Times New Roman" w:hAnsi="Times New Roman" w:cs="Times New Roman"/>
          <w:color w:val="000000" w:themeColor="text1"/>
        </w:rPr>
        <w:t xml:space="preserve"> </w:t>
      </w:r>
      <w:r w:rsidR="003F3B59" w:rsidRPr="006159FD">
        <w:rPr>
          <w:rFonts w:ascii="Times New Roman" w:hAnsi="Times New Roman" w:cs="Times New Roman"/>
          <w:color w:val="000000" w:themeColor="text1"/>
        </w:rPr>
        <w:t>Assumptions and inclusion criteria</w:t>
      </w:r>
    </w:p>
    <w:p w14:paraId="1A8915D9" w14:textId="517A6D16" w:rsidR="003236C0" w:rsidRPr="006159FD" w:rsidRDefault="003F3B59" w:rsidP="003236C0">
      <w:pPr>
        <w:pStyle w:val="ListParagraph"/>
        <w:numPr>
          <w:ilvl w:val="0"/>
          <w:numId w:val="6"/>
        </w:numPr>
        <w:rPr>
          <w:rFonts w:ascii="Times New Roman" w:hAnsi="Times New Roman" w:cs="Times New Roman"/>
          <w:color w:val="000000" w:themeColor="text1"/>
        </w:rPr>
      </w:pPr>
      <w:r w:rsidRPr="006159FD">
        <w:rPr>
          <w:rFonts w:ascii="Times New Roman" w:hAnsi="Times New Roman" w:cs="Times New Roman"/>
          <w:color w:val="000000" w:themeColor="text1"/>
        </w:rPr>
        <w:t xml:space="preserve">We assumed </w:t>
      </w:r>
      <w:r w:rsidR="005B74F6" w:rsidRPr="006159FD">
        <w:rPr>
          <w:rFonts w:ascii="Times New Roman" w:hAnsi="Times New Roman" w:cs="Times New Roman"/>
          <w:color w:val="000000" w:themeColor="text1"/>
        </w:rPr>
        <w:t xml:space="preserve">the </w:t>
      </w:r>
      <w:r w:rsidRPr="006159FD">
        <w:rPr>
          <w:rFonts w:ascii="Times New Roman" w:hAnsi="Times New Roman" w:cs="Times New Roman"/>
          <w:color w:val="000000" w:themeColor="text1"/>
        </w:rPr>
        <w:t>i</w:t>
      </w:r>
      <w:r w:rsidR="00E90A36" w:rsidRPr="006159FD">
        <w:rPr>
          <w:rFonts w:ascii="Times New Roman" w:hAnsi="Times New Roman" w:cs="Times New Roman"/>
          <w:color w:val="000000" w:themeColor="text1"/>
        </w:rPr>
        <w:t>nvasive vertebrate</w:t>
      </w:r>
      <w:r w:rsidR="003236C0" w:rsidRPr="006159FD">
        <w:rPr>
          <w:rFonts w:ascii="Times New Roman" w:hAnsi="Times New Roman" w:cs="Times New Roman"/>
          <w:color w:val="000000" w:themeColor="text1"/>
        </w:rPr>
        <w:t xml:space="preserve"> </w:t>
      </w:r>
      <w:r w:rsidRPr="006159FD">
        <w:rPr>
          <w:rFonts w:ascii="Times New Roman" w:hAnsi="Times New Roman" w:cs="Times New Roman"/>
          <w:color w:val="000000" w:themeColor="text1"/>
        </w:rPr>
        <w:t>was</w:t>
      </w:r>
      <w:r w:rsidR="003236C0" w:rsidRPr="006159FD">
        <w:rPr>
          <w:rFonts w:ascii="Times New Roman" w:hAnsi="Times New Roman" w:cs="Times New Roman"/>
          <w:color w:val="000000" w:themeColor="text1"/>
        </w:rPr>
        <w:t xml:space="preserve"> a </w:t>
      </w:r>
      <w:r w:rsidR="00E90A36" w:rsidRPr="006159FD">
        <w:rPr>
          <w:rFonts w:ascii="Times New Roman" w:hAnsi="Times New Roman" w:cs="Times New Roman"/>
          <w:color w:val="000000" w:themeColor="text1"/>
        </w:rPr>
        <w:t>z</w:t>
      </w:r>
      <w:r w:rsidR="003236C0" w:rsidRPr="006159FD">
        <w:rPr>
          <w:rFonts w:ascii="Times New Roman" w:hAnsi="Times New Roman" w:cs="Times New Roman"/>
          <w:color w:val="000000" w:themeColor="text1"/>
        </w:rPr>
        <w:t xml:space="preserve">oonotic </w:t>
      </w:r>
      <w:r w:rsidR="00E90A36" w:rsidRPr="006159FD">
        <w:rPr>
          <w:rFonts w:ascii="Times New Roman" w:hAnsi="Times New Roman" w:cs="Times New Roman"/>
          <w:color w:val="000000" w:themeColor="text1"/>
        </w:rPr>
        <w:t>d</w:t>
      </w:r>
      <w:r w:rsidR="003236C0" w:rsidRPr="006159FD">
        <w:rPr>
          <w:rFonts w:ascii="Times New Roman" w:hAnsi="Times New Roman" w:cs="Times New Roman"/>
          <w:color w:val="000000" w:themeColor="text1"/>
        </w:rPr>
        <w:t xml:space="preserve">isease </w:t>
      </w:r>
      <w:r w:rsidR="00E90A36" w:rsidRPr="006159FD">
        <w:rPr>
          <w:rFonts w:ascii="Times New Roman" w:hAnsi="Times New Roman" w:cs="Times New Roman"/>
          <w:color w:val="000000" w:themeColor="text1"/>
        </w:rPr>
        <w:t>r</w:t>
      </w:r>
      <w:r w:rsidR="003236C0" w:rsidRPr="006159FD">
        <w:rPr>
          <w:rFonts w:ascii="Times New Roman" w:hAnsi="Times New Roman" w:cs="Times New Roman"/>
          <w:color w:val="000000" w:themeColor="text1"/>
        </w:rPr>
        <w:t>eservoir</w:t>
      </w:r>
      <w:r w:rsidRPr="006159FD">
        <w:rPr>
          <w:rFonts w:ascii="Times New Roman" w:hAnsi="Times New Roman" w:cs="Times New Roman"/>
          <w:color w:val="000000" w:themeColor="text1"/>
        </w:rPr>
        <w:t xml:space="preserve"> if </w:t>
      </w:r>
      <w:r w:rsidR="005B74F6" w:rsidRPr="006159FD">
        <w:rPr>
          <w:rFonts w:ascii="Times New Roman" w:hAnsi="Times New Roman" w:cs="Times New Roman"/>
          <w:color w:val="000000" w:themeColor="text1"/>
        </w:rPr>
        <w:t xml:space="preserve">the </w:t>
      </w:r>
      <w:r w:rsidRPr="006159FD">
        <w:rPr>
          <w:rFonts w:ascii="Times New Roman" w:hAnsi="Times New Roman" w:cs="Times New Roman"/>
          <w:color w:val="000000" w:themeColor="text1"/>
        </w:rPr>
        <w:t>invasive vertebrate was</w:t>
      </w:r>
      <w:r w:rsidR="003236C0" w:rsidRPr="006159FD">
        <w:rPr>
          <w:rFonts w:ascii="Times New Roman" w:hAnsi="Times New Roman" w:cs="Times New Roman"/>
          <w:color w:val="000000" w:themeColor="text1"/>
        </w:rPr>
        <w:t xml:space="preserve"> cat, rodent, dog, pig</w:t>
      </w:r>
      <w:r w:rsidR="001F69D9" w:rsidRPr="006159FD">
        <w:rPr>
          <w:rFonts w:ascii="Times New Roman" w:hAnsi="Times New Roman" w:cs="Times New Roman"/>
          <w:color w:val="000000" w:themeColor="text1"/>
        </w:rPr>
        <w:t>, racoon, macaque or mong</w:t>
      </w:r>
      <w:r w:rsidR="005B74F6" w:rsidRPr="006159FD">
        <w:rPr>
          <w:rFonts w:ascii="Times New Roman" w:hAnsi="Times New Roman" w:cs="Times New Roman"/>
          <w:color w:val="000000" w:themeColor="text1"/>
        </w:rPr>
        <w:t>o</w:t>
      </w:r>
      <w:r w:rsidR="001F69D9" w:rsidRPr="006159FD">
        <w:rPr>
          <w:rFonts w:ascii="Times New Roman" w:hAnsi="Times New Roman" w:cs="Times New Roman"/>
          <w:color w:val="000000" w:themeColor="text1"/>
        </w:rPr>
        <w:t xml:space="preserve">ose (Table S1, </w:t>
      </w:r>
      <w:r w:rsidR="001F69D9"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{"citationItems":[{"id":"ITEM-1","itemData":{"DOI":"10.4269/ajtmh.16-0573","author":[{"dropping-particle":"","family":"Wit","given":"Luz A","non-dropping-particle":"de","parse-names":false,"suffix":""},{"dropping-particle":"","family":"Croll","given":"Donald A","non-dropping-particle":"","parse-names":false,"suffix":""},{"dropping-particle":"","family":"Tershy","given":"Bernie","non-dropping-particle":"","parse-names":false,"suffix":""},{"dropping-particle":"","family":"Newton","given":"Kelly M","non-dropping-particle":"","parse-names":false,"suffix":""},{"dropping-particle":"","family":"Spatz","given":"Dena R","non-dropping-particle":"","parse-names":false,"suffix":""},{"dropping-particle":"","family":"Holmes","given":"Nick D","non-dropping-particle":"","parse-names":false,"suffix":""},{"dropping-particle":"","family":"Kilpatrick","given":"A Marm","non-dropping-particle":"","parse-names":false,"suffix":""}],"container-title":"American Journal of Tropical Medicine and Hygiene","id":"ITEM-1","issue":"3","issued":{"date-parts":[["2017"]]},"page":"749-757","title":"Estimating Burdens of Neglected Tropical Zoonotic Diseases on Islands with Introduced Mammals","type":"article-journal","volume":"96"},"uris":["http://www.mendeley.com/documents/?uuid=ecbb8534-88f1-42ed-974c-b15630230d28"]},{"id":"ITEM-2","itemData":{"DOI":"10.1371/journal.pntd.0000368","author":[{"dropping-particle":"","family":"Lv","given":"Shan","non-dropping-particle":"","parse-names":false,"suffix":""},{"dropping-particle":"","family":"Zhang","given":"Yi","non-dropping-particle":"","parse-names":false,"suffix":""},{"dropping-particle":"","family":"Liu","given":"He-xiang","non-dropping-particle":"","parse-names":false,"suffix":""},{"dropping-particle":"","family":"Hu","given":"Ling","non-dropping-particle":"","parse-names":false,"suffix":""},{"dropping-particle":"","family":"Yang","given":"Kun","non-dropping-particle":"","parse-names":false,"suffix":""},{"dropping-particle":"","family":"Steinmann","given":"Peter","non-dropping-particle":"","parse-names":false,"suffix":""},{"dropping-particle":"","family":"Chen","given":"Zhao","non-dropping-particle":"","parse-names":false,"suffix":""},{"dropping-particle":"","family":"Zhou","given":"Xiao-nong","non-dropping-particle":"","parse-names":false,"suffix":""}],"container-title":"PLoS Neglected Tropical Diseases","id":"ITEM-2","issue":"2","issued":{"date-parts":[["2009"]]},"page":"1-8","title":"Invasive Snails and an Emerging Infectious Disease : Results from the First National Survey on Angiostrongylus cantonensis in China","type":"article-journal","volume":"3"},"uris":["http://www.mendeley.com/documents/?uuid=35dcdb22-ad24-40c8-b47e-e8c0e46d3c66"]},{"id":"ITEM-3","itemData":{"DOI":"10.1071/WR14201","ISSN":"10353712","abstract":"This review aims to synthesise knowledge regarding the taxonomy of South-east Asian murine rodents and the challenges associated with the identification of habitat preferences and associated rodent-borne diseases. Recent studies concerning the Rattini tribe have identified unclear species boundaries that would benefit from further investigation. The development of barcoding may allow more accurate identification of rodents, specifically for complex species. However, knowledge on the distribution and habitat specialisations of many common murine rodents is still scarce, particularly regarding the specific habitat preferences of most synanthropic rodent species (Rattus tanezumi or Rattus exulans). Several studies have analysed the prevalence of major rodent-borne diseases in South-east Asia and it appears that the greatest risk of rodent zoonoses are in the lowland rain-fed and irrigated landscapes, generally in and around rice fields.","author":[{"dropping-particle":"","family":"Blasdell","given":"Kim","non-dropping-particle":"","parse-names":false,"suffix":""},{"dropping-particle":"","family":"Bordes","given":"Frédéric","non-dropping-particle":"","parse-names":false,"suffix":""},{"dropping-particle":"","family":"Chaisiri","given":"Kittipong","non-dropping-particle":"","parse-names":false,"suffix":""},{"dropping-particle":"","family":"Chaval","given":"Yannick","non-dropping-particle":"","parse-names":false,"suffix":""},{"dropping-particle":"","family":"Claude","given":"Julien","non-dropping-particle":"","parse-names":false,"suffix":""},{"dropping-particle":"","family":"Cosson","given":"Jean François","non-dropping-particle":"","parse-names":false,"suffix":""},{"dropping-particle":"","family":"Latinne","given":"Alice","non-dropping-particle":"","parse-names":false,"suffix":""},{"dropping-particle":"","family":"Michaux","given":"Johan","non-dropping-particle":"","parse-names":false,"suffix":""},{"dropping-particle":"","family":"Morand","given":"Serge","non-dropping-particle":"","parse-names":false,"suffix":""},{"dropping-particle":"","family":"Pagès","given":"Marie","non-dropping-particle":"","parse-names":false,"suffix":""},{"dropping-particle":"","family":"Tran","given":"Annelise","non-dropping-particle":"","parse-names":false,"suffix":""}],"container-title":"Wildlife Research","id":"ITEM-3","issue":"2","issued":{"date-parts":[["2015"]]},"page":"98-107","title":"Progress on research on rodents and rodent-borne zoonoses in South-east Asia","type":"article-journal","volume":"42"},"uris":["http://www.mendeley.com/documents/?uuid=0f60ee48-0967-407d-826c-684e537d6c2c"]},{"id":"ITEM-4","itemData":{"DOI":"10.1089/vbz.2013.1375","ISSN":"15577759","abstract":"The presence of bartonellae in invasive rats (Rattus rattus) and indigenous rodents (Arvicanthis niloticus and Cricetomys gambianus) from two districts in Uganda, Arua and Zombo, was examined by PCR detection and culture. Blood from a total of 228 R. rattus, 31 A. niloticus, and 5 C. gambianus was screened using genus-specific primers targeting the 16S-23S intergenic spacer region. Furthermore, rodent blood was plated on brain heart infusion blood agar, and isolates were verified as Bartonella species using citrate synthase gene- (gltA) specific primers. One hundred and four fleas recovered from R. rattus were also tested for the presence of Bartonella species using the same gltA primer set. An overall prevalence of 1.3% (three of 228) was obtained in R. rattus, whereas 61.3% of 31 A. niloticus and 60% of five C. gambianus were positive for the presence of Bartonella species. Genotypes related to Bartonella elizabethae, a known zoonotic pathogen, were detected in three R. rattus and one C. gambianus. Bartonella strains, similar to bacteria detected in indigenous rodents from other African countries, were isolated from the blood of A. niloticus. Bartonellae, similar to bacteria initially cultured from Ornithodorus sonrai (soft tick) from Senegal, were found in two C. gambianus. Interestingly, bartonellae detected in fleas from invasive rats were similar to bacteria identified in indigenous rodents and not their rat hosts, with an overall prevalence of 6.7%. These results suggest that if fleas are competent vectors of these bartonellae, humans residing in these two districts of Uganda are potentially at greater risk for exposure to Bartonella species from native rodents than from invasive rats. The low prevalence of bartonellae in R. rattus was quite surprising, in contrast, to the detection of these organisms in a large percentage of Rattus species from other geographical areas. A possible reason for this disparity is discussed. © Mary Ann Liebert, Inc.","author":[{"dropping-particle":"","family":"Billeter","given":"Sarah A.","non-dropping-particle":"","parse-names":false,"suffix":""},{"dropping-particle":"","family":"Borchert","given":"Jeff N.","non-dropping-particle":"","parse-names":false,"suffix":""},{"dropping-particle":"","family":"Atiku","given":"Linda A.","non-dropping-particle":"","parse-names":false,"suffix":""},{"dropping-particle":"","family":"Mpanga","given":"Joseph T.","non-dropping-particle":"","parse-names":false,"suffix":""},{"dropping-particle":"","family":"Gage","given":"Kenneth L.","non-dropping-particle":"","parse-names":false,"suffix":""},{"dropping-particle":"","family":"Kosoy","given":"Michael Y.","non-dropping-particle":"","parse-names":false,"suffix":""}],"container-title":"Vector-Borne and Zoonotic Diseases","id":"ITEM-4","issue":"3","issued":{"date-parts":[["2014"]]},"page":"182-188","title":"Bartonella species in invasive rats and indigenous rodents from Uganda","type":"article-journal","volume":"14"},"uris":["http://www.mendeley.com/documents/?uuid=d3a9387a-dd81-47f6-8e61-429e1688e8af"]},{"id":"ITEM-5","itemData":{"DOI":"10.5070/v425110574","author":[{"dropping-particle":"","family":"Julius, Rolanda","given":"S.","non-dropping-particle":"","parse-names":false,"suffix":""},{"dropping-particle":"","family":"Bastos, Armanda","given":"D.","non-dropping-particle":"","parse-names":false,"suffix":""},{"dropping-particle":"","family":"Chimimba, Christian","given":"T.","non-dropping-particle":"","parse-names":false,"suffix":""},{"dropping-particle":"","family":"Brettschneider","given":"Helene","non-dropping-particle":"","parse-names":false,"suffix":""}],"container-title":"Proceedings of the Vertebrate Pest Conference","id":"ITEM-5","issued":{"date-parts":[["2012"]]},"page":"261-266","title":"Dynamics of Rodent-Borne Zoonotic Diseases and Their Reservoir Hosts: Invasive Rattus in South Africa","type":"article-journal","volume":"25"},"uris":["http://www.mendeley.com/documents/?uuid=5707bec9-cc8d-421f-ad1d-01c53d1c34ea"]},{"id":"ITEM-6","itemData":{"DOI":"10.1111/1749-4877.12143","ISSN":"17494877","abstract":"We summarize the current knowledge on parasitism-related invasion processes of the globally invasive Rattus lineages, originating from Asia, and how these invasions have impacted the local epidemiology of rodent-borne diseases. Parasites play an important role in the invasion processes and successes of their hosts through multiple biological mechanisms such as \"parasite release,\" \"immunocompetence advantage,\" \"biotic resistance\" and \"novel weapon.\" Parasites may also greatly increase the impact of invasions by spillover of parasites and other pathogens, introduced with invasive hosts, into new hosts, potentially leading to novel emerging diseases. Another potential impact is the ability of the invader to amplify local parasites by spillback. In both cases, local fauna and humans may be exposed to new health risks, which may decrease biodiversity and potentially cause increases in human morbidity and mortality. Here we review the current knowledge on these processes and propose some research priorities.","author":[{"dropping-particle":"","family":"Morand","given":"Serge","non-dropping-particle":"","parse-names":false,"suffix":""},{"dropping-particle":"","family":"Bordes","given":"Frédéric","non-dropping-particle":"","parse-names":false,"suffix":""},{"dropping-particle":"","family":"Chen","given":"Hsuan Wien","non-dropping-particle":"","parse-names":false,"suffix":""},{"dropping-particle":"","family":"Claude","given":"Julien","non-dropping-particle":"","parse-names":false,"suffix":""},{"dropping-particle":"","family":"Cosson","given":"Jean François","non-dropping-particle":"","parse-names":false,"suffix":""},{"dropping-particle":"","family":"Galan","given":"Maxime","non-dropping-particle":"","parse-names":false,"suffix":""},{"dropping-particle":"","family":"Czirják","given":"Gábor A.","non-dropping-particle":"","parse-names":false,"suffix":""},{"dropping-particle":"","family":"Greenwood","given":"Alex D.","non-dropping-particle":"","parse-names":false,"suffix":""},{"dropping-particle":"","family":"Latinne","given":"Alice","non-dropping-particle":"","parse-names":false,"suffix":""},{"dropping-particle":"","family":"Michaux","given":"Johan","non-dropping-particle":"","parse-names":false,"suffix":""},{"dropping-particle":"","family":"Ribas","given":"Alexis","non-dropping-particle":"","parse-names":false,"suffix":""}],"container-title":"Integrative Zoology","id":"ITEM-6","issue":"5","issued":{"date-parts":[["2015"]]},"page":"409-423","title":"Global parasite and Rattus rodent invasions: The consequences for rodent-borne diseases","type":"article-journal","volume":"10"},"uris":["http://www.mendeley.com/documents/?uuid=d4e6f651-b8d6-46bb-b5c2-ce947b102345"]},{"id":"ITEM-7","itemData":{"DOI":"10.1371/journal.pntd.0006615","ISBN":"1111111111","ISSN":"19352735","abstract":"Bioinvasion is a major public health issue because it can lead to the introduction of pathogens in new areas and favours the emergence of zoonotic diseases. Rodents are prominent invasive species, and act as reservoirs in many zoonotic infectious diseases. The aim of this study was to determine the link between the distribution and spread of two parasite taxa (Leishmania spp. and Trypanosoma lewisi) and the progressive invasion of Senegal by two commensal rodent species (the house mouse Mus musculus domesticus and the black rat Rattus rattus). M. m. domesticus and R. rattus have invaded the northern part and the central/southern part of the country, respectively. Native and invasive rodents were caught in villages and cities along the invasion gradients of both invaders, from coastal localities towards the interior of the land. Molecular diagnosis of the two trypanosomatid infections was performed using spleen specimens. In the north, neither M. m. domesticus nor the native species were carriers of these parasites. Conversely, in the south, 17.5% of R. rattus were infected by L. major and 27.8% by T. lewisi, while very few commensal native rodents were carriers. Prevalence pattern along invasion gradients, together with the knowledge on the geographical distribution of the parasites, suggested that the presence of the two parasites in R. rattus in Senegal is of different origins. Indeed, the invader R. rattus could have been locally infected by the native parasite L. major. Conversely, it could have introduced the exotic parasite T. lewisi in Senegal, the latter appearing to be poorly transmitted to native rodents. Altogether, these data show that R. rattus is a carrier of both parasites and could be responsible for the emergence of new foci of cutaneous leishmaniasis, or for the transmission of atypical human trypanosomiasis in Senegal.","author":[{"dropping-particle":"","family":"Cassan","given":"Cécile","non-dropping-particle":"","parse-names":false,"suffix":""},{"dropping-particle":"","family":"Diagne","given":"Christophe A.","non-dropping-particle":"","parse-names":false,"suffix":""},{"dropping-particle":"","family":"Tatard","given":"Caroline","non-dropping-particle":"","parse-names":false,"suffix":""},{"dropping-particle":"","family":"Gauthier","given":"Philippe","non-dropping-particle":"","parse-names":false,"suffix":""},{"dropping-particle":"","family":"Dalecky","given":"Ambroise","non-dropping-particle":"","parse-names":false,"suffix":""},{"dropping-particle":"","family":"Bâ","given":"Khalilou","non-dropping-particle":"","parse-names":false,"suffix":""},{"dropping-particle":"","family":"Kane","given":"Mamadou","non-dropping-particle":"","parse-names":false,"suffix":""},{"dropping-particle":"","family":"Niang","given":"Youssoupha","non-dropping-particle":"","parse-names":false,"suffix":""},{"dropping-particle":"","family":"Diallo","given":"Mamoudou","non-dropping-particle":"","parse-names":false,"suffix":""},{"dropping-particle":"","family":"Sow","given":"Aliou","non-dropping-particle":"","parse-names":false,"suffix":""},{"dropping-particle":"","family":"Brouat","given":"Carine","non-dropping-particle":"","parse-names":false,"suffix":""},{"dropping-particle":"","family":"Bañuls","given":"Anne Laure","non-dropping-particle":"","parse-names":false,"suffix":""}],"container-title":"PLoS Neglected Tropical Diseases","id":"ITEM-7","issue":"6","issued":{"date-parts":[["2018"]]},"page":"1-21","title":"Leishmania major and Trypanosoma lewisi infection in invasive and native rodents in Senegal","type":"article-journal","volume":"12"},"uris":["http://www.mendeley.com/documents/?uuid=854d8c75-c14e-4e36-94d4-43707595bb50"]},{"id":"ITEM-8","itemData":{"DOI":"10.1007/s10344-011-0600-4","ISBN":"1034401106","ISSN":"16124642","abstract":"From the past, species have been transferred among ecosystems trough traveling and global trade. The establishment and spread of such invasive species has caused significant damage to the economy, the environment, and human or native species health. This review compiles information on infections or contact with pathogens reported in raccoons (Procyon lotor). Raccoons are opportunistic carnivores native to North America. However, nowadays they are distributed across mainland Europe as a result of escaped pets and introductions. In their native range, raccoons are known to be host to a number of disease agents that could be transmitted to humans, domestic animals and other wildlife. Hence, the increase of raccoon populations and their geographic spread in Europe may result in new disease hazards. Raccoons have been identified as possible sentinels of diseases such as West Nile virus, and they pose a disease-related conservation risk by maintaining circulation of canine distemper virus. They also have the potential to participate in the maintenance of zoonoses including the raccoon roundworm Baylisascaris procyonis. Due its fast expansion and the large list of diseases, we conclude that the introduction of the raccoon has had adverse effects on health in Europe. This might well be the case of other invasive species, too. Hence, studies on invasive species health aspects are urgently needed to assess the risk of disease spread and eventually establish control measures. © 2011 Springer-Verlag.","author":[{"dropping-particle":"","family":"Beltrán-Beck","given":"Beatriz","non-dropping-particle":"","parse-names":false,"suffix":""},{"dropping-particle":"","family":"García","given":"Francisco José","non-dropping-particle":"","parse-names":false,"suffix":""},{"dropping-particle":"","family":"Gortázar","given":"Christian","non-dropping-particle":"","parse-names":false,"suffix":""}],"container-title":"European Journal of Wildlife Research","id":"ITEM-8","issue":"1","issued":{"date-parts":[["2012"]]},"page":"5-15","title":"Raccoons in Europe: Disease hazards due to the establishment of an invasive species","type":"article-journal","volume":"58"},"uris":["http://www.mendeley.com/documents/?uuid=5fb26227-dd25-4570-800e-9697b8676ea2"]},{"id":"ITEM-9","itemData":{"DOI":"10.1016/j.vetpar.2011.07.014","ISSN":"03044017","abstract":"The close emotional tie between people and companion animals is a beneficial relation known as the human-animal bond. However, pet dogs and cats can play an important role in the transmission of helminthic zoonotic agents such as the tapeworms Echinococcus and the roundworms Toxocara which are directly transmitted from pets to the human environment without the involvement of vectors or intermediate hosts. In humans, echinococcosis has emerged in Europe and toxocarosis is still persisting in large endemic areas despite the availability of highly efficient anthelminthics for dogs and cats. Ecological changes significantly contributed to these trends: the high wild fox populations and the high density of freely roaming dogs and cats maintain a permanent infection pressure of these and other parasites. Further, the establishment of urban recreational environments closer to natural ecological systems boosted vole populations that represent urban reservoirs for zoonotic helminths. A good understanding of the parasites' biology and epidemiology including the transmission to humans is required for planning and implementing effective prevention strategies. The continuous education of veterinarians and the information of the pet owners by providing uniform recommendations are of priority importance. A close collaboration between veterinary and public health professionals in a 'One Health' concept is required. © 2011 Elsevier B.V.","author":[{"dropping-particle":"","family":"Deplazes","given":"Peter","non-dropping-particle":"","parse-names":false,"suffix":""},{"dropping-particle":"","family":"Knapen","given":"Frans","non-dropping-particle":"van","parse-names":false,"suffix":""},{"dropping-particle":"","family":"Schweiger","given":"Alexander","non-dropping-particle":"","parse-names":false,"suffix":""},{"dropping-particle":"","family":"Overgaauw","given":"Paul A.M.","non-dropping-particle":"","parse-names":false,"suffix":""}],"container-title":"Veterinary Parasitology","id":"ITEM-9","issue":"1","issued":{"date-parts":[["2011"]]},"page":"41-53","publisher":"Elsevier B.V.","title":"Role of pet dogs and cats in the transmission of helminthic zoonoses in Europe, with a focus on echinococcosis and toxocarosis","type":"article-journal","volume":"182"},"uris":["http://www.mendeley.com/documents/?uuid=e658ac0a-a94c-4bab-aac5-823cc6c1aafa"]},{"id":"ITEM-10","itemData":{"DOI":"10.1016/S0020-7519(00)00122-3","ISSN":"00207519","PMID":"11113260","abstract":"As our ability to recognise and diagnose human disease caused by helminth parasites has improved, so our understanding of the epidemiology and clinical manifestations of these diseases has improved. Humans can develop patent infection with a wide range of helminth parasites, whose natural host is another vertebrate. Rather than focusing on a comprehensive review of zoonotic helminth infections, this review describes in detail examples of zoonotic helminth infections that have newly appeared in human populations, or have existed but are increasing in incidence or geographic range. Examples include intestinal capillariasis, anisakidosis, eosinophilic enteritis, oesophagostomiasis and gnathostomiasis. Potential reasons for the emergence of these infections, including changes in social, dietary or cultural mores, environmental changes, and the improved recognition of heretofore neglected infections often coupled with an improved ability to diagnose infection are discussed. Copyright (C) 2000 .","author":[{"dropping-particle":"","family":"McCarthy","given":"James","non-dropping-particle":"","parse-names":false,"suffix":""},{"dropping-particle":"","family":"Moore","given":"Thomas A.","non-dropping-particle":"","parse-names":false,"suffix":""}],"container-title":"International Journal for Parasitology","id":"ITEM-10","issue":"12-13","issued":{"date-parts":[["2000"]]},"page":"1351-1359","title":"Emerging helminth zoonoses","type":"article-journal","volume":"30"},"uris":["http://www.mendeley.com/documents/?uuid=d900e027-2011-409e-8d97-ab42140f3d7f"]},{"id":"ITEM-11","itemData":{"DOI":"10.1080/10408410902989837","ISBN":"1040841090","ISSN":"1040841X","abstract":"Rodents are the most abundant and diversified order of living mammals in the world. Already since the Middle Ages we know that they can contribute to human disease, as black rats were associated with distribution of plague. However, also in modern times rodents form a threat for public health. In this review article a large number of pathogens that are directly or indirectly transmitted by rodents are described. Moreover, a simplified rodent disease model is discussed. © 2009 Informa UK Ltd.","author":[{"dropping-particle":"","family":"Meerburg","given":"Bastiaan G.","non-dropping-particle":"","parse-names":false,"suffix":""},{"dropping-particle":"","family":"Singleton","given":"Grant R.","non-dropping-particle":"","parse-names":false,"suffix":""},{"dropping-particle":"","family":"Kijlstra","given":"Aize","non-dropping-particle":"","parse-names":false,"suffix":""}],"container-title":"Critical Reviews in Microbiology","id":"ITEM-11","issue":"3","issued":{"date-parts":[["2009"]]},"number-of-pages":"221-270","title":"Rodent-borne diseases and their risks for public health Rodent-borne diseases and their risks for public health","type":"book","volume":"35"},"uris":["http://www.mendeley.com/documents/?uuid=f28ebd48-7e63-47e5-b3c1-efaa7114ec34"]},{"id":"ITEM-12","itemData":{"DOI":"10.1371/journal.pntd.0000320","abstract":"Visceral pentastomiasis in humans is caused by the larval stages (nymphs) of the arthropod-related tongue worms Linguatula serrata, Armillifer armillatus, A. moniliformis, A. grandis, and Porocephalus crotali. The majority of cases has been reported from Africa, Malaysia, and the Middle East, where visceral pentastomiasis may be an incidental finding in autopsies, and less often from China and Latin America. In Europe and North America, the disease is only rarely encountered in immigrants and long-term travelers, and the parasitic lesions may be confused with malignancies, leading to a delay in the correct diagnosis. Since clinical symptoms are variable and serological tests are not readily available, the diagnosis often relies on histopathological examinations. This laboratory symposium focuses on the diagnosis of this unusual parasitic disease and presents its risk factors and epidemiology. © 2009 Tappe, Büttner.","author":[{"dropping-particle":"","family":"Tappe","given":"Dennis","non-dropping-particle":"","parse-names":false,"suffix":""},{"dropping-particle":"","family":"Büttner","given":"Dietrich W.","non-dropping-particle":"","parse-names":false,"suffix":""}],"container-title":"PLoS Neglected Tropical Diseases","id":"ITEM-12","issue":"2","issued":{"date-parts":[["2009"]]},"title":"Diagnosis of human visceral pentastomiasis","type":"article-journal","volume":"3"},"uris":["http://www.mendeley.com/documents/?uuid=cab0d638-fb05-4029-9985-dcb878d3172d"]},{"id":"ITEM-13","itemData":{"DOI":"10.1007/s13364-013-0138-9","ISSN":"00017051","abstract":"Invasive wildlife species have the potential to act as additional host and vector species for infectious diseases. The raccoon dog (Nyctereutes procyonides), a carnivore species that has its origin in Asia, was taken as an example to demonstrate biological and ecological prerequisites which enables an invasive species to occupy a new habitat permanently. Studies conducted during the last 20 years identified a total of 35 species of endoparasites, five ectoparasites, six bacterial or protozoan species, and five viruses found in the subspecies Nyctereutes procyonoides ussuriensis in its original and newly occupied habitat or in Nyctereutes procyonoides koreensis in its original habitat, respectively. With reference to raccoon dogs impact as vector species and the relevance for human and animal health, we selected Trichinella spp., Echinococcus multilocularis, Francisella tularensis, rabies virus, and canine distemper virus for detailed description. Results of studies from Finland and Germany furthermore showed that biological characteristics of the raccoon dog make this carnivore an ideal host and vector for a variety of pathogens. This may result in a growing importance of this invasive species concerning the epidemiology of some transmissible diseases in Europe, including the hazard that the existence of autochthonous wildlife, particularly small populations, is endangered. Potential adverse effects on human and animal health in the livestock sector must also be taken into account. Especially with regard to its potential as a reservoir for zoonotic diseases, the raccoon dog should receive more attention in disease prevention and eradication strategies. © 2013 Mammal Research Institute, Polish Academy of Sciences, Białowieża, Poland.","author":[{"dropping-particle":"","family":"Sutor","given":"Astrid","non-dropping-particle":"","parse-names":false,"suffix":""},{"dropping-particle":"","family":"Schwarz","given":"Sabine","non-dropping-particle":"","parse-names":false,"suffix":""},{"dropping-particle":"","family":"Conraths","given":"Franz Josef","non-dropping-particle":"","parse-names":false,"suffix":""}],"container-title":"Acta Theriologica","id":"ITEM-13","issue":"1","issued":{"date-parts":[["2014"]]},"page":"49-59","title":"The biological potential of the raccoon dog (Nyctereutes procyonoides, Gray 1834) as an invasive species in Europe-new risks for disease spread?","type":"article-journal","volume":"59"},"uris":["http://www.mendeley.com/documents/?uuid=46ac0025-6658-46cd-b6ef-c56415f06e79"]},{"id":"ITEM-14","itemData":{"DOI":"10.1371/journal.pone.0096358","ISSN":"19326203","abstract":"The raccoon dog (Nyctereutes procyonoides) is an introduced species in Europe with a continually expanding range. Since the species is capable of affecting local ecosystems and is a vector for a number of severe zoonotic diseases, it is important to understand its food habits. Raccoon dog diet was studied in Estonia by examining the contents of 223 stomach samples collected during the coldest period of the year, August to March, in 2010-2012. The most frequently consumed food categories were anthropogenic plants (e.g. cereals, fruits; FO = 56.1%) and carrion (e.g. carcasses of artiodactyls and carnivores; FO = 48.4%). Carrion was also the only food category that was consumed significantly more frequently by raccoon dogs exhibiting symptoms of sarcoptic mange than by uninfected animals. Small mammals, which represent intermediate hosts for the zoonotic tapeworm Echinococcus multilocularis, were more commonly recorded in samples also containing anthropogenic plants than expected by chance. Comparison of raccoon dog and red fox (Vulpes vulpes) diet in Estonia revealed higher overlap than found elsewhere in Europe, with 'carrion' and 'anthropogenic plants' making up the bulk of both species' diet; however, raccoon dogs were more omnivorous than red foxes. Our results suggest that while the use of most food categories reflects the phenology of natural food sources, 'anthropogenic plants' and 'carrion' provide an essential resource for raccoon dogs during the coldest period of the year, with the latter resource especially important for individuals infected with sarcoptic mange. Since both of these food categories and small mammals are often found at supplementary feeding sites for wild boar (Sus scrofa), this game management practice may facilitate high densities of mesocarnivores and promote the spread of some severe zoonotic diseases, including alveolar echinococcosis, trichinellosis, rabies and sarcoptic mange. © 2014 Süld et al.","author":[{"dropping-particle":"","family":"Süld","given":"Karmen","non-dropping-particle":"","parse-names":false,"suffix":""},{"dropping-particle":"","family":"Valdmann","given":"Harri","non-dropping-particle":"","parse-names":false,"suffix":""},{"dropping-particle":"","family":"Laurimaa","given":"Leidi","non-dropping-particle":"","parse-names":false,"suffix":""},{"dropping-particle":"","family":"Soe","given":"Egle","non-dropping-particle":"","parse-names":false,"suffix":""},{"dropping-particle":"","family":"Davison","given":"John","non-dropping-particle":"","parse-names":false,"suffix":""},{"dropping-particle":"","family":"Saarma","given":"Urmas","non-dropping-particle":"","parse-names":false,"suffix":""}],"container-title":"PLoS ONE","id":"ITEM-14","issue":"5","issued":{"date-parts":[["2014"]]},"title":"An invasive vector of zoonotic disease sustained by anthropogenic resources: The raccoon dog in Northern Europe","type":"article-journal","volume":"9"},"uris":["http://www.mendeley.com/documents/?uuid=b33879cc-d016-48ad-ad69-7717eae068dc"]},{"id":"ITEM-15","itemData":{"DOI":"10.1016/j.pt.2014.03.005","ISSN":"14715007","abstract":"Forecasts of emerging zoonoses neglect the threat alien species pose in disease transmission to humans. A review of alien parasites, hosts, and vectors introduced to Europe highlights the wide range of potential public health risks, the need for better surveillance and risk assessment, and major policy gaps in global preparedness. © 2014 Elsevier Ltd.","author":[{"dropping-particle":"","family":"Hulme","given":"Philip E.","non-dropping-particle":"","parse-names":false,"suffix":""}],"container-title":"Trends in Parasitology","id":"ITEM-15","issue":"6","issued":{"date-parts":[["2014"]]},"page":"267-270","publisher":"Elsevier Ltd","title":"Invasive species challenge the global response to emerging diseases","type":"article-journal","volume":"30"},"uris":["http://www.mendeley.com/documents/?uuid=0304064a-4d2f-47af-8ec2-e94afc4956cf"]},{"id":"ITEM-16","itemData":{"DOI":"10.2984/66.2.7","ISBN":"0030-8870","ISSN":"0030-8870","PMID":"76454611","author":[{"dropping-particle":"","family":"Duffy","given":"David Cameron","non-dropping-particle":"","parse-names":false,"suffix":""},{"dropping-particle":"","family":"Capece","given":"Paula","non-dropping-particle":"","parse-names":false,"suffix":""}],"container-title":"Pacific Science","id":"ITEM-16","issue":"2","issued":{"date-parts":[["2012"]]},"page":"173-212","title":"Biology and Impacts of Pacific Island Invasive Species. 7. The Domestic Cat ( Felis catus ) 1","type":"article-journal","volume":"66"},"uris":["http://www.mendeley.com/documents/?uuid=52b0635d-9988-4eea-b0ca-50a0ca0da707"]}],"mendeley":{"formattedCitation":"(McCarthy and Moore 2000, Meerburg et al. 2009, Tappe and Büttner 2009, Lv et al. 2009, Deplazes et al. 2011, Beltrán-Beck et al. 2012, Duffy and Capece 2012, Julius, Rolanda et al. 2012, Billeter et al. 2014, Süld et al. 2014, Sutor et al. 2014, Hulme 2014, Morand et al. 2015, Blasdell et al. 2015, de Wit et al. 2017, Cassan et al. 2018)","plainTextFormattedCitation":"(McCarthy and Moore 2000, Meerburg et al. 2009, Tappe and Büttner 2009, Lv et al. 2009, Deplazes et al. 2011, Beltrán-Beck et al. 2012, Duffy and Capece 2012, Julius, Rolanda et al. 2012, Billeter et al. 2014, Süld et al. 2014, Sutor et al. 2014, Hulme 2014, Morand et al. 2015, Blasdell et al. 2015, de Wit et al. 2017, Cassan et al. 2018)","previouslyFormattedCitation":"(Beltrán-Beck et al., 2012; Billeter et al., 2014; Blasdell et al., 2015; Cassan et al., 2018; de Wit et al., 2017; Deplazes et al., 2011; Duffy &amp; Capece, 2012; Philip E. Hulme, 2014; Julius, Rolanda et al., 2012; Lv et al., 2009; McCarthy &amp; Moore, 2000; Meerburg et al., 2009; Morand et al., 2015; Süld et al., 2014; Sutor et al., 2014; Tappe &amp; Büttner, 2009)"},"properties":{"noteIndex":0},"schema":"https://github.com/citation-style-language/schema/raw/master/csl-citation.json"}</w:instrText>
      </w:r>
      <w:r w:rsidR="001F69D9"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(McCarthy and Moore 2000, Meerburg et al. 2009, Tappe and Büttner 2009, Lv et al. 2009, Deplazes et al. 2011, Beltrán-Beck et al. 2012, Duffy and Capece 2012, Julius, Rolanda et al. 2012, Billeter et al. 2014, Süld et al. 2014, Sutor et al. 2014, Hulme 2014, Morand et al. 2015, Blasdell et al. 2015, de Wit et al. 2017, Cassan et al. 2018)</w:t>
      </w:r>
      <w:r w:rsidR="001F69D9" w:rsidRPr="006159FD">
        <w:rPr>
          <w:rFonts w:ascii="Times New Roman" w:eastAsia="Times New Roman" w:hAnsi="Times New Roman" w:cs="Times New Roman"/>
          <w:color w:val="000000" w:themeColor="text1"/>
        </w:rPr>
        <w:fldChar w:fldCharType="end"/>
      </w:r>
      <w:r w:rsidR="001F69D9" w:rsidRPr="006159FD">
        <w:rPr>
          <w:rFonts w:ascii="Times New Roman" w:eastAsia="Times New Roman" w:hAnsi="Times New Roman" w:cs="Times New Roman"/>
          <w:color w:val="000000" w:themeColor="text1"/>
        </w:rPr>
        <w:t>.</w:t>
      </w:r>
    </w:p>
    <w:p w14:paraId="1817D39E" w14:textId="3CEBC0B7" w:rsidR="003236C0" w:rsidRPr="006159FD" w:rsidRDefault="003F3B59" w:rsidP="00F70E45">
      <w:pPr>
        <w:pStyle w:val="ListParagraph"/>
        <w:numPr>
          <w:ilvl w:val="0"/>
          <w:numId w:val="6"/>
        </w:numPr>
        <w:rPr>
          <w:rFonts w:ascii="Times New Roman" w:hAnsi="Times New Roman" w:cs="Times New Roman"/>
          <w:color w:val="000000" w:themeColor="text1"/>
        </w:rPr>
      </w:pPr>
      <w:r w:rsidRPr="006159FD">
        <w:rPr>
          <w:rFonts w:ascii="Times New Roman" w:hAnsi="Times New Roman" w:cs="Times New Roman"/>
          <w:color w:val="000000" w:themeColor="text1"/>
        </w:rPr>
        <w:t xml:space="preserve">We assumed </w:t>
      </w:r>
      <w:r w:rsidR="005B74F6" w:rsidRPr="006159FD">
        <w:rPr>
          <w:rFonts w:ascii="Times New Roman" w:hAnsi="Times New Roman" w:cs="Times New Roman"/>
          <w:color w:val="000000" w:themeColor="text1"/>
        </w:rPr>
        <w:t xml:space="preserve">the </w:t>
      </w:r>
      <w:r w:rsidRPr="006159FD">
        <w:rPr>
          <w:rFonts w:ascii="Times New Roman" w:hAnsi="Times New Roman" w:cs="Times New Roman"/>
          <w:color w:val="000000" w:themeColor="text1"/>
        </w:rPr>
        <w:t>i</w:t>
      </w:r>
      <w:r w:rsidR="00E90A36" w:rsidRPr="006159FD">
        <w:rPr>
          <w:rFonts w:ascii="Times New Roman" w:hAnsi="Times New Roman" w:cs="Times New Roman"/>
          <w:color w:val="000000" w:themeColor="text1"/>
        </w:rPr>
        <w:t>nvasive vertebrate-transmitted z</w:t>
      </w:r>
      <w:r w:rsidR="003236C0" w:rsidRPr="006159FD">
        <w:rPr>
          <w:rFonts w:ascii="Times New Roman" w:hAnsi="Times New Roman" w:cs="Times New Roman"/>
          <w:color w:val="000000" w:themeColor="text1"/>
        </w:rPr>
        <w:t xml:space="preserve">oonotic disease </w:t>
      </w:r>
      <w:r w:rsidRPr="006159FD">
        <w:rPr>
          <w:rFonts w:ascii="Times New Roman" w:hAnsi="Times New Roman" w:cs="Times New Roman"/>
          <w:color w:val="000000" w:themeColor="text1"/>
        </w:rPr>
        <w:t xml:space="preserve">will </w:t>
      </w:r>
      <w:r w:rsidR="003236C0" w:rsidRPr="006159FD">
        <w:rPr>
          <w:rFonts w:ascii="Times New Roman" w:hAnsi="Times New Roman" w:cs="Times New Roman"/>
          <w:color w:val="000000" w:themeColor="text1"/>
        </w:rPr>
        <w:t>affect marginalized populations, women, or causes mental illness</w:t>
      </w:r>
      <w:r w:rsidR="00CB6D77" w:rsidRPr="006159FD">
        <w:rPr>
          <w:rFonts w:ascii="Times New Roman" w:hAnsi="Times New Roman" w:cs="Times New Roman"/>
          <w:color w:val="000000" w:themeColor="text1"/>
        </w:rPr>
        <w:t xml:space="preserve"> if </w:t>
      </w:r>
      <w:r w:rsidR="005B74F6" w:rsidRPr="006159FD">
        <w:rPr>
          <w:rFonts w:ascii="Times New Roman" w:hAnsi="Times New Roman" w:cs="Times New Roman"/>
          <w:color w:val="000000" w:themeColor="text1"/>
        </w:rPr>
        <w:t xml:space="preserve">the </w:t>
      </w:r>
      <w:r w:rsidR="00CB6D77" w:rsidRPr="006159FD">
        <w:rPr>
          <w:rFonts w:ascii="Times New Roman" w:hAnsi="Times New Roman" w:cs="Times New Roman"/>
          <w:color w:val="000000" w:themeColor="text1"/>
        </w:rPr>
        <w:t>i</w:t>
      </w:r>
      <w:r w:rsidRPr="006159FD">
        <w:rPr>
          <w:rFonts w:ascii="Times New Roman" w:hAnsi="Times New Roman" w:cs="Times New Roman"/>
          <w:color w:val="000000" w:themeColor="text1"/>
        </w:rPr>
        <w:t xml:space="preserve">nvasive vertebrate </w:t>
      </w:r>
      <w:r w:rsidR="00CB6D77" w:rsidRPr="006159FD">
        <w:rPr>
          <w:rFonts w:ascii="Times New Roman" w:hAnsi="Times New Roman" w:cs="Times New Roman"/>
          <w:color w:val="000000" w:themeColor="text1"/>
        </w:rPr>
        <w:t xml:space="preserve">was either a </w:t>
      </w:r>
      <w:r w:rsidR="003236C0" w:rsidRPr="006159FD">
        <w:rPr>
          <w:rFonts w:ascii="Times New Roman" w:hAnsi="Times New Roman" w:cs="Times New Roman"/>
          <w:color w:val="000000" w:themeColor="text1"/>
        </w:rPr>
        <w:t xml:space="preserve">cat, rodent, dog, pig, </w:t>
      </w:r>
      <w:r w:rsidR="005B74F6" w:rsidRPr="006159FD">
        <w:rPr>
          <w:rFonts w:ascii="Times New Roman" w:hAnsi="Times New Roman" w:cs="Times New Roman"/>
          <w:color w:val="000000" w:themeColor="text1"/>
        </w:rPr>
        <w:t xml:space="preserve">racoon, </w:t>
      </w:r>
      <w:r w:rsidR="003236C0" w:rsidRPr="006159FD">
        <w:rPr>
          <w:rFonts w:ascii="Times New Roman" w:hAnsi="Times New Roman" w:cs="Times New Roman"/>
          <w:color w:val="000000" w:themeColor="text1"/>
        </w:rPr>
        <w:t xml:space="preserve">macaque, </w:t>
      </w:r>
      <w:r w:rsidR="005B74F6" w:rsidRPr="006159FD">
        <w:rPr>
          <w:rFonts w:ascii="Times New Roman" w:hAnsi="Times New Roman" w:cs="Times New Roman"/>
          <w:color w:val="000000" w:themeColor="text1"/>
        </w:rPr>
        <w:t xml:space="preserve">or </w:t>
      </w:r>
      <w:r w:rsidR="003236C0" w:rsidRPr="006159FD">
        <w:rPr>
          <w:rFonts w:ascii="Times New Roman" w:hAnsi="Times New Roman" w:cs="Times New Roman"/>
          <w:color w:val="000000" w:themeColor="text1"/>
        </w:rPr>
        <w:t>mongoose</w:t>
      </w:r>
      <w:r w:rsidR="001F69D9" w:rsidRPr="006159FD">
        <w:rPr>
          <w:rFonts w:ascii="Times New Roman" w:hAnsi="Times New Roman" w:cs="Times New Roman"/>
          <w:color w:val="000000" w:themeColor="text1"/>
        </w:rPr>
        <w:t xml:space="preserve"> </w:t>
      </w:r>
      <w:r w:rsidR="001F69D9"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{"citationItems":[{"id":"ITEM-1","itemData":{"DOI":"10.4269/ajtmh.16-0573","author":[{"dropping-particle":"","family":"Wit","given":"Luz A","non-dropping-particle":"de","parse-names":false,"suffix":""},{"dropping-particle":"","family":"Croll","given":"Donald A","non-dropping-particle":"","parse-names":false,"suffix":""},{"dropping-particle":"","family":"Tershy","given":"Bernie","non-dropping-particle":"","parse-names":false,"suffix":""},{"dropping-particle":"","family":"Newton","given":"Kelly M","non-dropping-particle":"","parse-names":false,"suffix":""},{"dropping-particle":"","family":"Spatz","given":"Dena R","non-dropping-particle":"","parse-names":false,"suffix":""},{"dropping-particle":"","family":"Holmes","given":"Nick D","non-dropping-particle":"","parse-names":false,"suffix":""},{"dropping-particle":"","family":"Kilpatrick","given":"A Marm","non-dropping-particle":"","parse-names":false,"suffix":""}],"container-title":"American Journal of Tropical Medicine and Hygiene","id":"ITEM-1","issue":"3","issued":{"date-parts":[["2017"]]},"page":"749-757","title":"Estimating Burdens of Neglected Tropical Zoonotic Diseases on Islands with Introduced Mammals","type":"article-journal","volume":"96"},"uris":["http://www.mendeley.com/documents/?uuid=ecbb8534-88f1-42ed-974c-b15630230d28"]},{"id":"ITEM-2","itemData":{"DOI":"10.1371/journal.pntd.0000368","author":[{"dropping-particle":"","family":"Lv","given":"Shan","non-dropping-particle":"","parse-names":false,"suffix":""},{"dropping-particle":"","family":"Zhang","given":"Yi","non-dropping-particle":"","parse-names":false,"suffix":""},{"dropping-particle":"","family":"Liu","given":"He-xiang","non-dropping-particle":"","parse-names":false,"suffix":""},{"dropping-particle":"","family":"Hu","given":"Ling","non-dropping-particle":"","parse-names":false,"suffix":""},{"dropping-particle":"","family":"Yang","given":"Kun","non-dropping-particle":"","parse-names":false,"suffix":""},{"dropping-particle":"","family":"Steinmann","given":"Peter","non-dropping-particle":"","parse-names":false,"suffix":""},{"dropping-particle":"","family":"Chen","given":"Zhao","non-dropping-particle":"","parse-names":false,"suffix":""},{"dropping-particle":"","family":"Zhou","given":"Xiao-nong","non-dropping-particle":"","parse-names":false,"suffix":""}],"container-title":"PLoS Neglected Tropical Diseases","id":"ITEM-2","issue":"2","issued":{"date-parts":[["2009"]]},"page":"1-8","title":"Invasive Snails and an Emerging Infectious Disease : Results from the First National Survey on Angiostrongylus cantonensis in China","type":"article-journal","volume":"3"},"uris":["http://www.mendeley.com/documents/?uuid=35dcdb22-ad24-40c8-b47e-e8c0e46d3c66"]},{"id":"ITEM-3","itemData":{"DOI":"10.1071/WR14201","ISSN":"10353712","abstract":"This review aims to synthesise knowledge regarding the taxonomy of South-east Asian murine rodents and the challenges associated with the identification of habitat preferences and associated rodent-borne diseases. Recent studies concerning the Rattini tribe have identified unclear species boundaries that would benefit from further investigation. The development of barcoding may allow more accurate identification of rodents, specifically for complex species. However, knowledge on the distribution and habitat specialisations of many common murine rodents is still scarce, particularly regarding the specific habitat preferences of most synanthropic rodent species (Rattus tanezumi or Rattus exulans). Several studies have analysed the prevalence of major rodent-borne diseases in South-east Asia and it appears that the greatest risk of rodent zoonoses are in the lowland rain-fed and irrigated landscapes, generally in and around rice fields.","author":[{"dropping-particle":"","family":"Blasdell","given":"Kim","non-dropping-particle":"","parse-names":false,"suffix":""},{"dropping-particle":"","family":"Bordes","given":"Frédéric","non-dropping-particle":"","parse-names":false,"suffix":""},{"dropping-particle":"","family":"Chaisiri","given":"Kittipong","non-dropping-particle":"","parse-names":false,"suffix":""},{"dropping-particle":"","family":"Chaval","given":"Yannick","non-dropping-particle":"","parse-names":false,"suffix":""},{"dropping-particle":"","family":"Claude","given":"Julien","non-dropping-particle":"","parse-names":false,"suffix":""},{"dropping-particle":"","family":"Cosson","given":"Jean François","non-dropping-particle":"","parse-names":false,"suffix":""},{"dropping-particle":"","family":"Latinne","given":"Alice","non-dropping-particle":"","parse-names":false,"suffix":""},{"dropping-particle":"","family":"Michaux","given":"Johan","non-dropping-particle":"","parse-names":false,"suffix":""},{"dropping-particle":"","family":"Morand","given":"Serge","non-dropping-particle":"","parse-names":false,"suffix":""},{"dropping-particle":"","family":"Pagès","given":"Marie","non-dropping-particle":"","parse-names":false,"suffix":""},{"dropping-particle":"","family":"Tran","given":"Annelise","non-dropping-particle":"","parse-names":false,"suffix":""}],"container-title":"Wildlife Research","id":"ITEM-3","issue":"2","issued":{"date-parts":[["2015"]]},"page":"98-107","title":"Progress on research on rodents and rodent-borne zoonoses in South-east Asia","type":"article-journal","volume":"42"},"uris":["http://www.mendeley.com/documents/?uuid=0f60ee48-0967-407d-826c-684e537d6c2c"]},{"id":"ITEM-4","itemData":{"DOI":"10.1089/vbz.2013.1375","ISSN":"15577759","abstract":"The presence of bartonellae in invasive rats (Rattus rattus) and indigenous rodents (Arvicanthis niloticus and Cricetomys gambianus) from two districts in Uganda, Arua and Zombo, was examined by PCR detection and culture. Blood from a total of 228 R. rattus, 31 A. niloticus, and 5 C. gambianus was screened using genus-specific primers targeting the 16S-23S intergenic spacer region. Furthermore, rodent blood was plated on brain heart infusion blood agar, and isolates were verified as Bartonella species using citrate synthase gene- (gltA) specific primers. One hundred and four fleas recovered from R. rattus were also tested for the presence of Bartonella species using the same gltA primer set. An overall prevalence of 1.3% (three of 228) was obtained in R. rattus, whereas 61.3% of 31 A. niloticus and 60% of five C. gambianus were positive for the presence of Bartonella species. Genotypes related to Bartonella elizabethae, a known zoonotic pathogen, were detected in three R. rattus and one C. gambianus. Bartonella strains, similar to bacteria detected in indigenous rodents from other African countries, were isolated from the blood of A. niloticus. Bartonellae, similar to bacteria initially cultured from Ornithodorus sonrai (soft tick) from Senegal, were found in two C. gambianus. Interestingly, bartonellae detected in fleas from invasive rats were similar to bacteria identified in indigenous rodents and not their rat hosts, with an overall prevalence of 6.7%. These results suggest that if fleas are competent vectors of these bartonellae, humans residing in these two districts of Uganda are potentially at greater risk for exposure to Bartonella species from native rodents than from invasive rats. The low prevalence of bartonellae in R. rattus was quite surprising, in contrast, to the detection of these organisms in a large percentage of Rattus species from other geographical areas. A possible reason for this disparity is discussed. © Mary Ann Liebert, Inc.","author":[{"dropping-particle":"","family":"Billeter","given":"Sarah A.","non-dropping-particle":"","parse-names":false,"suffix":""},{"dropping-particle":"","family":"Borchert","given":"Jeff N.","non-dropping-particle":"","parse-names":false,"suffix":""},{"dropping-particle":"","family":"Atiku","given":"Linda A.","non-dropping-particle":"","parse-names":false,"suffix":""},{"dropping-particle":"","family":"Mpanga","given":"Joseph T.","non-dropping-particle":"","parse-names":false,"suffix":""},{"dropping-particle":"","family":"Gage","given":"Kenneth L.","non-dropping-particle":"","parse-names":false,"suffix":""},{"dropping-particle":"","family":"Kosoy","given":"Michael Y.","non-dropping-particle":"","parse-names":false,"suffix":""}],"container-title":"Vector-Borne and Zoonotic Diseases","id":"ITEM-4","issue":"3","issued":{"date-parts":[["2014"]]},"page":"182-188","title":"Bartonella species in invasive rats and indigenous rodents from Uganda","type":"article-journal","volume":"14"},"uris":["http://www.mendeley.com/documents/?uuid=d3a9387a-dd81-47f6-8e61-429e1688e8af"]},{"id":"ITEM-5","itemData":{"DOI":"10.5070/v425110574","author":[{"dropping-particle":"","family":"Julius, Rolanda","given":"S.","non-dropping-particle":"","parse-names":false,"suffix":""},{"dropping-particle":"","family":"Bastos, Armanda","given":"D.","non-dropping-particle":"","parse-names":false,"suffix":""},{"dropping-particle":"","family":"Chimimba, Christian","given":"T.","non-dropping-particle":"","parse-names":false,"suffix":""},{"dropping-particle":"","family":"Brettschneider","given":"Helene","non-dropping-particle":"","parse-names":false,"suffix":""}],"container-title":"Proceedings of the Vertebrate Pest Conference","id":"ITEM-5","issued":{"date-parts":[["2012"]]},"page":"261-266","title":"Dynamics of Rodent-Borne Zoonotic Diseases and Their Reservoir Hosts: Invasive Rattus in South Africa","type":"article-journal","volume":"25"},"uris":["http://www.mendeley.com/documents/?uuid=5707bec9-cc8d-421f-ad1d-01c53d1c34ea"]},{"id":"ITEM-6","itemData":{"DOI":"10.1111/1749-4877.12143","ISSN":"17494877","abstract":"We summarize the current knowledge on parasitism-related invasion processes of the globally invasive Rattus lineages, originating from Asia, and how these invasions have impacted the local epidemiology of rodent-borne diseases. Parasites play an important role in the invasion processes and successes of their hosts through multiple biological mechanisms such as \"parasite release,\" \"immunocompetence advantage,\" \"biotic resistance\" and \"novel weapon.\" Parasites may also greatly increase the impact of invasions by spillover of parasites and other pathogens, introduced with invasive hosts, into new hosts, potentially leading to novel emerging diseases. Another potential impact is the ability of the invader to amplify local parasites by spillback. In both cases, local fauna and humans may be exposed to new health risks, which may decrease biodiversity and potentially cause increases in human morbidity and mortality. Here we review the current knowledge on these processes and propose some research priorities.","author":[{"dropping-particle":"","family":"Morand","given":"Serge","non-dropping-particle":"","parse-names":false,"suffix":""},{"dropping-particle":"","family":"Bordes","given":"Frédéric","non-dropping-particle":"","parse-names":false,"suffix":""},{"dropping-particle":"","family":"Chen","given":"Hsuan Wien","non-dropping-particle":"","parse-names":false,"suffix":""},{"dropping-particle":"","family":"Claude","given":"Julien","non-dropping-particle":"","parse-names":false,"suffix":""},{"dropping-particle":"","family":"Cosson","given":"Jean François","non-dropping-particle":"","parse-names":false,"suffix":""},{"dropping-particle":"","family":"Galan","given":"Maxime","non-dropping-particle":"","parse-names":false,"suffix":""},{"dropping-particle":"","family":"Czirják","given":"Gábor A.","non-dropping-particle":"","parse-names":false,"suffix":""},{"dropping-particle":"","family":"Greenwood","given":"Alex D.","non-dropping-particle":"","parse-names":false,"suffix":""},{"dropping-particle":"","family":"Latinne","given":"Alice","non-dropping-particle":"","parse-names":false,"suffix":""},{"dropping-particle":"","family":"Michaux","given":"Johan","non-dropping-particle":"","parse-names":false,"suffix":""},{"dropping-particle":"","family":"Ribas","given":"Alexis","non-dropping-particle":"","parse-names":false,"suffix":""}],"container-title":"Integrative Zoology","id":"ITEM-6","issue":"5","issued":{"date-parts":[["2015"]]},"page":"409-423","title":"Global parasite and Rattus rodent invasions: The consequences for rodent-borne diseases","type":"article-journal","volume":"10"},"uris":["http://www.mendeley.com/documents/?uuid=d4e6f651-b8d6-46bb-b5c2-ce947b102345"]},{"id":"ITEM-7","itemData":{"DOI":"10.1371/journal.pntd.0006615","ISBN":"1111111111","ISSN":"19352735","abstract":"Bioinvasion is a major public health issue because it can lead to the introduction of pathogens in new areas and favours the emergence of zoonotic diseases. Rodents are prominent invasive species, and act as reservoirs in many zoonotic infectious diseases. The aim of this study was to determine the link between the distribution and spread of two parasite taxa (Leishmania spp. and Trypanosoma lewisi) and the progressive invasion of Senegal by two commensal rodent species (the house mouse Mus musculus domesticus and the black rat Rattus rattus). M. m. domesticus and R. rattus have invaded the northern part and the central/southern part of the country, respectively. Native and invasive rodents were caught in villages and cities along the invasion gradients of both invaders, from coastal localities towards the interior of the land. Molecular diagnosis of the two trypanosomatid infections was performed using spleen specimens. In the north, neither M. m. domesticus nor the native species were carriers of these parasites. Conversely, in the south, 17.5% of R. rattus were infected by L. major and 27.8% by T. lewisi, while very few commensal native rodents were carriers. Prevalence pattern along invasion gradients, together with the knowledge on the geographical distribution of the parasites, suggested that the presence of the two parasites in R. rattus in Senegal is of different origins. Indeed, the invader R. rattus could have been locally infected by the native parasite L. major. Conversely, it could have introduced the exotic parasite T. lewisi in Senegal, the latter appearing to be poorly transmitted to native rodents. Altogether, these data show that R. rattus is a carrier of both parasites and could be responsible for the emergence of new foci of cutaneous leishmaniasis, or for the transmission of atypical human trypanosomiasis in Senegal.","author":[{"dropping-particle":"","family":"Cassan","given":"Cécile","non-dropping-particle":"","parse-names":false,"suffix":""},{"dropping-particle":"","family":"Diagne","given":"Christophe A.","non-dropping-particle":"","parse-names":false,"suffix":""},{"dropping-particle":"","family":"Tatard","given":"Caroline","non-dropping-particle":"","parse-names":false,"suffix":""},{"dropping-particle":"","family":"Gauthier","given":"Philippe","non-dropping-particle":"","parse-names":false,"suffix":""},{"dropping-particle":"","family":"Dalecky","given":"Ambroise","non-dropping-particle":"","parse-names":false,"suffix":""},{"dropping-particle":"","family":"Bâ","given":"Khalilou","non-dropping-particle":"","parse-names":false,"suffix":""},{"dropping-particle":"","family":"Kane","given":"Mamadou","non-dropping-particle":"","parse-names":false,"suffix":""},{"dropping-particle":"","family":"Niang","given":"Youssoupha","non-dropping-particle":"","parse-names":false,"suffix":""},{"dropping-particle":"","family":"Diallo","given":"Mamoudou","non-dropping-particle":"","parse-names":false,"suffix":""},{"dropping-particle":"","family":"Sow","given":"Aliou","non-dropping-particle":"","parse-names":false,"suffix":""},{"dropping-particle":"","family":"Brouat","given":"Carine","non-dropping-particle":"","parse-names":false,"suffix":""},{"dropping-particle":"","family":"Bañuls","given":"Anne Laure","non-dropping-particle":"","parse-names":false,"suffix":""}],"container-title":"PLoS Neglected Tropical Diseases","id":"ITEM-7","issue":"6","issued":{"date-parts":[["2018"]]},"page":"1-21","title":"Leishmania major and Trypanosoma lewisi infection in invasive and native rodents in Senegal","type":"article-journal","volume":"12"},"uris":["http://www.mendeley.com/documents/?uuid=854d8c75-c14e-4e36-94d4-43707595bb50"]},{"id":"ITEM-8","itemData":{"DOI":"10.1007/s10344-011-0600-4","ISBN":"1034401106","ISSN":"16124642","abstract":"From the past, species have been transferred among ecosystems trough traveling and global trade. The establishment and spread of such invasive species has caused significant damage to the economy, the environment, and human or native species health. This review compiles information on infections or contact with pathogens reported in raccoons (Procyon lotor). Raccoons are opportunistic carnivores native to North America. However, nowadays they are distributed across mainland Europe as a result of escaped pets and introductions. In their native range, raccoons are known to be host to a number of disease agents that could be transmitted to humans, domestic animals and other wildlife. Hence, the increase of raccoon populations and their geographic spread in Europe may result in new disease hazards. Raccoons have been identified as possible sentinels of diseases such as West Nile virus, and they pose a disease-related conservation risk by maintaining circulation of canine distemper virus. They also have the potential to participate in the maintenance of zoonoses including the raccoon roundworm Baylisascaris procyonis. Due its fast expansion and the large list of diseases, we conclude that the introduction of the raccoon has had adverse effects on health in Europe. This might well be the case of other invasive species, too. Hence, studies on invasive species health aspects are urgently needed to assess the risk of disease spread and eventually establish control measures. © 2011 Springer-Verlag.","author":[{"dropping-particle":"","family":"Beltrán-Beck","given":"Beatriz","non-dropping-particle":"","parse-names":false,"suffix":""},{"dropping-particle":"","family":"García","given":"Francisco José","non-dropping-particle":"","parse-names":false,"suffix":""},{"dropping-particle":"","family":"Gortázar","given":"Christian","non-dropping-particle":"","parse-names":false,"suffix":""}],"container-title":"European Journal of Wildlife Research","id":"ITEM-8","issue":"1","issued":{"date-parts":[["2012"]]},"page":"5-15","title":"Raccoons in Europe: Disease hazards due to the establishment of an invasive species","type":"article-journal","volume":"58"},"uris":["http://www.mendeley.com/documents/?uuid=5fb26227-dd25-4570-800e-9697b8676ea2"]},{"id":"ITEM-9","itemData":{"DOI":"10.1016/j.vetpar.2011.07.014","ISSN":"03044017","abstract":"The close emotional tie between people and companion animals is a beneficial relation known as the human-animal bond. However, pet dogs and cats can play an important role in the transmission of helminthic zoonotic agents such as the tapeworms Echinococcus and the roundworms Toxocara which are directly transmitted from pets to the human environment without the involvement of vectors or intermediate hosts. In humans, echinococcosis has emerged in Europe and toxocarosis is still persisting in large endemic areas despite the availability of highly efficient anthelminthics for dogs and cats. Ecological changes significantly contributed to these trends: the high wild fox populations and the high density of freely roaming dogs and cats maintain a permanent infection pressure of these and other parasites. Further, the establishment of urban recreational environments closer to natural ecological systems boosted vole populations that represent urban reservoirs for zoonotic helminths. A good understanding of the parasites' biology and epidemiology including the transmission to humans is required for planning and implementing effective prevention strategies. The continuous education of veterinarians and the information of the pet owners by providing uniform recommendations are of priority importance. A close collaboration between veterinary and public health professionals in a 'One Health' concept is required. © 2011 Elsevier B.V.","author":[{"dropping-particle":"","family":"Deplazes","given":"Peter","non-dropping-particle":"","parse-names":false,"suffix":""},{"dropping-particle":"","family":"Knapen","given":"Frans","non-dropping-particle":"van","parse-names":false,"suffix":""},{"dropping-particle":"","family":"Schweiger","given":"Alexander","non-dropping-particle":"","parse-names":false,"suffix":""},{"dropping-particle":"","family":"Overgaauw","given":"Paul A.M.","non-dropping-particle":"","parse-names":false,"suffix":""}],"container-title":"Veterinary Parasitology","id":"ITEM-9","issue":"1","issued":{"date-parts":[["2011"]]},"page":"41-53","publisher":"Elsevier B.V.","title":"Role of pet dogs and cats in the transmission of helminthic zoonoses in Europe, with a focus on echinococcosis and toxocarosis","type":"article-journal","volume":"182"},"uris":["http://www.mendeley.com/documents/?uuid=e658ac0a-a94c-4bab-aac5-823cc6c1aafa"]},{"id":"ITEM-10","itemData":{"DOI":"10.1016/S0020-7519(00)00122-3","ISSN":"00207519","PMID":"11113260","abstract":"As our ability to recognise and diagnose human disease caused by helminth parasites has improved, so our understanding of the epidemiology and clinical manifestations of these diseases has improved. Humans can develop patent infection with a wide range of helminth parasites, whose natural host is another vertebrate. Rather than focusing on a comprehensive review of zoonotic helminth infections, this review describes in detail examples of zoonotic helminth infections that have newly appeared in human populations, or have existed but are increasing in incidence or geographic range. Examples include intestinal capillariasis, anisakidosis, eosinophilic enteritis, oesophagostomiasis and gnathostomiasis. Potential reasons for the emergence of these infections, including changes in social, dietary or cultural mores, environmental changes, and the improved recognition of heretofore neglected infections often coupled with an improved ability to diagnose infection are discussed. Copyright (C) 2000 .","author":[{"dropping-particle":"","family":"McCarthy","given":"James","non-dropping-particle":"","parse-names":false,"suffix":""},{"dropping-particle":"","family":"Moore","given":"Thomas A.","non-dropping-particle":"","parse-names":false,"suffix":""}],"container-title":"International Journal for Parasitology","id":"ITEM-10","issue":"12-13","issued":{"date-parts":[["2000"]]},"page":"1351-1359","title":"Emerging helminth zoonoses","type":"article-journal","volume":"30"},"uris":["http://www.mendeley.com/documents/?uuid=d900e027-2011-409e-8d97-ab42140f3d7f"]},{"id":"ITEM-11","itemData":{"DOI":"10.1080/10408410902989837","ISBN":"1040841090","ISSN":"1040841X","abstract":"Rodents are the most abundant and diversified order of living mammals in the world. Already since the Middle Ages we know that they can contribute to human disease, as black rats were associated with distribution of plague. However, also in modern times rodents form a threat for public health. In this review article a large number of pathogens that are directly or indirectly transmitted by rodents are described. Moreover, a simplified rodent disease model is discussed. © 2009 Informa UK Ltd.","author":[{"dropping-particle":"","family":"Meerburg","given":"Bastiaan G.","non-dropping-particle":"","parse-names":false,"suffix":""},{"dropping-particle":"","family":"Singleton","given":"Grant R.","non-dropping-particle":"","parse-names":false,"suffix":""},{"dropping-particle":"","family":"Kijlstra","given":"Aize","non-dropping-particle":"","parse-names":false,"suffix":""}],"container-title":"Critical Reviews in Microbiology","id":"ITEM-11","issue":"3","issued":{"date-parts":[["2009"]]},"number-of-pages":"221-270","title":"Rodent-borne diseases and their risks for public health Rodent-borne diseases and their risks for public health","type":"book","volume":"35"},"uris":["http://www.mendeley.com/documents/?uuid=f28ebd48-7e63-47e5-b3c1-efaa7114ec34"]},{"id":"ITEM-12","itemData":{"DOI":"10.1371/journal.pntd.0000320","abstract":"Visceral pentastomiasis in humans is caused by the larval stages (nymphs) of the arthropod-related tongue worms Linguatula serrata, Armillifer armillatus, A. moniliformis, A. grandis, and Porocephalus crotali. The majority of cases has been reported from Africa, Malaysia, and the Middle East, where visceral pentastomiasis may be an incidental finding in autopsies, and less often from China and Latin America. In Europe and North America, the disease is only rarely encountered in immigrants and long-term travelers, and the parasitic lesions may be confused with malignancies, leading to a delay in the correct diagnosis. Since clinical symptoms are variable and serological tests are not readily available, the diagnosis often relies on histopathological examinations. This laboratory symposium focuses on the diagnosis of this unusual parasitic disease and presents its risk factors and epidemiology. © 2009 Tappe, Büttner.","author":[{"dropping-particle":"","family":"Tappe","given":"Dennis","non-dropping-particle":"","parse-names":false,"suffix":""},{"dropping-particle":"","family":"Büttner","given":"Dietrich W.","non-dropping-particle":"","parse-names":false,"suffix":""}],"container-title":"PLoS Neglected Tropical Diseases","id":"ITEM-12","issue":"2","issued":{"date-parts":[["2009"]]},"title":"Diagnosis of human visceral pentastomiasis","type":"article-journal","volume":"3"},"uris":["http://www.mendeley.com/documents/?uuid=cab0d638-fb05-4029-9985-dcb878d3172d"]},{"id":"ITEM-13","itemData":{"DOI":"10.1007/s13364-013-0138-9","ISSN":"00017051","abstract":"Invasive wildlife species have the potential to act as additional host and vector species for infectious diseases. The raccoon dog (Nyctereutes procyonides), a carnivore species that has its origin in Asia, was taken as an example to demonstrate biological and ecological prerequisites which enables an invasive species to occupy a new habitat permanently. Studies conducted during the last 20 years identified a total of 35 species of endoparasites, five ectoparasites, six bacterial or protozoan species, and five viruses found in the subspecies Nyctereutes procyonoides ussuriensis in its original and newly occupied habitat or in Nyctereutes procyonoides koreensis in its original habitat, respectively. With reference to raccoon dogs impact as vector species and the relevance for human and animal health, we selected Trichinella spp., Echinococcus multilocularis, Francisella tularensis, rabies virus, and canine distemper virus for detailed description. Results of studies from Finland and Germany furthermore showed that biological characteristics of the raccoon dog make this carnivore an ideal host and vector for a variety of pathogens. This may result in a growing importance of this invasive species concerning the epidemiology of some transmissible diseases in Europe, including the hazard that the existence of autochthonous wildlife, particularly small populations, is endangered. Potential adverse effects on human and animal health in the livestock sector must also be taken into account. Especially with regard to its potential as a reservoir for zoonotic diseases, the raccoon dog should receive more attention in disease prevention and eradication strategies. © 2013 Mammal Research Institute, Polish Academy of Sciences, Białowieża, Poland.","author":[{"dropping-particle":"","family":"Sutor","given":"Astrid","non-dropping-particle":"","parse-names":false,"suffix":""},{"dropping-particle":"","family":"Schwarz","given":"Sabine","non-dropping-particle":"","parse-names":false,"suffix":""},{"dropping-particle":"","family":"Conraths","given":"Franz Josef","non-dropping-particle":"","parse-names":false,"suffix":""}],"container-title":"Acta Theriologica","id":"ITEM-13","issue":"1","issued":{"date-parts":[["2014"]]},"page":"49-59","title":"The biological potential of the raccoon dog (Nyctereutes procyonoides, Gray 1834) as an invasive species in Europe-new risks for disease spread?","type":"article-journal","volume":"59"},"uris":["http://www.mendeley.com/documents/?uuid=46ac0025-6658-46cd-b6ef-c56415f06e79"]},{"id":"ITEM-14","itemData":{"DOI":"10.1371/journal.pone.0096358","ISSN":"19326203","abstract":"The raccoon dog (Nyctereutes procyonoides) is an introduced species in Europe with a continually expanding range. Since the species is capable of affecting local ecosystems and is a vector for a number of severe zoonotic diseases, it is important to understand its food habits. Raccoon dog diet was studied in Estonia by examining the contents of 223 stomach samples collected during the coldest period of the year, August to March, in 2010-2012. The most frequently consumed food categories were anthropogenic plants (e.g. cereals, fruits; FO = 56.1%) and carrion (e.g. carcasses of artiodactyls and carnivores; FO = 48.4%). Carrion was also the only food category that was consumed significantly more frequently by raccoon dogs exhibiting symptoms of sarcoptic mange than by uninfected animals. Small mammals, which represent intermediate hosts for the zoonotic tapeworm Echinococcus multilocularis, were more commonly recorded in samples also containing anthropogenic plants than expected by chance. Comparison of raccoon dog and red fox (Vulpes vulpes) diet in Estonia revealed higher overlap than found elsewhere in Europe, with 'carrion' and 'anthropogenic plants' making up the bulk of both species' diet; however, raccoon dogs were more omnivorous than red foxes. Our results suggest that while the use of most food categories reflects the phenology of natural food sources, 'anthropogenic plants' and 'carrion' provide an essential resource for raccoon dogs during the coldest period of the year, with the latter resource especially important for individuals infected with sarcoptic mange. Since both of these food categories and small mammals are often found at supplementary feeding sites for wild boar (Sus scrofa), this game management practice may facilitate high densities of mesocarnivores and promote the spread of some severe zoonotic diseases, including alveolar echinococcosis, trichinellosis, rabies and sarcoptic mange. © 2014 Süld et al.","author":[{"dropping-particle":"","family":"Süld","given":"Karmen","non-dropping-particle":"","parse-names":false,"suffix":""},{"dropping-particle":"","family":"Valdmann","given":"Harri","non-dropping-particle":"","parse-names":false,"suffix":""},{"dropping-particle":"","family":"Laurimaa","given":"Leidi","non-dropping-particle":"","parse-names":false,"suffix":""},{"dropping-particle":"","family":"Soe","given":"Egle","non-dropping-particle":"","parse-names":false,"suffix":""},{"dropping-particle":"","family":"Davison","given":"John","non-dropping-particle":"","parse-names":false,"suffix":""},{"dropping-particle":"","family":"Saarma","given":"Urmas","non-dropping-particle":"","parse-names":false,"suffix":""}],"container-title":"PLoS ONE","id":"ITEM-14","issue":"5","issued":{"date-parts":[["2014"]]},"title":"An invasive vector of zoonotic disease sustained by anthropogenic resources: The raccoon dog in Northern Europe","type":"article-journal","volume":"9"},"uris":["http://www.mendeley.com/documents/?uuid=b33879cc-d016-48ad-ad69-7717eae068dc"]},{"id":"ITEM-15","itemData":{"DOI":"10.1016/j.pt.2014.03.005","ISSN":"14715007","abstract":"Forecasts of emerging zoonoses neglect the threat alien species pose in disease transmission to humans. A review of alien parasites, hosts, and vectors introduced to Europe highlights the wide range of potential public health risks, the need for better surveillance and risk assessment, and major policy gaps in global preparedness. © 2014 Elsevier Ltd.","author":[{"dropping-particle":"","family":"Hulme","given":"Philip E.","non-dropping-particle":"","parse-names":false,"suffix":""}],"container-title":"Trends in Parasitology","id":"ITEM-15","issue":"6","issued":{"date-parts":[["2014"]]},"page":"267-270","publisher":"Elsevier Ltd","title":"Invasive species challenge the global response to emerging diseases","type":"article-journal","volume":"30"},"uris":["http://www.mendeley.com/documents/?uuid=0304064a-4d2f-47af-8ec2-e94afc4956cf"]},{"id":"ITEM-16","itemData":{"DOI":"10.2984/66.2.7","ISBN":"0030-8870","ISSN":"0030-8870","PMID":"76454611","author":[{"dropping-particle":"","family":"Duffy","given":"David Cameron","non-dropping-particle":"","parse-names":false,"suffix":""},{"dropping-particle":"","family":"Capece","given":"Paula","non-dropping-particle":"","parse-names":false,"suffix":""}],"container-title":"Pacific Science","id":"ITEM-16","issue":"2","issued":{"date-parts":[["2012"]]},"page":"173-212","title":"Biology and Impacts of Pacific Island Invasive Species. 7. The Domestic Cat ( Felis catus ) 1","type":"article-journal","volume":"66"},"uris":["http://www.mendeley.com/documents/?uuid=52b0635d-9988-4eea-b0ca-50a0ca0da707"]}],"mendeley":{"formattedCitation":"(McCarthy and Moore 2000, Meerburg et al. 2009, Tappe and Büttner 2009, Lv et al. 2009, Deplazes et al. 2011, Beltrán-Beck et al. 2012, Duffy and Capece 2012, Julius, Rolanda et al. 2012, Billeter et al. 2014, Süld et al. 2014, Sutor et al. 2014, Hulme 2014, Morand et al. 2015, Blasdell et al. 2015, de Wit et al. 2017, Cassan et al. 2018)","plainTextFormattedCitation":"(McCarthy and Moore 2000, Meerburg et al. 2009, Tappe and Büttner 2009, Lv et al. 2009, Deplazes et al. 2011, Beltrán-Beck et al. 2012, Duffy and Capece 2012, Julius, Rolanda et al. 2012, Billeter et al. 2014, Süld et al. 2014, Sutor et al. 2014, Hulme 2014, Morand et al. 2015, Blasdell et al. 2015, de Wit et al. 2017, Cassan et al. 2018)","previouslyFormattedCitation":"(Beltrán-Beck et al., 2012; Billeter et al., 2014; Blasdell et al., 2015; Cassan et al., 2018; de Wit et al., 2017; Deplazes et al., 2011; Duffy &amp; Capece, 2012; Philip E. Hulme, 2014; Julius, Rolanda et al., 2012; Lv et al., 2009; McCarthy &amp; Moore, 2000; Meerburg et al., 2009; Morand et al., 2015; Süld et al., 2014; Sutor et al., 2014; Tappe &amp; Büttner, 2009)"},"properties":{"noteIndex":0},"schema":"https://github.com/citation-style-language/schema/raw/master/csl-citation.json"}</w:instrText>
      </w:r>
      <w:r w:rsidR="001F69D9"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(McCarthy and Moore 2000, Meerburg et al. 2009, Tappe and Büttner 2009, Lv et al. 2009, Deplazes et al. 2011, Beltrán-Beck et al. 2012, Duffy and Capece 2012, Julius, Rolanda et al. 2012, Billeter et al. 2014, Süld et al. 2014, Sutor et al. 2014, Hulme 2014, Morand et al. 2015, Blasdell et al. 2015, de Wit et al. 2017, Cassan et al. 2018)</w:t>
      </w:r>
      <w:r w:rsidR="001F69D9" w:rsidRPr="006159FD">
        <w:rPr>
          <w:rFonts w:ascii="Times New Roman" w:eastAsia="Times New Roman" w:hAnsi="Times New Roman" w:cs="Times New Roman"/>
          <w:color w:val="000000" w:themeColor="text1"/>
        </w:rPr>
        <w:fldChar w:fldCharType="end"/>
      </w:r>
      <w:r w:rsidR="003236C0" w:rsidRPr="006159FD">
        <w:rPr>
          <w:rFonts w:ascii="Times New Roman" w:hAnsi="Times New Roman" w:cs="Times New Roman"/>
          <w:color w:val="000000" w:themeColor="text1"/>
        </w:rPr>
        <w:t>.</w:t>
      </w:r>
    </w:p>
    <w:p w14:paraId="4E3A9E52" w14:textId="15BB63AB" w:rsidR="003236C0" w:rsidRPr="006159FD" w:rsidRDefault="003F3B59" w:rsidP="003236C0">
      <w:pPr>
        <w:pStyle w:val="ListParagraph"/>
        <w:numPr>
          <w:ilvl w:val="0"/>
          <w:numId w:val="6"/>
        </w:numPr>
        <w:rPr>
          <w:rFonts w:ascii="Times New Roman" w:hAnsi="Times New Roman" w:cs="Times New Roman"/>
          <w:color w:val="000000" w:themeColor="text1"/>
        </w:rPr>
      </w:pPr>
      <w:r w:rsidRPr="006159FD">
        <w:rPr>
          <w:rFonts w:ascii="Times New Roman" w:hAnsi="Times New Roman" w:cs="Times New Roman"/>
          <w:color w:val="000000" w:themeColor="text1"/>
        </w:rPr>
        <w:lastRenderedPageBreak/>
        <w:t xml:space="preserve">For </w:t>
      </w:r>
      <w:r w:rsidR="005B74F6" w:rsidRPr="006159FD">
        <w:rPr>
          <w:rFonts w:ascii="Times New Roman" w:hAnsi="Times New Roman" w:cs="Times New Roman"/>
          <w:color w:val="000000" w:themeColor="text1"/>
        </w:rPr>
        <w:t xml:space="preserve">the </w:t>
      </w:r>
      <w:r w:rsidRPr="006159FD">
        <w:rPr>
          <w:rFonts w:ascii="Times New Roman" w:hAnsi="Times New Roman" w:cs="Times New Roman"/>
          <w:color w:val="000000" w:themeColor="text1"/>
        </w:rPr>
        <w:t>i</w:t>
      </w:r>
      <w:r w:rsidR="00E90A36" w:rsidRPr="006159FD">
        <w:rPr>
          <w:rFonts w:ascii="Times New Roman" w:hAnsi="Times New Roman" w:cs="Times New Roman"/>
          <w:color w:val="000000" w:themeColor="text1"/>
        </w:rPr>
        <w:t>nvasive vertebrate-transmitted z</w:t>
      </w:r>
      <w:r w:rsidR="003236C0" w:rsidRPr="006159FD">
        <w:rPr>
          <w:rFonts w:ascii="Times New Roman" w:hAnsi="Times New Roman" w:cs="Times New Roman"/>
          <w:color w:val="000000" w:themeColor="text1"/>
        </w:rPr>
        <w:t>oonotic disease</w:t>
      </w:r>
      <w:r w:rsidRPr="006159FD">
        <w:rPr>
          <w:rFonts w:ascii="Times New Roman" w:hAnsi="Times New Roman" w:cs="Times New Roman"/>
          <w:color w:val="000000" w:themeColor="text1"/>
        </w:rPr>
        <w:t xml:space="preserve"> to be</w:t>
      </w:r>
      <w:r w:rsidR="003236C0" w:rsidRPr="006159FD">
        <w:rPr>
          <w:rFonts w:ascii="Times New Roman" w:hAnsi="Times New Roman" w:cs="Times New Roman"/>
          <w:color w:val="000000" w:themeColor="text1"/>
        </w:rPr>
        <w:t xml:space="preserve"> associated with mental illness</w:t>
      </w:r>
      <w:r w:rsidRPr="006159FD">
        <w:rPr>
          <w:rFonts w:ascii="Times New Roman" w:hAnsi="Times New Roman" w:cs="Times New Roman"/>
          <w:color w:val="000000" w:themeColor="text1"/>
        </w:rPr>
        <w:t>,</w:t>
      </w:r>
      <w:r w:rsidR="003236C0" w:rsidRPr="006159FD">
        <w:rPr>
          <w:rFonts w:ascii="Times New Roman" w:hAnsi="Times New Roman" w:cs="Times New Roman"/>
          <w:color w:val="000000" w:themeColor="text1"/>
        </w:rPr>
        <w:t xml:space="preserve"> </w:t>
      </w:r>
      <w:r w:rsidR="00E90A36" w:rsidRPr="006159FD">
        <w:rPr>
          <w:rFonts w:ascii="Times New Roman" w:hAnsi="Times New Roman" w:cs="Times New Roman"/>
          <w:color w:val="000000" w:themeColor="text1"/>
        </w:rPr>
        <w:t>invasive vertebrate</w:t>
      </w:r>
      <w:r w:rsidR="003236C0" w:rsidRPr="006159FD">
        <w:rPr>
          <w:rFonts w:ascii="Times New Roman" w:hAnsi="Times New Roman" w:cs="Times New Roman"/>
          <w:color w:val="000000" w:themeColor="text1"/>
        </w:rPr>
        <w:t xml:space="preserve"> must be</w:t>
      </w:r>
      <w:r w:rsidR="005B74F6" w:rsidRPr="006159FD">
        <w:rPr>
          <w:rFonts w:ascii="Times New Roman" w:hAnsi="Times New Roman" w:cs="Times New Roman"/>
          <w:color w:val="000000" w:themeColor="text1"/>
        </w:rPr>
        <w:t xml:space="preserve"> a</w:t>
      </w:r>
      <w:r w:rsidR="003236C0" w:rsidRPr="006159FD">
        <w:rPr>
          <w:rFonts w:ascii="Times New Roman" w:hAnsi="Times New Roman" w:cs="Times New Roman"/>
          <w:color w:val="000000" w:themeColor="text1"/>
        </w:rPr>
        <w:t xml:space="preserve"> cat </w:t>
      </w:r>
      <w:r w:rsidR="001F69D9"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{"citationItems":[{"id":"ITEM-1","itemData":{"DOI":"10.4269/ajtmh.16-0573","author":[{"dropping-particle":"","family":"Wit","given":"Luz A","non-dropping-particle":"de","parse-names":false,"suffix":""},{"dropping-particle":"","family":"Croll","given":"Donald A","non-dropping-particle":"","parse-names":false,"suffix":""},{"dropping-particle":"","family":"Tershy","given":"Bernie","non-dropping-particle":"","parse-names":false,"suffix":""},{"dropping-particle":"","family":"Newton","given":"Kelly M","non-dropping-particle":"","parse-names":false,"suffix":""},{"dropping-particle":"","family":"Spatz","given":"Dena R","non-dropping-particle":"","parse-names":false,"suffix":""},{"dropping-particle":"","family":"Holmes","given":"Nick D","non-dropping-particle":"","parse-names":false,"suffix":""},{"dropping-particle":"","family":"Kilpatrick","given":"A Marm","non-dropping-particle":"","parse-names":false,"suffix":""}],"container-title":"American Journal of Tropical Medicine and Hygiene","id":"ITEM-1","issue":"3","issued":{"date-parts":[["2017"]]},"page":"749-757","title":"Estimating Burdens of Neglected Tropical Zoonotic Diseases on Islands with Introduced Mammals","type":"article-journal","volume":"96"},"uris":["http://www.mendeley.com/documents/?uuid=ecbb8534-88f1-42ed-974c-b15630230d28"]},{"id":"ITEM-2","itemData":{"DOI":"10.2984/66.2.7","ISBN":"0030-8870","ISSN":"0030-8870","PMID":"76454611","author":[{"dropping-particle":"","family":"Duffy","given":"David Cameron","non-dropping-particle":"","parse-names":false,"suffix":""},{"dropping-particle":"","family":"Capece","given":"Paula","non-dropping-particle":"","parse-names":false,"suffix":""}],"container-title":"Pacific Science","id":"ITEM-2","issue":"2","issued":{"date-parts":[["2012"]]},"page":"173-212","title":"Biology and Impacts of Pacific Island Invasive Species. 7. The Domestic Cat ( Felis catus ) 1","type":"article-journal","volume":"66"},"uris":["http://www.mendeley.com/documents/?uuid=52b0635d-9988-4eea-b0ca-50a0ca0da707"]}],"mendeley":{"formattedCitation":"(Duffy and Capece 2012, de Wit et al. 2017)","plainTextFormattedCitation":"(Duffy and Capece 2012, de Wit et al. 2017)","previouslyFormattedCitation":"(de Wit et al., 2017; Duffy &amp; Capece, 2012)"},"properties":{"noteIndex":0},"schema":"https://github.com/citation-style-language/schema/raw/master/csl-citation.json"}</w:instrText>
      </w:r>
      <w:r w:rsidR="001F69D9"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(Duffy and Capece 2012, de Wit et al. 2017)</w:t>
      </w:r>
      <w:r w:rsidR="001F69D9" w:rsidRPr="006159FD">
        <w:rPr>
          <w:rFonts w:ascii="Times New Roman" w:eastAsia="Times New Roman" w:hAnsi="Times New Roman" w:cs="Times New Roman"/>
          <w:color w:val="000000" w:themeColor="text1"/>
        </w:rPr>
        <w:fldChar w:fldCharType="end"/>
      </w:r>
      <w:r w:rsidR="001F69D9" w:rsidRPr="006159FD">
        <w:rPr>
          <w:rFonts w:ascii="Times New Roman" w:eastAsia="Times New Roman" w:hAnsi="Times New Roman" w:cs="Times New Roman"/>
          <w:color w:val="000000" w:themeColor="text1"/>
        </w:rPr>
        <w:t>.</w:t>
      </w:r>
    </w:p>
    <w:p w14:paraId="41478CA1" w14:textId="70EACF6E" w:rsidR="003236C0" w:rsidRPr="006159FD" w:rsidRDefault="003236C0" w:rsidP="003236C0">
      <w:pPr>
        <w:rPr>
          <w:rFonts w:ascii="Times New Roman" w:hAnsi="Times New Roman" w:cs="Times New Roman"/>
          <w:color w:val="000000" w:themeColor="text1"/>
        </w:rPr>
      </w:pPr>
    </w:p>
    <w:p w14:paraId="49D0CB09" w14:textId="3D03C89E" w:rsidR="003236C0" w:rsidRPr="006159FD" w:rsidRDefault="003236C0" w:rsidP="003236C0">
      <w:pPr>
        <w:rPr>
          <w:rFonts w:ascii="Times New Roman" w:hAnsi="Times New Roman" w:cs="Times New Roman"/>
          <w:color w:val="000000" w:themeColor="text1"/>
        </w:rPr>
      </w:pPr>
    </w:p>
    <w:p w14:paraId="6A09F866" w14:textId="796428AF" w:rsidR="003236C0" w:rsidRPr="006159FD" w:rsidRDefault="008158A4" w:rsidP="003236C0">
      <w:pPr>
        <w:rPr>
          <w:rFonts w:ascii="Times New Roman" w:hAnsi="Times New Roman" w:cs="Times New Roman"/>
          <w:color w:val="000000" w:themeColor="text1"/>
        </w:rPr>
      </w:pPr>
      <w:r w:rsidRPr="006159FD">
        <w:rPr>
          <w:rFonts w:ascii="Times New Roman" w:hAnsi="Times New Roman" w:cs="Times New Roman"/>
          <w:noProof/>
          <w:color w:val="000000" w:themeColor="text1"/>
        </w:rPr>
        <w:drawing>
          <wp:inline distT="0" distB="0" distL="0" distR="0" wp14:anchorId="1279C886" wp14:editId="741118A0">
            <wp:extent cx="5943600" cy="3662680"/>
            <wp:effectExtent l="0" t="0" r="0" b="0"/>
            <wp:docPr id="30" name="Picture 30"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Screenshot 2019-11-28 12.05.00.png"/>
                    <pic:cNvPicPr/>
                  </pic:nvPicPr>
                  <pic:blipFill>
                    <a:blip r:embed="rId14">
                      <a:extLst>
                        <a:ext uri="{28A0092B-C50C-407E-A947-70E740481C1C}">
                          <a14:useLocalDpi xmlns:a14="http://schemas.microsoft.com/office/drawing/2010/main" val="0"/>
                        </a:ext>
                      </a:extLst>
                    </a:blip>
                    <a:stretch>
                      <a:fillRect/>
                    </a:stretch>
                  </pic:blipFill>
                  <pic:spPr>
                    <a:xfrm>
                      <a:off x="0" y="0"/>
                      <a:ext cx="5943600" cy="3662680"/>
                    </a:xfrm>
                    <a:prstGeom prst="rect">
                      <a:avLst/>
                    </a:prstGeom>
                  </pic:spPr>
                </pic:pic>
              </a:graphicData>
            </a:graphic>
          </wp:inline>
        </w:drawing>
      </w:r>
    </w:p>
    <w:p w14:paraId="121E683E" w14:textId="74E362EE" w:rsidR="003F3B59" w:rsidRPr="006159FD" w:rsidRDefault="00BC1DCD" w:rsidP="003F3B59">
      <w:pPr>
        <w:rPr>
          <w:rFonts w:ascii="Times New Roman" w:hAnsi="Times New Roman" w:cs="Times New Roman"/>
          <w:color w:val="000000" w:themeColor="text1"/>
        </w:rPr>
      </w:pPr>
      <w:bookmarkStart w:id="3" w:name="_Toc25838859"/>
      <w:r w:rsidRPr="006159FD">
        <w:rPr>
          <w:rStyle w:val="Heading1Char"/>
          <w:rFonts w:ascii="Times New Roman" w:hAnsi="Times New Roman" w:cs="Times New Roman"/>
          <w:color w:val="000000" w:themeColor="text1"/>
          <w:sz w:val="24"/>
          <w:szCs w:val="24"/>
        </w:rPr>
        <w:t>Goal 4.</w:t>
      </w:r>
      <w:bookmarkEnd w:id="3"/>
      <w:r w:rsidRPr="006159FD">
        <w:rPr>
          <w:rFonts w:ascii="Times New Roman" w:hAnsi="Times New Roman" w:cs="Times New Roman"/>
          <w:color w:val="000000" w:themeColor="text1"/>
        </w:rPr>
        <w:t xml:space="preserve"> </w:t>
      </w:r>
      <w:r w:rsidR="003F3B59" w:rsidRPr="006159FD">
        <w:rPr>
          <w:rFonts w:ascii="Times New Roman" w:hAnsi="Times New Roman" w:cs="Times New Roman"/>
          <w:color w:val="000000" w:themeColor="text1"/>
        </w:rPr>
        <w:t>Assumptions and inclusion criteria</w:t>
      </w:r>
    </w:p>
    <w:p w14:paraId="7B24B215" w14:textId="0676F7DE" w:rsidR="003236C0" w:rsidRPr="006159FD" w:rsidRDefault="003F3B59" w:rsidP="006D119C">
      <w:pPr>
        <w:pStyle w:val="ListParagraph"/>
        <w:numPr>
          <w:ilvl w:val="0"/>
          <w:numId w:val="18"/>
        </w:numPr>
        <w:rPr>
          <w:rFonts w:ascii="Times New Roman" w:hAnsi="Times New Roman" w:cs="Times New Roman"/>
          <w:color w:val="000000" w:themeColor="text1"/>
        </w:rPr>
      </w:pPr>
      <w:r w:rsidRPr="006159FD">
        <w:rPr>
          <w:rFonts w:ascii="Times New Roman" w:hAnsi="Times New Roman" w:cs="Times New Roman"/>
          <w:color w:val="000000" w:themeColor="text1"/>
        </w:rPr>
        <w:t>We assumed</w:t>
      </w:r>
      <w:r w:rsidR="001B606D" w:rsidRPr="006159FD">
        <w:rPr>
          <w:rFonts w:ascii="Times New Roman" w:hAnsi="Times New Roman" w:cs="Times New Roman"/>
          <w:color w:val="000000" w:themeColor="text1"/>
        </w:rPr>
        <w:t xml:space="preserve"> </w:t>
      </w:r>
      <w:r w:rsidRPr="006159FD">
        <w:rPr>
          <w:rFonts w:ascii="Times New Roman" w:hAnsi="Times New Roman" w:cs="Times New Roman"/>
          <w:color w:val="000000" w:themeColor="text1"/>
        </w:rPr>
        <w:t>i</w:t>
      </w:r>
      <w:r w:rsidR="003236C0" w:rsidRPr="006159FD">
        <w:rPr>
          <w:rFonts w:ascii="Times New Roman" w:hAnsi="Times New Roman" w:cs="Times New Roman"/>
          <w:color w:val="000000" w:themeColor="text1"/>
        </w:rPr>
        <w:t xml:space="preserve">sland </w:t>
      </w:r>
      <w:r w:rsidR="001B606D" w:rsidRPr="006159FD">
        <w:rPr>
          <w:rFonts w:ascii="Times New Roman" w:hAnsi="Times New Roman" w:cs="Times New Roman"/>
          <w:color w:val="000000" w:themeColor="text1"/>
        </w:rPr>
        <w:t xml:space="preserve">and country </w:t>
      </w:r>
      <w:r w:rsidR="003236C0" w:rsidRPr="006159FD">
        <w:rPr>
          <w:rFonts w:ascii="Times New Roman" w:hAnsi="Times New Roman" w:cs="Times New Roman"/>
          <w:color w:val="000000" w:themeColor="text1"/>
        </w:rPr>
        <w:t xml:space="preserve">residents </w:t>
      </w:r>
      <w:r w:rsidRPr="006159FD">
        <w:rPr>
          <w:rFonts w:ascii="Times New Roman" w:hAnsi="Times New Roman" w:cs="Times New Roman"/>
          <w:color w:val="000000" w:themeColor="text1"/>
        </w:rPr>
        <w:t xml:space="preserve">have </w:t>
      </w:r>
      <w:r w:rsidR="005B74F6" w:rsidRPr="006159FD">
        <w:rPr>
          <w:rFonts w:ascii="Times New Roman" w:hAnsi="Times New Roman" w:cs="Times New Roman"/>
          <w:color w:val="000000" w:themeColor="text1"/>
        </w:rPr>
        <w:t xml:space="preserve">been </w:t>
      </w:r>
      <w:r w:rsidRPr="006159FD">
        <w:rPr>
          <w:rFonts w:ascii="Times New Roman" w:hAnsi="Times New Roman" w:cs="Times New Roman"/>
          <w:color w:val="000000" w:themeColor="text1"/>
        </w:rPr>
        <w:t xml:space="preserve">or will be </w:t>
      </w:r>
      <w:r w:rsidR="003236C0" w:rsidRPr="006159FD">
        <w:rPr>
          <w:rFonts w:ascii="Times New Roman" w:hAnsi="Times New Roman" w:cs="Times New Roman"/>
          <w:color w:val="000000" w:themeColor="text1"/>
        </w:rPr>
        <w:t>trained and/or employed in eradication</w:t>
      </w:r>
      <w:r w:rsidR="00654CD4">
        <w:rPr>
          <w:rFonts w:ascii="Times New Roman" w:hAnsi="Times New Roman" w:cs="Times New Roman"/>
          <w:color w:val="000000" w:themeColor="text1"/>
        </w:rPr>
        <w:t>s, biosecurity and</w:t>
      </w:r>
      <w:r w:rsidR="003236C0" w:rsidRPr="006159FD">
        <w:rPr>
          <w:rFonts w:ascii="Times New Roman" w:hAnsi="Times New Roman" w:cs="Times New Roman"/>
          <w:color w:val="000000" w:themeColor="text1"/>
        </w:rPr>
        <w:t xml:space="preserve"> monitoring (e.g. government officials</w:t>
      </w:r>
      <w:r w:rsidR="005B74F6" w:rsidRPr="006159FD">
        <w:rPr>
          <w:rFonts w:ascii="Times New Roman" w:hAnsi="Times New Roman" w:cs="Times New Roman"/>
          <w:color w:val="000000" w:themeColor="text1"/>
        </w:rPr>
        <w:t>, local residents</w:t>
      </w:r>
      <w:r w:rsidR="003236C0" w:rsidRPr="006159FD">
        <w:rPr>
          <w:rFonts w:ascii="Times New Roman" w:hAnsi="Times New Roman" w:cs="Times New Roman"/>
          <w:color w:val="000000" w:themeColor="text1"/>
        </w:rPr>
        <w:t>)</w:t>
      </w:r>
      <w:r w:rsidR="001F69D9" w:rsidRPr="006159FD">
        <w:rPr>
          <w:rFonts w:ascii="Times New Roman" w:eastAsia="Times New Roman" w:hAnsi="Times New Roman" w:cs="Times New Roman"/>
          <w:color w:val="000000" w:themeColor="text1"/>
        </w:rPr>
        <w:t xml:space="preserve"> </w:t>
      </w:r>
      <w:r w:rsidR="001F69D9"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{"citationItems":[{"id":"ITEM-1","itemData":{"DOI":"10.1111/j.1523-1739.2007.00755.x","ISBN":"1523-1739 (Electronic)\\n0888-8892 (Linking)","ISSN":"1523-1739","PMID":"17883491","abstract":"Invasive mammals are the greatest threat to island biodiversity and invasive rodents are likely responsible for the greatest number of extinctions and ecosystem changes. Techniques for eradicating rodents from islands were developed over 2 decades ago. Since that time there has been a significant development and application of this conservation tool. We reviewed the literature on invasive rodent eradications to assess its current state and identify actions to make it more effective. Worldwide, 332 successful rodent eradications have been undertaken; we identified 35 failed eradications and 20 campaigns of unknown result. Invasive rodents have been eradicated from 284 islands (47,628 ha). With the exception of two small islands, rodenticides were used in all eradication campaigns. Brodifacoum was used in 71% of campaigns and 91% of the total area treated. The most frequent rodenticide distribution methods (from most to least) are bait stations, hand broadcasting, and aerial broadcasting. Nevertheless, campaigns using aerial broadcast made up 76% of the total area treated. Mortality of native vertebrates due to nontarget poisoning has been documented, but affected species quickly recover to pre-eradication population levels or higher. A variety of methods have been developed to mitigate nontarget impacts, and applied research can further aid in minimizing impacts. Land managers should routinely remove invasive rodents from islands &lt;100 ha that lack vertebrates susceptible to nontarget poisoning. For larger islands and those that require nontarget mitigation, expert consultation and greater planning effort are needed. With the exception of house mice (Mus musculus), island size may no longer be the limiting factor for rodent eradications; rather, social acceptance and funding may be the main challenges. To be successful, large-scale rodent campaigns should be integrated with programs to improve the livelihoods of residents, island biosecurity, and reinvasion response programs.","author":[{"dropping-particle":"","family":"Howald","given":"Gregg","non-dropping-particle":"","parse-names":false,"suffix":""},{"dropping-particle":"","family":"Donlan","given":"C. Josh","non-dropping-particle":"","parse-names":false,"suffix":""},{"dropping-particle":"","family":"Galván","given":"Juan Pablo","non-dropping-particle":"","parse-names":false,"suffix":""},{"dropping-particle":"","family":"Russell","given":"James C.","non-dropping-particle":"","parse-names":false,"suffix":""},{"dropping-particle":"","family":"Parkes","given":"John","non-dropping-particle":"","parse-names":false,"suffix":""},{"dropping-particle":"","family":"Samaniego","given":"Araceli","non-dropping-particle":"","parse-names":false,"suffix":""},{"dropping-particle":"","family":"Wang","given":"Yiwei","non-dropping-particle":"","parse-names":false,"suffix":""},{"dropping-particle":"","family":"Veitch","given":"Dick","non-dropping-particle":"","parse-names":false,"suffix":""},{"dropping-particle":"","family":"Genovesi","given":"Piero","non-dropping-particle":"","parse-names":false,"suffix":""},{"dropping-particle":"","family":"Pascal","given":"Michel","non-dropping-particle":"","parse-names":false,"suffix":""},{"dropping-particle":"","family":"Saunders","given":"Alan","non-dropping-particle":"","parse-names":false,"suffix":""},{"dropping-particle":"","family":"Tershy","given":"Bernie","non-dropping-particle":"","parse-names":false,"suffix":""}],"container-title":"Conservation biology : the journal of the Society for Conservation Biology","id":"ITEM-1","issue":"5","issued":{"date-parts":[["2007","10"]]},"page":"1258-68","title":"Invasive rodent eradication on islands","type":"article-journal","volume":"21"},"uris":["http://www.mendeley.com/documents/?uuid=989fd7cb-89ae-410e-a9d0-e34eac278a23"]},{"id":"ITEM-2","itemData":{"abstract":"Invasive vertebrate species can cause substantial damage to natural resources, property, crops, livestock, and pose a disease hazard to humans, native wildlife and domestic animals. Numerous island species have become extinct or are threatened with extinction from invasive species. The high rate of invasive species introductions continues because of the large volumes of world trade and international travel. Humans are often responsible for introductions, but are also the key to their prevention, management, and eradication. However, many of the values and perceptions of invasive species vary among humans. Hence, the prevention and control of invasive vertebrates often requires adjusting human behaviors, values, and beliefs, along with changing the way decisions are made. Most people have little idea of which species are invasive, what their impacts are, and what control methods might be appropriate for their management. A wide variety of education, outreach, and training programs are needed to help motivate people to take action and raise awareness of the causes of establishment, consequences of invasive species, and the need for prevention, control, and eradication programs. Key messages should target diverse audiences through appropriate media outlets and methods. Surveys to better understand how different stakeholder groups view invasive species, the threats they pose, and the potential methods of control are also needed. We review several programs in place to help achieve the critical need for an informed and active public with regard to invasive vertebrate species. The programs help create an informed public, generate public and financial support for invasive species management, train the public to recognize and report sightings of invasives, and encourage sustainable ecosystems.","author":[{"dropping-particle":"","family":"Witmer","given":"Gary","non-dropping-particle":"","parse-names":false,"suffix":""},{"dropping-particle":"","family":"Keirn","given":"G. M.","non-dropping-particle":"","parse-names":false,"suffix":""},{"dropping-particle":"","family":"Hawley","given":"N","non-dropping-particle":"","parse-names":false,"suffix":""},{"dropping-particle":"","family":"Martin","given":"C","non-dropping-particle":"","parse-names":false,"suffix":""},{"dropping-particle":"","family":"Reaser","given":"J. K","non-dropping-particle":"","parse-names":false,"suffix":""}],"container-title":"Wildlife Damage Management Conferences - Proceedings - Paper 141","id":"ITEM-2","issued":{"date-parts":[["2009"]]},"title":"Human Dimensions of Invasive Vertebrate Species Management","type":"article-journal"},"uris":["http://www.mendeley.com/documents/?uuid=1e2f48f6-2cd5-43bb-a10c-93a0628c5b89"]},{"id":"ITEM-3","itemData":{"DOI":"10.1007/s10530-017-1388-2","ISSN":"15731464","abstract":"For effective and efficient pest management it is essential to understand the ecology of the target species and recipient ecosystems. The use of rodent eradication as a restoration tool is well established in temperate regions, but less common in the tropics, presenting an opportunity to undertake scientific learning in tandem with rodent eradications. On a dry tropical archipelago, we used a Before-After-Control-Impact framework to document (1) fluctuations in the abundance and demography of invasive Rattus rattus and Mus musculus on three different islands, (2) the trophic niche of all three invasive rodent populations, and (3) changes in the invertebrate community before and after rodent eradication, also comparing with two rodent free islands. While rat density was high and relatively stable throughout the year, the two mouse populations greatly differed in body size and seasonal dynamics, despite their proximity. The rodents in all three populations were generalist and opportunistic feeders, although stable isotope analyses results indicated major differences among them, driven by food availability and rodent species. Seasonal fluctuations in invertebrate communities depended on rodent invasion status, but recovery in the invertebrate communities one year after rodent removal was limited for all islands. Predictions for other tropical ecosystem biomes require long-term research on more tropical islands. Improving our understanding of island and species-specific contexts of rodent eradications can advance island restoration projects and assist the selection of indicator species for ecosystem recovery.","author":[{"dropping-particle":"","family":"Samaniego-Herrera","given":"Araceli","non-dropping-particle":"","parse-names":false,"suffix":""},{"dropping-particle":"","family":"Clout","given":"Mick N.","non-dropping-particle":"","parse-names":false,"suffix":""},{"dropping-particle":"","family":"Aguirre-Muñoz","given":"Alfonso","non-dropping-particle":"","parse-names":false,"suffix":""},{"dropping-particle":"","family":"Russell","given":"James C.","non-dropping-particle":"","parse-names":false,"suffix":""}],"container-title":"Biological Invasions","id":"ITEM-3","issue":"6","issued":{"date-parts":[["2017"]]},"page":"1761-1779","title":"Rodent eradications as ecosystem experiments: a case study from the Mexican tropics","type":"article-journal","volume":"19"},"uris":["http://www.mendeley.com/documents/?uuid=660ce70b-809b-4547-89d6-0ae2ebb4f473"]},{"id":"ITEM-4","itemData":{"abstract":"Eradications of invasive mammals have over the last decade been a key element in the restoration of Mexican islands. To date, 48 eradications have been completed on 30 islands. This work has provided the climate for a wider movement towards the protection and restoration of Mexican islands involving many players and institutions. Perceptions of islands have changed from earlier abuse and abandonment to current realisation of their importance for sovereignty, their rich biodiversity, and their potential as sites for sustainable development. This increased awareness was followed by social acceptance of the importance of islands, organisational development of advocates for them, scientific research, secure funding for projects on them, and institutional support for this work. A collaborative network now includes federal government agencies such as the Mexican Navy alongside academic institutes and universities, local communities, artisanal fishermen co-operatives, non-government organisations (NGOs), and national and international donors. A crucial NGO component of this network has been the Grupo de Ecología y Conservación de Islas, A.C. (GECI). This private organisation now has a field staff of 24 scientists and technicians who work closely with personnel from government agencies. Soon all Mexican islands will be legally protected under federal categories. Permanent government staff are being recruited, and activities on islands are starting to be supported with federal budgets. These public budgets may also soon supplement funds provided by private donors. During the last decade, most funds have been provided by American private foundations; comparatively Mexican private and public funding is still limited. There have been positive outcomes from international collaboration and exchange. If the current pace is sustained a strategic goal could be met: to eradicate all invasive mammals from the remaining Mexican islands by the year 2025.","author":[{"dropping-particle":"","family":"Aguirre-Muñoz","given":"A.","non-dropping-particle":"","parse-names":false,"suffix":""},{"dropping-particle":"","family":"Samaniego-Herrera","given":"A.","non-dropping-particle":"","parse-names":false,"suffix":""},{"dropping-particle":"","family":"Luna-Mendoza","given":"L.","non-dropping-particle":"","parse-names":false,"suffix":""},{"dropping-particle":"","family":"Ortiz-Alcaraz","given":"A.","non-dropping-particle":"","parse-names":false,"suffix":""},{"dropping-particle":"","family":"Rodríguez-Malagón","given":"M.","non-dropping-particle":"","parse-names":false,"suffix":""},{"dropping-particle":"","family":"Félix-Lizárraga","given":"M.","non-dropping-particle":"","parse-names":false,"suffix":""},{"dropping-particle":"","family":"Méndez-Sánchez","given":"F.","non-dropping-particle":"","parse-names":false,"suffix":""},{"dropping-particle":"","family":"González-Gómez","given":"R.","non-dropping-particle":"","parse-names":false,"suffix":""},{"dropping-particle":"","family":"Torres-García","given":"F.","non-dropping-particle":"","parse-names":false,"suffix":""},{"dropping-particle":"","family":"Hernández-Montoya","given":"J.C.","non-dropping-particle":"","parse-names":false,"suffix":""},{"dropping-particle":"","family":"Barredo-Barberena","given":"J.M.","non-dropping-particle":"","parse-names":false,"suffix":""},{"dropping-particle":"","family":"Latofski-Robles","given":"M.","non-dropping-particle":"","parse-names":false,"suffix":""}],"container-title":"Island invasives: eradication and managemen","id":"ITEM-4","issued":{"date-parts":[["2011"]]},"page":"386-394","title":"Eradications of invasive mammals on islands in Mexico: the roles of history and the collaboration between government agencies, local communities and a non-government organisation.","type":"article-journal"},"uris":["http://www.mendeley.com/documents/?uuid=fab3fbc8-85d5-4870-a9af-1693db5af79f"]},{"id":"ITEM-5","itemData":{"abstract":"The 250+ islands of north-west Mexico support 50 taxa (species and subspecies) of breeding seabirds and over 180 taxa of endemic terrestrial vertebrates. Isolation and aridity have historically protected these islands from many human perturbations and consequently their biotas are relatively intact. However, invasive alien mammals have been introduced to at least 44 islands and are responsible for the ecological extinction of 22 endemic vertebrate species and subspecies, and the local extinction of one or more seabird taxa on 10 islands. The Island Conservation and Ecology Group, the National Autonomous University of Mexico, Center for Biological Investigations, and National Protected Areas Department collaborated with local people and other NGOs to remove one or more introduced mam- mals from 23 islands and will soon complete eradication on one more. This work has protected habitat for 27 seabird taxa, seven of which are endemic to the region, and 38 endemic taxa of terrestrial vertebrates. Our regional, science- based, collaborative approach to island conservation has eradicated invasive alien mammals from most islands under 40 km2 in this biologically important region. We are building on this experience to conduct eradications on larger, more-difficult islands.","author":[{"dropping-particle":"","family":"Tershy","given":"B R","non-dropping-particle":"","parse-names":false,"suffix":""},{"dropping-particle":"","family":"Donlan","given":"C J","non-dropping-particle":"","parse-names":false,"suffix":""},{"dropping-particle":"","family":"Keitt","given":"B S","non-dropping-particle":"","parse-names":false,"suffix":""},{"dropping-particle":"","family":"Croll","given":"D a","non-dropping-particle":"","parse-names":false,"suffix":""},{"dropping-particle":"","family":"Sanchez","given":"J a","non-dropping-particle":"","parse-names":false,"suffix":""},{"dropping-particle":"","family":"Wood","given":"B","non-dropping-particle":"","parse-names":false,"suffix":""},{"dropping-particle":"","family":"Hermosillo","given":"M a","non-dropping-particle":"","parse-names":false,"suffix":""},{"dropping-particle":"","family":"Howald","given":"G R","non-dropping-particle":"","parse-names":false,"suffix":""},{"dropping-particle":"","family":"Biavaschi","given":"N","non-dropping-particle":"","parse-names":false,"suffix":""}],"container-title":"Turning the Tide: the eradication of invasive species.","id":"ITEM-5","issue":"1","issued":{"date-parts":[["2002"]]},"page":"293-300","title":"Island conservation in north-west Mexico: a conservation model integrating research, education and exotic mammal eradication","type":"article-journal"},"uris":["http://www.mendeley.com/documents/?uuid=40043496-f8b0-4fde-8e85-0f52f9b23dd5"]},{"id":"ITEM-6","itemData":{"DOI":"10.4067/s0716-078x2005000100010","ISSN":"0716078X","abstract":"We provide an overview of the current status of vertebrate invasive species throughout Chile, updating information on terrestrial exotics and reporting for the first time the situation of exotic freshwater fishes. In addition, we document the legislation and programs that the Chilean government has implemented to limit the entry of exotics to the country or minimize their impact on native wild flora and fauna and on natural ecosystems. We document what is known about the introduction of 26 exotic fish species to continental waters of the country, discussing the distribution and putative effects of those 11 species that may be considered invasive. From a previous list of 24 terrestrial vertebrate invaders, we withdraw the Argentine tortoise (Chelonoidis chilensis), reindeer (Rangifer tarandus) and mouflon (Ovis ammon) because there are no data on their subsistence in the wild. On the other hand, we add three new species: red-eared freshwater turtle (Trachemys scripta), monk parakeet (Myiopsitta rnonachus), and red-crested cardinal (Paroaria coronata), thus keeping the total number of terrestrial invaders unchanged at 24 species. The chief agency in charge of existing laws and regulations regarding the import of exotic freshwater species is the National Fisheries Service (SERNAPESCA, in Spanish), a dependency of the Ministry of Economy. The main agency in charge of enforcing existing laws and regulations regarding the import of exotic terrestrial species to Chile is the Agriculture and Livestock Service (SAG, in Spanish), a dependency of the Ministry of Agriculture. Currently, SAG is not only controlling major border passes, seaports and airports, but also is funding studies to monitor and control already existing invaders. In addition, the Chilean Forest Service (CONAF, in Spanish) is also concerned about invasive species, but only if they enter national parks and reserves within the National System of Protected Wildlife Areas (SNASPE, in Spanish).","author":[{"dropping-particle":"","family":"Iriarte","given":"J. Agustín","non-dropping-particle":"","parse-names":false,"suffix":""},{"dropping-particle":"","family":"Lobos","given":"Gabriel A.","non-dropping-particle":"","parse-names":false,"suffix":""},{"dropping-particle":"","family":"Jaksic","given":"Fabián M.","non-dropping-particle":"","parse-names":false,"suffix":""}],"container-title":"Revista Chilena de Historia Natural","id":"ITEM-6","issue":"1","issued":{"date-parts":[["2005"]]},"page":"143-154","title":"Invasive vertebrate species in Chile and their control and monitoring by governmental agencies","type":"article-journal","volume":"78"},"uris":["http://www.mendeley.com/documents/?uuid=dc17a9b1-c0d6-4edb-b10d-3cee9c0b5bc0"]},{"id":"ITEM-7","itemData":{"DOI":"10.1371/journal.pone.0018835","ISSN":"19326203","abstract":"Invasive alien mammals are the major driver of biodiversity loss and ecosystem degradation on islands. Over the past three decades, invasive mammal eradication from islands has become one of society's most powerful tools for preventing extinction of insular endemics and restoring insular ecosystems. As practitioners tackle larger islands for restoration, three factors will heavily influence success and outcomes: the degree of local support, the ability to mitigate for non-target impacts, and the ability to eradicate non-native species more cost-effectively. Investments in removing invasive species, however, must be weighed against the risk of reintroduction. One way to reduce reintroduction risks is to eradicate the target invasive species from an entire archipelago, and thus eliminate readily available sources. We illustrate the costs and benefits of this approach with the efforts to remove invasive goats from the Galápagos Islands. Project Isabela, the world's largest island restoration effort to date, removed &gt;140,000 goats from &gt;500,000 ha for a cost of US$10.5 million. Leveraging the capacity built during Project Isabela, and given that goat reintroductions have been common over the past decade, we implemented an archipelago-wide goat eradication strategy. Feral goats remain on three islands in the archipelago, and removal efforts are underway. Efforts on the Galápagos Islands demonstrate that for some species, island size is no longer the limiting factor with respect to eradication. Rather, bureaucratic processes, financing, political will, and stakeholder approval appear to be the new challenges. Eradication efforts have delivered a suite of biodiversity benefits that are in the process of revealing themselves. The costs of rectifying intentional reintroductions are high in terms of financial and human resources. Reducing the archipelago-wide goat density to low levels is a technical approach to reducing reintroduction risk in the short-term, and is being complemented with a longer-term social approach focused on education and governance. © 2011 Carrion et al.","author":[{"dropping-particle":"","family":"Carrion","given":"Victor","non-dropping-particle":"","parse-names":false,"suffix":""},{"dropping-particle":"","family":"Donlan","given":"C. Josh","non-dropping-particle":"","parse-names":false,"suffix":""},{"dropping-particle":"","family":"Campbell","given":"Karl J.","non-dropping-particle":"","parse-names":false,"suffix":""},{"dropping-particle":"","family":"Lavoie","given":"Christian","non-dropping-particle":"","parse-names":false,"suffix":""},{"dropping-particle":"","family":"Cruz","given":"Felipe","non-dropping-particle":"","parse-names":false,"suffix":""}],"container-title":"PLoS ONE","id":"ITEM-7","issue":"5","issued":{"date-parts":[["2011"]]},"title":"Archipelago-wide island restoration in the galápagos islands: Reducing costs of invasive mammal eradication programs and reinvasion risk","type":"article-journal","volume":"6"},"uris":["http://www.mendeley.com/documents/?uuid=95f6cc97-7c7b-435a-bffc-124495d6793e"]}],"mendeley":{"formattedCitation":"(Tershy et al. 2002, Iriarte et al. 2005, Howald et al. 2007, Witmer et al. 2009, Aguirre-Muñoz et al. 2011, Carrion et al. 2011, Samaniego-Herrera et al. 2017)","plainTextFormattedCitation":"(Tershy et al. 2002, Iriarte et al. 2005, Howald et al. 2007, Witmer et al. 2009, Aguirre-Muñoz et al. 2011, Carrion et al. 2011, Samaniego-Herrera et al. 2017)","previouslyFormattedCitation":"(A. Aguirre-Muñoz et al., 2011; Carrion, Donlan, Campbell, Lavoie, &amp; Cruz, 2011; Howald et al., 2007; Iriarte, Lobos, &amp; Jaksic, 2005; Araceli Samaniego-Herrera, Clout, Aguirre-Muñoz, &amp; Russell, 2017; Tershy et al., 2002; G. Witmer, Keirn, Hawley, Martin, &amp; Reaser, 2009)"},"properties":{"noteIndex":0},"schema":"https://github.com/citation-style-language/schema/raw/master/csl-citation.json"}</w:instrText>
      </w:r>
      <w:r w:rsidR="001F69D9"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(Tershy et al. 2002, Iriarte et al. 2005, Howald et al. 2007, Witmer et al. 2009, Aguirre-Muñoz et al. 2011, Carrion et al. 2011, Samaniego-Herrera et al. 2017)</w:t>
      </w:r>
      <w:r w:rsidR="001F69D9" w:rsidRPr="006159FD">
        <w:rPr>
          <w:rFonts w:ascii="Times New Roman" w:eastAsia="Times New Roman" w:hAnsi="Times New Roman" w:cs="Times New Roman"/>
          <w:color w:val="000000" w:themeColor="text1"/>
        </w:rPr>
        <w:fldChar w:fldCharType="end"/>
      </w:r>
      <w:r w:rsidR="001F69D9" w:rsidRPr="006159FD">
        <w:rPr>
          <w:rFonts w:ascii="Times New Roman" w:hAnsi="Times New Roman" w:cs="Times New Roman"/>
          <w:color w:val="000000" w:themeColor="text1"/>
        </w:rPr>
        <w:t>.</w:t>
      </w:r>
    </w:p>
    <w:p w14:paraId="03266E39" w14:textId="745F3993" w:rsidR="003236C0" w:rsidRPr="006159FD" w:rsidRDefault="003236C0" w:rsidP="003236C0">
      <w:pPr>
        <w:rPr>
          <w:rFonts w:ascii="Times New Roman" w:hAnsi="Times New Roman" w:cs="Times New Roman"/>
          <w:color w:val="000000" w:themeColor="text1"/>
        </w:rPr>
      </w:pPr>
    </w:p>
    <w:p w14:paraId="0430B771" w14:textId="5BFA17FB" w:rsidR="003236C0" w:rsidRPr="006159FD" w:rsidRDefault="003236C0" w:rsidP="003236C0">
      <w:pPr>
        <w:rPr>
          <w:rFonts w:ascii="Times New Roman" w:hAnsi="Times New Roman" w:cs="Times New Roman"/>
          <w:color w:val="000000" w:themeColor="text1"/>
        </w:rPr>
      </w:pPr>
    </w:p>
    <w:p w14:paraId="2476DF49" w14:textId="7F60CAF5" w:rsidR="003236C0" w:rsidRPr="006159FD" w:rsidRDefault="003236C0" w:rsidP="003236C0">
      <w:pPr>
        <w:rPr>
          <w:rFonts w:ascii="Times New Roman" w:hAnsi="Times New Roman" w:cs="Times New Roman"/>
          <w:color w:val="000000" w:themeColor="text1"/>
        </w:rPr>
      </w:pPr>
    </w:p>
    <w:p w14:paraId="3F57183C" w14:textId="0B4979C3" w:rsidR="003236C0" w:rsidRPr="006159FD" w:rsidRDefault="003236C0" w:rsidP="003236C0">
      <w:pPr>
        <w:rPr>
          <w:rFonts w:ascii="Times New Roman" w:hAnsi="Times New Roman" w:cs="Times New Roman"/>
          <w:color w:val="000000" w:themeColor="text1"/>
        </w:rPr>
      </w:pPr>
    </w:p>
    <w:p w14:paraId="1CD0D7A7" w14:textId="12EDE2C9" w:rsidR="003236C0" w:rsidRPr="006159FD" w:rsidRDefault="003236C0" w:rsidP="003236C0">
      <w:pPr>
        <w:rPr>
          <w:rFonts w:ascii="Times New Roman" w:hAnsi="Times New Roman" w:cs="Times New Roman"/>
          <w:color w:val="000000" w:themeColor="text1"/>
        </w:rPr>
      </w:pPr>
    </w:p>
    <w:p w14:paraId="4B21E693" w14:textId="6E978006" w:rsidR="003236C0" w:rsidRPr="006159FD" w:rsidRDefault="003236C0" w:rsidP="003236C0">
      <w:pPr>
        <w:rPr>
          <w:rFonts w:ascii="Times New Roman" w:hAnsi="Times New Roman" w:cs="Times New Roman"/>
          <w:color w:val="000000" w:themeColor="text1"/>
        </w:rPr>
      </w:pPr>
    </w:p>
    <w:p w14:paraId="4517523A" w14:textId="2ABA5237" w:rsidR="003236C0" w:rsidRPr="006159FD" w:rsidRDefault="003236C0" w:rsidP="003236C0">
      <w:pPr>
        <w:rPr>
          <w:rFonts w:ascii="Times New Roman" w:hAnsi="Times New Roman" w:cs="Times New Roman"/>
          <w:color w:val="000000" w:themeColor="text1"/>
        </w:rPr>
      </w:pPr>
    </w:p>
    <w:p w14:paraId="48F0C4F9" w14:textId="57C158C0" w:rsidR="003236C0" w:rsidRPr="006159FD" w:rsidRDefault="003236C0" w:rsidP="003236C0">
      <w:pPr>
        <w:rPr>
          <w:rFonts w:ascii="Times New Roman" w:hAnsi="Times New Roman" w:cs="Times New Roman"/>
          <w:color w:val="000000" w:themeColor="text1"/>
        </w:rPr>
      </w:pPr>
    </w:p>
    <w:p w14:paraId="2F76A4DA" w14:textId="7E666A5A" w:rsidR="003236C0" w:rsidRPr="006159FD" w:rsidRDefault="003236C0" w:rsidP="003236C0">
      <w:pPr>
        <w:rPr>
          <w:rFonts w:ascii="Times New Roman" w:hAnsi="Times New Roman" w:cs="Times New Roman"/>
          <w:color w:val="000000" w:themeColor="text1"/>
        </w:rPr>
      </w:pPr>
    </w:p>
    <w:p w14:paraId="3A0B081D" w14:textId="54431F78" w:rsidR="003F3B59" w:rsidRPr="006159FD" w:rsidRDefault="003F3B59" w:rsidP="003236C0">
      <w:pPr>
        <w:rPr>
          <w:rFonts w:ascii="Times New Roman" w:hAnsi="Times New Roman" w:cs="Times New Roman"/>
          <w:color w:val="000000" w:themeColor="text1"/>
        </w:rPr>
      </w:pPr>
    </w:p>
    <w:p w14:paraId="6445A4BD" w14:textId="77777777" w:rsidR="003236C0" w:rsidRPr="006159FD" w:rsidRDefault="003236C0" w:rsidP="003236C0">
      <w:pPr>
        <w:rPr>
          <w:rFonts w:ascii="Times New Roman" w:hAnsi="Times New Roman" w:cs="Times New Roman"/>
          <w:color w:val="000000" w:themeColor="text1"/>
        </w:rPr>
      </w:pPr>
    </w:p>
    <w:p w14:paraId="5ECDCAC3" w14:textId="193BBB22" w:rsidR="003236C0" w:rsidRPr="006159FD" w:rsidRDefault="0058672A" w:rsidP="003236C0">
      <w:pPr>
        <w:rPr>
          <w:rFonts w:ascii="Times New Roman" w:hAnsi="Times New Roman" w:cs="Times New Roman"/>
          <w:color w:val="000000" w:themeColor="text1"/>
        </w:rPr>
      </w:pPr>
      <w:r w:rsidRPr="006159FD">
        <w:rPr>
          <w:rFonts w:ascii="Times New Roman" w:hAnsi="Times New Roman" w:cs="Times New Roman"/>
          <w:noProof/>
          <w:color w:val="000000" w:themeColor="text1"/>
        </w:rPr>
        <w:lastRenderedPageBreak/>
        <w:t xml:space="preserve"> </w:t>
      </w:r>
      <w:r w:rsidR="008158A4" w:rsidRPr="006159FD">
        <w:rPr>
          <w:rFonts w:ascii="Times New Roman" w:hAnsi="Times New Roman" w:cs="Times New Roman"/>
          <w:noProof/>
          <w:color w:val="000000" w:themeColor="text1"/>
        </w:rPr>
        <w:drawing>
          <wp:inline distT="0" distB="0" distL="0" distR="0" wp14:anchorId="2386BF40" wp14:editId="79B98FCD">
            <wp:extent cx="5943600" cy="3931285"/>
            <wp:effectExtent l="0" t="0" r="0" b="5715"/>
            <wp:docPr id="31" name="Picture 31"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Screenshot 2019-11-28 12.05.07.png"/>
                    <pic:cNvPicPr/>
                  </pic:nvPicPr>
                  <pic:blipFill>
                    <a:blip r:embed="rId15">
                      <a:extLst>
                        <a:ext uri="{28A0092B-C50C-407E-A947-70E740481C1C}">
                          <a14:useLocalDpi xmlns:a14="http://schemas.microsoft.com/office/drawing/2010/main" val="0"/>
                        </a:ext>
                      </a:extLst>
                    </a:blip>
                    <a:stretch>
                      <a:fillRect/>
                    </a:stretch>
                  </pic:blipFill>
                  <pic:spPr>
                    <a:xfrm>
                      <a:off x="0" y="0"/>
                      <a:ext cx="5943600" cy="3931285"/>
                    </a:xfrm>
                    <a:prstGeom prst="rect">
                      <a:avLst/>
                    </a:prstGeom>
                  </pic:spPr>
                </pic:pic>
              </a:graphicData>
            </a:graphic>
          </wp:inline>
        </w:drawing>
      </w:r>
    </w:p>
    <w:p w14:paraId="17E88E75" w14:textId="77777777" w:rsidR="003236C0" w:rsidRPr="006159FD" w:rsidRDefault="003236C0" w:rsidP="003236C0">
      <w:pPr>
        <w:rPr>
          <w:rFonts w:ascii="Times New Roman" w:hAnsi="Times New Roman" w:cs="Times New Roman"/>
          <w:color w:val="000000" w:themeColor="text1"/>
        </w:rPr>
      </w:pPr>
    </w:p>
    <w:p w14:paraId="057D0D44" w14:textId="59318829" w:rsidR="003F3B59" w:rsidRPr="006159FD" w:rsidRDefault="00BC1DCD" w:rsidP="00F70E45">
      <w:pPr>
        <w:rPr>
          <w:rFonts w:ascii="Times New Roman" w:hAnsi="Times New Roman" w:cs="Times New Roman"/>
          <w:color w:val="000000" w:themeColor="text1"/>
        </w:rPr>
      </w:pPr>
      <w:bookmarkStart w:id="4" w:name="_Toc25838860"/>
      <w:r w:rsidRPr="006159FD">
        <w:rPr>
          <w:rStyle w:val="Heading1Char"/>
          <w:rFonts w:ascii="Times New Roman" w:hAnsi="Times New Roman" w:cs="Times New Roman"/>
          <w:color w:val="000000" w:themeColor="text1"/>
          <w:sz w:val="24"/>
          <w:szCs w:val="24"/>
        </w:rPr>
        <w:t>Goal 6.</w:t>
      </w:r>
      <w:bookmarkEnd w:id="4"/>
      <w:r w:rsidRPr="006159FD">
        <w:rPr>
          <w:rFonts w:ascii="Times New Roman" w:hAnsi="Times New Roman" w:cs="Times New Roman"/>
          <w:color w:val="000000" w:themeColor="text1"/>
        </w:rPr>
        <w:t xml:space="preserve"> </w:t>
      </w:r>
      <w:r w:rsidR="003F3B59" w:rsidRPr="006159FD">
        <w:rPr>
          <w:rFonts w:ascii="Times New Roman" w:hAnsi="Times New Roman" w:cs="Times New Roman"/>
          <w:color w:val="000000" w:themeColor="text1"/>
        </w:rPr>
        <w:t>Assumptions and inclusion criteria</w:t>
      </w:r>
    </w:p>
    <w:p w14:paraId="2AD538C0" w14:textId="424361BF" w:rsidR="003236C0" w:rsidRPr="006159FD" w:rsidRDefault="003F3B59" w:rsidP="003236C0">
      <w:pPr>
        <w:pStyle w:val="ListParagraph"/>
        <w:numPr>
          <w:ilvl w:val="0"/>
          <w:numId w:val="7"/>
        </w:numPr>
        <w:rPr>
          <w:rFonts w:ascii="Times New Roman" w:hAnsi="Times New Roman" w:cs="Times New Roman"/>
          <w:color w:val="000000" w:themeColor="text1"/>
        </w:rPr>
      </w:pPr>
      <w:r w:rsidRPr="006159FD">
        <w:rPr>
          <w:rFonts w:ascii="Times New Roman" w:hAnsi="Times New Roman" w:cs="Times New Roman"/>
          <w:color w:val="000000" w:themeColor="text1"/>
        </w:rPr>
        <w:t xml:space="preserve">We assumed </w:t>
      </w:r>
      <w:r w:rsidR="00B6596C" w:rsidRPr="006159FD">
        <w:rPr>
          <w:rFonts w:ascii="Times New Roman" w:hAnsi="Times New Roman" w:cs="Times New Roman"/>
          <w:color w:val="000000" w:themeColor="text1"/>
        </w:rPr>
        <w:t xml:space="preserve">the </w:t>
      </w:r>
      <w:r w:rsidRPr="006159FD">
        <w:rPr>
          <w:rFonts w:ascii="Times New Roman" w:hAnsi="Times New Roman" w:cs="Times New Roman"/>
          <w:color w:val="000000" w:themeColor="text1"/>
        </w:rPr>
        <w:t>i</w:t>
      </w:r>
      <w:r w:rsidR="00E90A36" w:rsidRPr="006159FD">
        <w:rPr>
          <w:rFonts w:ascii="Times New Roman" w:hAnsi="Times New Roman" w:cs="Times New Roman"/>
          <w:color w:val="000000" w:themeColor="text1"/>
        </w:rPr>
        <w:t>nvasive vertebrate</w:t>
      </w:r>
      <w:r w:rsidR="003236C0" w:rsidRPr="006159FD">
        <w:rPr>
          <w:rFonts w:ascii="Times New Roman" w:hAnsi="Times New Roman" w:cs="Times New Roman"/>
          <w:color w:val="000000" w:themeColor="text1"/>
        </w:rPr>
        <w:t xml:space="preserve"> </w:t>
      </w:r>
      <w:r w:rsidR="00E90A36" w:rsidRPr="006159FD">
        <w:rPr>
          <w:rFonts w:ascii="Times New Roman" w:hAnsi="Times New Roman" w:cs="Times New Roman"/>
          <w:color w:val="000000" w:themeColor="text1"/>
        </w:rPr>
        <w:t>i</w:t>
      </w:r>
      <w:r w:rsidR="003236C0" w:rsidRPr="006159FD">
        <w:rPr>
          <w:rFonts w:ascii="Times New Roman" w:hAnsi="Times New Roman" w:cs="Times New Roman"/>
          <w:color w:val="000000" w:themeColor="text1"/>
        </w:rPr>
        <w:t>mpacts watersheds directly through pathogen pollution</w:t>
      </w:r>
      <w:r w:rsidR="001F69D9" w:rsidRPr="006159FD">
        <w:rPr>
          <w:rFonts w:ascii="Times New Roman" w:hAnsi="Times New Roman" w:cs="Times New Roman"/>
          <w:color w:val="000000" w:themeColor="text1"/>
        </w:rPr>
        <w:t xml:space="preserve"> </w:t>
      </w:r>
      <w:r w:rsidR="001F69D9"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{"citationItems":[{"id":"ITEM-1","itemData":{"DOI":"10.5070/v426110437","abstract":"Many invasive rodent species have become established in the United States and its territories, both on the mainland and on islands. While most were introduced accidently, some were introduced for food or fur. These rodents have caused serious impacts to native flora and fauna, agriculture, and other resources. They have caused the extinction of many species of birds in insular ecosystems. Although many methods are used to control or eradicate introduced rodents, rodenticides and traps are the main tools. Since the early 1990s, agencies have been eradicating rodents from various islands, primarily for conservation purposes. There have been numerous eradication attempts in the United States and most have been successful. We review introduced rodent impacts and eradications, both successful and unsuccessful, which have occurred, with an emphasis on the United States. Finally, we consider some research needs and some remaining challenges in invasive rodent management and eradication in the United States, including the use of toxicants, land access, public attitudes, resource availability, and monitoring difficulties.","author":[{"dropping-particle":"","family":"Witmer","given":"Gary , W.","non-dropping-particle":"","parse-names":false,"suffix":""},{"dropping-particle":"","family":"Pitt","given":"William, C.","non-dropping-particle":"","parse-names":false,"suffix":""},{"dropping-particle":"","family":"Howald","given":"Gregg","non-dropping-particle":"","parse-names":false,"suffix":""}],"container-title":"Proceedings of the Vertebrate Pest Conference","id":"ITEM-1","issued":{"date-parts":[["2014"]]},"title":"Invasive Rodent Ecology, Impacts, and Management with an Emphasis on the United States","type":"article-journal","volume":"26"},"uris":["http://www.mendeley.com/documents/?uuid=a7d35236-7872-4301-94d2-a46b47156a31"]},{"id":"ITEM-2","itemData":{"DOI":"10.1080/10408410902989837","ISBN":"1040841090","ISSN":"1040841X","abstract":"Rodents are the most abundant and diversified order of living mammals in the world. Already since the Middle Ages we know that they can contribute to human disease, as black rats were associated with distribution of plague. However, also in modern times rodents form a threat for public health. In this review article a large number of pathogens that are directly or indirectly transmitted by rodents are described. Moreover, a simplified rodent disease model is discussed. © 2009 Informa UK Ltd.","author":[{"dropping-particle":"","family":"Meerburg","given":"Bastiaan G.","non-dropping-particle":"","parse-names":false,"suffix":""},{"dropping-particle":"","family":"Singleton","given":"Grant R.","non-dropping-particle":"","parse-names":false,"suffix":""},{"dropping-particle":"","family":"Kijlstra","given":"Aize","non-dropping-particle":"","parse-names":false,"suffix":""}],"container-title":"Critical Reviews in Microbiology","id":"ITEM-2","issue":"3","issued":{"date-parts":[["2009"]]},"number-of-pages":"221-270","title":"Rodent-borne diseases and their risks for public health Rodent-borne diseases and their risks for public health","type":"book","volume":"35"},"uris":["http://www.mendeley.com/documents/?uuid=f28ebd48-7e63-47e5-b3c1-efaa7114ec34"]},{"id":"ITEM-3","itemData":{"author":[{"dropping-particle":"","family":"Shiels","given":"Aaron B","non-dropping-particle":"","parse-names":false,"suffix":""},{"dropping-particle":"","family":"Pitt","given":"William C","non-dropping-particle":"","parse-names":false,"suffix":""},{"dropping-particle":"","family":"Sugihara","given":"Robert T","non-dropping-particle":"","parse-names":false,"suffix":""},{"dropping-particle":"","family":"Witmer","given":"Gary W","non-dropping-particle":"","parse-names":false,"suffix":""}],"container-title":"Pacific Science","id":"ITEM-3","issue":"2","issued":{"date-parts":[["2014"]]},"page":"1-99","title":"Biology and Impacts of Pacific Island Invasive Species. The Black Rat, Rattus rattus (Rodentia, Muridae)","type":"article-journal","volume":"68"},"uris":["http://www.mendeley.com/documents/?uuid=49c503f6-a80d-4ab6-a0d6-410c47b43f06"]},{"id":"ITEM-4","itemData":{"DOI":"10.2984/66.2.7","ISBN":"0030-8870","ISSN":"0030-8870","PMID":"76454611","author":[{"dropping-particle":"","family":"Duffy","given":"David Cameron","non-dropping-particle":"","parse-names":false,"suffix":""},{"dropping-particle":"","family":"Capece","given":"Paula","non-dropping-particle":"","parse-names":false,"suffix":""}],"container-title":"Pacific Science","id":"ITEM-4","issue":"2","issued":{"date-parts":[["2012"]]},"page":"173-212","title":"Biology and Impacts of Pacific Island Invasive Species. 7. The Domestic Cat ( Felis catus ) 1","type":"article-journal","volume":"66"},"uris":["http://www.mendeley.com/documents/?uuid=52b0635d-9988-4eea-b0ca-50a0ca0da707"]},{"id":"ITEM-5","itemData":{"DOI":"10.17420/ap6104.10","ISSN":"22990631","abstract":"Recent literature data suggests that parasitic and fungal diseases, which pose a threat to both human and animal health, remain a clinical, diagnostic and therapeutic problem. Attention is increasingly paid to the role played by natural microbiota in maintaining homeostasis in humans. A particular emphasis is placed on the possibility of manipulating the human microbiota (permanent, transient, pathogenic) and macrobiota (e.g., Trichuris suis) to support the treatment of selected diseases such as Crohn's disease, obesity, diabetes and cancer. Emphasis is placed on important medical species whose infections not only impair health but can also be life threatening, such as Plasmodium falciparum, Echinococcus multilocularis and Baylisascaris procyonis, which expand into areas which have so far been uninhabited. This article also presents the epidemiology, diagnosis and treatment of opportunistic parasitoses imported from the tropics, which spread across large groups of people through human-to-human transmission (Enterobius vermicularis, Sarcoptes scabiei). It also discusses the problem of environmentally-conditioned parasitoses, particularly their etiological factors associated with food contaminated with invasive forms (Trichinella sp., Toxoplasma gondii). The analysis also concerns the presence of developmental forms of geohelminths (Toxocara sp.) and ectoparasites (ticks), which are vectors of serious human diseases (Lyme borreliosis, anaplasmosis, babesiosis), in the environment. Mycological topics contains rare cases of mycoses environmentally conditioned (CNS aspergillosis) and transmissions of these pathogens in a population of hospitalized individuals, as well as seeking new methods used to treat mycoses.","author":[{"dropping-particle":"","family":"Góralska","given":"Katarzyna","non-dropping-particle":"","parse-names":false,"suffix":""},{"dropping-particle":"","family":"Błaszkowska","given":"Joanna","non-dropping-particle":"","parse-names":false,"suffix":""}],"container-title":"Annals of parasitology","id":"ITEM-5","issue":"4","issued":{"date-parts":[["2015"]]},"page":"207-220","title":"Parasites and fungi as risk factors for human and animal health","type":"article-journal","volume":"61"},"uris":["http://www.mendeley.com/documents/?uuid=d272721a-ab5f-4705-a129-27b60849c7b2"]},{"id":"ITEM-6","itemData":{"DOI":"10.1016/S1473-3099(09)70104-5","ISSN":"14733099","abstract":"Concerted action is needed to address public health issues raised by climate change. In this Review we discuss infections acquired through various routes (arthropod vector, rodent, water, food, and air) in view of a changing climate in Europe. Based on an extensive review of published work and expert workshops, we present an assessment of the infectious disease challenges: incidence, prevalence, and distribution are projected to shift in a changing environment. Due to the high level of uncertainty on the rate of climate change and its impact on infectious diseases, we propose to mount a proactive public health response by building an integrated network for environmental and epidemiological data. This network would have the capacity to connect epidemic intelligence and infectious disease surveillance with meteorological, entomological, water quality, remote sensing, and other data, for multivariate analyses and predictions. Insights from these analyses could then guide adaptation strategies and protect population health from impending threats related to climate change. © 2009 Elsevier Ltd. All rights reserved.","author":[{"dropping-particle":"","family":"Semenza","given":"Jan C.","non-dropping-particle":"","parse-names":false,"suffix":""},{"dropping-particle":"","family":"Menne","given":"Bettina","non-dropping-particle":"","parse-names":false,"suffix":""}],"container-title":"The Lancet Infectious Diseases","id":"ITEM-6","issue":"6","issued":{"date-parts":[["2009"]]},"page":"365-375","publisher":"Elsevier Ltd","title":"Climate change and infectious diseases in Europe","type":"article-journal","volume":"9"},"uris":["http://www.mendeley.com/documents/?uuid=3d8ea228-ea54-474d-a00f-306aab23c53d"]},{"id":"ITEM-7","itemData":{"DOI":"10.1016/j.vetpar.2011.07.016","ISSN":"03044017","PMID":"21798668","abstract":"A growing number of enteric protozoan species are considered to have zoonotic potential. Their clinical impact varies and in many cases is poorly defined. Similarly, the epidemiology of infections, particularly the role of non-human hosts, requires further study. In this review, new information on the life cycles and transmission of Giardia, Cryptosporidium, Entamoeba, Blastocystis and Balantidium are examined in the context of zoonotic potential, as well as polyparasitism and clinical significance. © 2011 Elsevier B.V.","author":[{"dropping-particle":"","family":"Thompson","given":"R. C.A.","non-dropping-particle":"","parse-names":false,"suffix":""},{"dropping-particle":"","family":"Smith","given":"A.","non-dropping-particle":"","parse-names":false,"suffix":""}],"container-title":"Veterinary Parasitology","id":"ITEM-7","issue":"1","issued":{"date-parts":[["2011"]]},"page":"70-78","publisher":"Elsevier B.V.","title":"Zoonotic enteric protozoa","type":"article-journal","volume":"182"},"uris":["http://www.mendeley.com/documents/?uuid=6c4d844c-154b-400c-ab62-6be1f4018268"]},{"id":"ITEM-8","itemData":{"DOI":"10.1016/j.cmi.2015.01.004","ISSN":"14690691","abstract":"The majority of helminth parasites that are considered by WHO to be the cause of 'neglected diseases' are zoonotic. In terms of their impact on human health, the role of animal reservoirs and polyparasitism are both emerging issues in understanding the epidemiology of a number of these zoonoses. As such, Hymenolepis (Rodentolepis) nana, Echinococcus canadensis and Ancylostoma ceylanicum all qualify for consideration. They have been neglected and there is increasing evidence that all three parasite infections deserve more attention in terms of their impact on public health as well as their control.","author":[{"dropping-particle":"","family":"Thompson","given":"R. C.A.","non-dropping-particle":"","parse-names":false,"suffix":""}],"container-title":"Clinical Microbiology and Infection","id":"ITEM-8","issue":"5","issued":{"date-parts":[["2015"]]},"page":"426-432","publisher":"Elsevier Ltd","title":"Neglected zoonotic helminths: Hymenolepis nana, Echinococcus canadensis and Ancylostoma ceylanicum","type":"article-journal","volume":"21"},"uris":["http://www.mendeley.com/documents/?uuid=800e45c6-bd20-46da-8b5d-9d3688c98cd9"]}],"mendeley":{"formattedCitation":"(Meerburg et al. 2009, Semenza and Menne 2009, Thompson and Smith 2011, Duffy and Capece 2012, Shiels et al. 2014, Witmer et al. 2014, Góralska and Błaszkowska 2015, Thompson 2015)","plainTextFormattedCitation":"(Meerburg et al. 2009, Semenza and Menne 2009, Thompson and Smith 2011, Duffy and Capece 2012, Shiels et al. 2014, Witmer et al. 2014, Góralska and Błaszkowska 2015, Thompson 2015)","previouslyFormattedCitation":"(Duffy &amp; Capece, 2012; Góralska &amp; Błaszkowska, 2015; Meerburg et al., 2009; Semenza &amp; Menne, 2009; Shiels, Pitt, Sugihara, &amp; Witmer, 2014; Thompson, 2015; Thompson &amp; Smith, 2011; G. , W. Witmer et al., 2014)"},"properties":{"noteIndex":0},"schema":"https://github.com/citation-style-language/schema/raw/master/csl-citation.json"}</w:instrText>
      </w:r>
      <w:r w:rsidR="001F69D9"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(Meerburg et al. 2009, Semenza and Menne 2009, Thompson and Smith 2011, Duffy and Capece 2012, Shiels et al. 2014, Witmer et al. 2014, Góralska and Błaszkowska 2015, Thompson 2015)</w:t>
      </w:r>
      <w:r w:rsidR="001F69D9" w:rsidRPr="006159FD">
        <w:rPr>
          <w:rFonts w:ascii="Times New Roman" w:eastAsia="Times New Roman" w:hAnsi="Times New Roman" w:cs="Times New Roman"/>
          <w:color w:val="000000" w:themeColor="text1"/>
        </w:rPr>
        <w:fldChar w:fldCharType="end"/>
      </w:r>
      <w:r w:rsidR="003236C0" w:rsidRPr="006159FD">
        <w:rPr>
          <w:rFonts w:ascii="Times New Roman" w:hAnsi="Times New Roman" w:cs="Times New Roman"/>
          <w:color w:val="000000" w:themeColor="text1"/>
        </w:rPr>
        <w:t xml:space="preserve">. </w:t>
      </w:r>
    </w:p>
    <w:p w14:paraId="4AF641C3" w14:textId="273ACC3A" w:rsidR="003236C0" w:rsidRPr="006159FD" w:rsidRDefault="003F3B59" w:rsidP="006D119C">
      <w:pPr>
        <w:pStyle w:val="ListParagraph"/>
        <w:numPr>
          <w:ilvl w:val="0"/>
          <w:numId w:val="7"/>
        </w:numPr>
        <w:rPr>
          <w:rFonts w:ascii="Times New Roman" w:hAnsi="Times New Roman" w:cs="Times New Roman"/>
          <w:color w:val="000000" w:themeColor="text1"/>
        </w:rPr>
      </w:pPr>
      <w:r w:rsidRPr="006159FD">
        <w:rPr>
          <w:rFonts w:ascii="Times New Roman" w:hAnsi="Times New Roman" w:cs="Times New Roman"/>
          <w:color w:val="000000" w:themeColor="text1"/>
        </w:rPr>
        <w:t>We assumed</w:t>
      </w:r>
      <w:r w:rsidR="00765484" w:rsidRPr="006159FD">
        <w:rPr>
          <w:rFonts w:ascii="Times New Roman" w:hAnsi="Times New Roman" w:cs="Times New Roman"/>
          <w:color w:val="000000" w:themeColor="text1"/>
        </w:rPr>
        <w:t xml:space="preserve"> the</w:t>
      </w:r>
      <w:r w:rsidRPr="006159FD">
        <w:rPr>
          <w:rFonts w:ascii="Times New Roman" w:hAnsi="Times New Roman" w:cs="Times New Roman"/>
          <w:color w:val="000000" w:themeColor="text1"/>
        </w:rPr>
        <w:t xml:space="preserve"> invasive</w:t>
      </w:r>
      <w:r w:rsidR="00315D47" w:rsidRPr="006159FD">
        <w:rPr>
          <w:rFonts w:ascii="Times New Roman" w:hAnsi="Times New Roman" w:cs="Times New Roman"/>
          <w:color w:val="000000" w:themeColor="text1"/>
        </w:rPr>
        <w:t xml:space="preserve"> vertebrate</w:t>
      </w:r>
      <w:r w:rsidR="003236C0" w:rsidRPr="006159FD">
        <w:rPr>
          <w:rFonts w:ascii="Times New Roman" w:hAnsi="Times New Roman" w:cs="Times New Roman"/>
          <w:color w:val="000000" w:themeColor="text1"/>
        </w:rPr>
        <w:t xml:space="preserve"> </w:t>
      </w:r>
      <w:r w:rsidR="00315D47" w:rsidRPr="006159FD">
        <w:rPr>
          <w:rFonts w:ascii="Times New Roman" w:hAnsi="Times New Roman" w:cs="Times New Roman"/>
          <w:color w:val="000000" w:themeColor="text1"/>
        </w:rPr>
        <w:t>i</w:t>
      </w:r>
      <w:r w:rsidR="003236C0" w:rsidRPr="006159FD">
        <w:rPr>
          <w:rFonts w:ascii="Times New Roman" w:hAnsi="Times New Roman" w:cs="Times New Roman"/>
          <w:color w:val="000000" w:themeColor="text1"/>
        </w:rPr>
        <w:t>mpacts watersheds through degradation/de-vegetation</w:t>
      </w:r>
      <w:r w:rsidRPr="006159FD">
        <w:rPr>
          <w:rFonts w:ascii="Times New Roman" w:hAnsi="Times New Roman" w:cs="Times New Roman"/>
          <w:color w:val="000000" w:themeColor="text1"/>
        </w:rPr>
        <w:t xml:space="preserve"> if i</w:t>
      </w:r>
      <w:r w:rsidR="00315D47" w:rsidRPr="006159FD">
        <w:rPr>
          <w:rFonts w:ascii="Times New Roman" w:hAnsi="Times New Roman" w:cs="Times New Roman"/>
          <w:color w:val="000000" w:themeColor="text1"/>
        </w:rPr>
        <w:t>nvasive vertebrate</w:t>
      </w:r>
      <w:r w:rsidR="003236C0" w:rsidRPr="006159FD">
        <w:rPr>
          <w:rFonts w:ascii="Times New Roman" w:hAnsi="Times New Roman" w:cs="Times New Roman"/>
          <w:color w:val="000000" w:themeColor="text1"/>
        </w:rPr>
        <w:t xml:space="preserve"> </w:t>
      </w:r>
      <w:r w:rsidR="00D60055" w:rsidRPr="006159FD">
        <w:rPr>
          <w:rFonts w:ascii="Times New Roman" w:hAnsi="Times New Roman" w:cs="Times New Roman"/>
          <w:color w:val="000000" w:themeColor="text1"/>
        </w:rPr>
        <w:t>was</w:t>
      </w:r>
      <w:r w:rsidR="003236C0" w:rsidRPr="006159FD">
        <w:rPr>
          <w:rFonts w:ascii="Times New Roman" w:hAnsi="Times New Roman" w:cs="Times New Roman"/>
          <w:color w:val="000000" w:themeColor="text1"/>
        </w:rPr>
        <w:t xml:space="preserve"> </w:t>
      </w:r>
      <w:r w:rsidR="00765484" w:rsidRPr="006159FD">
        <w:rPr>
          <w:rFonts w:ascii="Times New Roman" w:hAnsi="Times New Roman" w:cs="Times New Roman"/>
          <w:color w:val="000000" w:themeColor="text1"/>
        </w:rPr>
        <w:t xml:space="preserve">an </w:t>
      </w:r>
      <w:r w:rsidR="003236C0" w:rsidRPr="006159FD">
        <w:rPr>
          <w:rFonts w:ascii="Times New Roman" w:hAnsi="Times New Roman" w:cs="Times New Roman"/>
          <w:color w:val="000000" w:themeColor="text1"/>
        </w:rPr>
        <w:t>herbivore (goat, sheep, cow, rabbit, deer)</w:t>
      </w:r>
      <w:r w:rsidR="003E6800" w:rsidRPr="006159FD">
        <w:rPr>
          <w:rFonts w:ascii="Times New Roman" w:hAnsi="Times New Roman" w:cs="Times New Roman"/>
          <w:color w:val="000000" w:themeColor="text1"/>
        </w:rPr>
        <w:t xml:space="preserve">, </w:t>
      </w:r>
      <w:r w:rsidR="003236C0" w:rsidRPr="006159FD">
        <w:rPr>
          <w:rFonts w:ascii="Times New Roman" w:hAnsi="Times New Roman" w:cs="Times New Roman"/>
          <w:color w:val="000000" w:themeColor="text1"/>
        </w:rPr>
        <w:t>pig</w:t>
      </w:r>
      <w:r w:rsidR="00D14D25" w:rsidRPr="006159FD">
        <w:rPr>
          <w:rFonts w:ascii="Times New Roman" w:hAnsi="Times New Roman" w:cs="Times New Roman"/>
          <w:color w:val="000000" w:themeColor="text1"/>
        </w:rPr>
        <w:t>,</w:t>
      </w:r>
      <w:r w:rsidR="003E6800" w:rsidRPr="006159FD">
        <w:rPr>
          <w:rFonts w:ascii="Times New Roman" w:hAnsi="Times New Roman" w:cs="Times New Roman"/>
          <w:color w:val="000000" w:themeColor="text1"/>
        </w:rPr>
        <w:t xml:space="preserve"> or </w:t>
      </w:r>
      <w:r w:rsidR="003236C0" w:rsidRPr="006159FD">
        <w:rPr>
          <w:rFonts w:ascii="Times New Roman" w:hAnsi="Times New Roman" w:cs="Times New Roman"/>
          <w:color w:val="000000" w:themeColor="text1"/>
        </w:rPr>
        <w:t>rodent</w:t>
      </w:r>
      <w:r w:rsidR="001F69D9" w:rsidRPr="006159FD">
        <w:rPr>
          <w:rFonts w:ascii="Times New Roman" w:hAnsi="Times New Roman" w:cs="Times New Roman"/>
          <w:color w:val="000000" w:themeColor="text1"/>
        </w:rPr>
        <w:t xml:space="preserve"> </w:t>
      </w:r>
      <w:r w:rsidR="001F69D9"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{"citationItems":[{"id":"ITEM-1","itemData":{"DOI":"10.5070/v426110437","abstract":"Many invasive rodent species have become established in the United States and its territories, both on the mainland and on islands. While most were introduced accidently, some were introduced for food or fur. These rodents have caused serious impacts to native flora and fauna, agriculture, and other resources. They have caused the extinction of many species of birds in insular ecosystems. Although many methods are used to control or eradicate introduced rodents, rodenticides and traps are the main tools. Since the early 1990s, agencies have been eradicating rodents from various islands, primarily for conservation purposes. There have been numerous eradication attempts in the United States and most have been successful. We review introduced rodent impacts and eradications, both successful and unsuccessful, which have occurred, with an emphasis on the United States. Finally, we consider some research needs and some remaining challenges in invasive rodent management and eradication in the United States, including the use of toxicants, land access, public attitudes, resource availability, and monitoring difficulties.","author":[{"dropping-particle":"","family":"Witmer","given":"Gary , W.","non-dropping-particle":"","parse-names":false,"suffix":""},{"dropping-particle":"","family":"Pitt","given":"William, C.","non-dropping-particle":"","parse-names":false,"suffix":""},{"dropping-particle":"","family":"Howald","given":"Gregg","non-dropping-particle":"","parse-names":false,"suffix":""}],"container-title":"Proceedings of the Vertebrate Pest Conference","id":"ITEM-1","issued":{"date-parts":[["2014"]]},"title":"Invasive Rodent Ecology, Impacts, and Management with an Emphasis on the United States","type":"article-journal","volume":"26"},"uris":["http://www.mendeley.com/documents/?uuid=a7d35236-7872-4301-94d2-a46b47156a31"]},{"id":"ITEM-2","itemData":{"DOI":"10.1080/10408410902989837","ISBN":"1040841090","ISSN":"1040841X","abstract":"Rodents are the most abundant and diversified order of living mammals in the world. Already since the Middle Ages we know that they can contribute to human disease, as black rats were associated with distribution of plague. However, also in modern times rodents form a threat for public health. In this review article a large number of pathogens that are directly or indirectly transmitted by rodents are described. Moreover, a simplified rodent disease model is discussed. © 2009 Informa UK Ltd.","author":[{"dropping-particle":"","family":"Meerburg","given":"Bastiaan G.","non-dropping-particle":"","parse-names":false,"suffix":""},{"dropping-particle":"","family":"Singleton","given":"Grant R.","non-dropping-particle":"","parse-names":false,"suffix":""},{"dropping-particle":"","family":"Kijlstra","given":"Aize","non-dropping-particle":"","parse-names":false,"suffix":""}],"container-title":"Critical Reviews in Microbiology","id":"ITEM-2","issue":"3","issued":{"date-parts":[["2009"]]},"number-of-pages":"221-270","title":"Rodent-borne diseases and their risks for public health Rodent-borne diseases and their risks for public health","type":"book","volume":"35"},"uris":["http://www.mendeley.com/documents/?uuid=f28ebd48-7e63-47e5-b3c1-efaa7114ec34"]},{"id":"ITEM-3","itemData":{"author":[{"dropping-particle":"","family":"Shiels","given":"Aaron B","non-dropping-particle":"","parse-names":false,"suffix":""},{"dropping-particle":"","family":"Pitt","given":"William C","non-dropping-particle":"","parse-names":false,"suffix":""},{"dropping-particle":"","family":"Sugihara","given":"Robert T","non-dropping-particle":"","parse-names":false,"suffix":""},{"dropping-particle":"","family":"Witmer","given":"Gary W","non-dropping-particle":"","parse-names":false,"suffix":""}],"container-title":"Pacific Science","id":"ITEM-3","issue":"2","issued":{"date-parts":[["2014"]]},"page":"1-99","title":"Biology and Impacts of Pacific Island Invasive Species. The Black Rat, Rattus rattus (Rodentia, Muridae)","type":"article-journal","volume":"68"},"uris":["http://www.mendeley.com/documents/?uuid=49c503f6-a80d-4ab6-a0d6-410c47b43f06"]},{"id":"ITEM-4","itemData":{"DOI":"10.2984/66.2.7","ISBN":"0030-8870","ISSN":"0030-8870","PMID":"76454611","author":[{"dropping-particle":"","family":"Duffy","given":"David Cameron","non-dropping-particle":"","parse-names":false,"suffix":""},{"dropping-particle":"","family":"Capece","given":"Paula","non-dropping-particle":"","parse-names":false,"suffix":""}],"container-title":"Pacific Science","id":"ITEM-4","issue":"2","issued":{"date-parts":[["2012"]]},"page":"173-212","title":"Biology and Impacts of Pacific Island Invasive Species. 7. The Domestic Cat ( Felis catus ) 1","type":"article-journal","volume":"66"},"uris":["http://www.mendeley.com/documents/?uuid=52b0635d-9988-4eea-b0ca-50a0ca0da707"]},{"id":"ITEM-5","itemData":{"DOI":"10.17420/ap6104.10","ISSN":"22990631","abstract":"Recent literature data suggests that parasitic and fungal diseases, which pose a threat to both human and animal health, remain a clinical, diagnostic and therapeutic problem. Attention is increasingly paid to the role played by natural microbiota in maintaining homeostasis in humans. A particular emphasis is placed on the possibility of manipulating the human microbiota (permanent, transient, pathogenic) and macrobiota (e.g., Trichuris suis) to support the treatment of selected diseases such as Crohn's disease, obesity, diabetes and cancer. Emphasis is placed on important medical species whose infections not only impair health but can also be life threatening, such as Plasmodium falciparum, Echinococcus multilocularis and Baylisascaris procyonis, which expand into areas which have so far been uninhabited. This article also presents the epidemiology, diagnosis and treatment of opportunistic parasitoses imported from the tropics, which spread across large groups of people through human-to-human transmission (Enterobius vermicularis, Sarcoptes scabiei). It also discusses the problem of environmentally-conditioned parasitoses, particularly their etiological factors associated with food contaminated with invasive forms (Trichinella sp., Toxoplasma gondii). The analysis also concerns the presence of developmental forms of geohelminths (Toxocara sp.) and ectoparasites (ticks), which are vectors of serious human diseases (Lyme borreliosis, anaplasmosis, babesiosis), in the environment. Mycological topics contains rare cases of mycoses environmentally conditioned (CNS aspergillosis) and transmissions of these pathogens in a population of hospitalized individuals, as well as seeking new methods used to treat mycoses.","author":[{"dropping-particle":"","family":"Góralska","given":"Katarzyna","non-dropping-particle":"","parse-names":false,"suffix":""},{"dropping-particle":"","family":"Błaszkowska","given":"Joanna","non-dropping-particle":"","parse-names":false,"suffix":""}],"container-title":"Annals of parasitology","id":"ITEM-5","issue":"4","issued":{"date-parts":[["2015"]]},"page":"207-220","title":"Parasites and fungi as risk factors for human and animal health","type":"article-journal","volume":"61"},"uris":["http://www.mendeley.com/documents/?uuid=d272721a-ab5f-4705-a129-27b60849c7b2"]},{"id":"ITEM-6","itemData":{"DOI":"10.1016/S1473-3099(09)70104-5","ISSN":"14733099","abstract":"Concerted action is needed to address public health issues raised by climate change. In this Review we discuss infections acquired through various routes (arthropod vector, rodent, water, food, and air) in view of a changing climate in Europe. Based on an extensive review of published work and expert workshops, we present an assessment of the infectious disease challenges: incidence, prevalence, and distribution are projected to shift in a changing environment. Due to the high level of uncertainty on the rate of climate change and its impact on infectious diseases, we propose to mount a proactive public health response by building an integrated network for environmental and epidemiological data. This network would have the capacity to connect epidemic intelligence and infectious disease surveillance with meteorological, entomological, water quality, remote sensing, and other data, for multivariate analyses and predictions. Insights from these analyses could then guide adaptation strategies and protect population health from impending threats related to climate change. © 2009 Elsevier Ltd. All rights reserved.","author":[{"dropping-particle":"","family":"Semenza","given":"Jan C.","non-dropping-particle":"","parse-names":false,"suffix":""},{"dropping-particle":"","family":"Menne","given":"Bettina","non-dropping-particle":"","parse-names":false,"suffix":""}],"container-title":"The Lancet Infectious Diseases","id":"ITEM-6","issue":"6","issued":{"date-parts":[["2009"]]},"page":"365-375","publisher":"Elsevier Ltd","title":"Climate change and infectious diseases in Europe","type":"article-journal","volume":"9"},"uris":["http://www.mendeley.com/documents/?uuid=3d8ea228-ea54-474d-a00f-306aab23c53d"]},{"id":"ITEM-7","itemData":{"DOI":"10.1016/j.vetpar.2011.07.016","ISSN":"03044017","PMID":"21798668","abstract":"A growing number of enteric protozoan species are considered to have zoonotic potential. Their clinical impact varies and in many cases is poorly defined. Similarly, the epidemiology of infections, particularly the role of non-human hosts, requires further study. In this review, new information on the life cycles and transmission of Giardia, Cryptosporidium, Entamoeba, Blastocystis and Balantidium are examined in the context of zoonotic potential, as well as polyparasitism and clinical significance. © 2011 Elsevier B.V.","author":[{"dropping-particle":"","family":"Thompson","given":"R. C.A.","non-dropping-particle":"","parse-names":false,"suffix":""},{"dropping-particle":"","family":"Smith","given":"A.","non-dropping-particle":"","parse-names":false,"suffix":""}],"container-title":"Veterinary Parasitology","id":"ITEM-7","issue":"1","issued":{"date-parts":[["2011"]]},"page":"70-78","publisher":"Elsevier B.V.","title":"Zoonotic enteric protozoa","type":"article-journal","volume":"182"},"uris":["http://www.mendeley.com/documents/?uuid=6c4d844c-154b-400c-ab62-6be1f4018268"]},{"id":"ITEM-8","itemData":{"DOI":"10.1016/j.cmi.2015.01.004","ISSN":"14690691","abstract":"The majority of helminth parasites that are considered by WHO to be the cause of 'neglected diseases' are zoonotic. In terms of their impact on human health, the role of animal reservoirs and polyparasitism are both emerging issues in understanding the epidemiology of a number of these zoonoses. As such, Hymenolepis (Rodentolepis) nana, Echinococcus canadensis and Ancylostoma ceylanicum all qualify for consideration. They have been neglected and there is increasing evidence that all three parasite infections deserve more attention in terms of their impact on public health as well as their control.","author":[{"dropping-particle":"","family":"Thompson","given":"R. C.A.","non-dropping-particle":"","parse-names":false,"suffix":""}],"container-title":"Clinical Microbiology and Infection","id":"ITEM-8","issue":"5","issued":{"date-parts":[["2015"]]},"page":"426-432","publisher":"Elsevier Ltd","title":"Neglected zoonotic helminths: Hymenolepis nana, Echinococcus canadensis and Ancylostoma ceylanicum","type":"article-journal","volume":"21"},"uris":["http://www.mendeley.com/documents/?uuid=800e45c6-bd20-46da-8b5d-9d3688c98cd9"]},{"id":"ITEM-9","itemData":{"DOI":"10.4067/s0716-078x2005000100010","ISSN":"0716078X","abstract":"We provide an overview of the current status of vertebrate invasive species throughout Chile, updating information on terrestrial exotics and reporting for the first time the situation of exotic freshwater fishes. In addition, we document the legislation and programs that the Chilean government has implemented to limit the entry of exotics to the country or minimize their impact on native wild flora and fauna and on natural ecosystems. We document what is known about the introduction of 26 exotic fish species to continental waters of the country, discussing the distribution and putative effects of those 11 species that may be considered invasive. From a previous list of 24 terrestrial vertebrate invaders, we withdraw the Argentine tortoise (Chelonoidis chilensis), reindeer (Rangifer tarandus) and mouflon (Ovis ammon) because there are no data on their subsistence in the wild. On the other hand, we add three new species: red-eared freshwater turtle (Trachemys scripta), monk parakeet (Myiopsitta rnonachus), and red-crested cardinal (Paroaria coronata), thus keeping the total number of terrestrial invaders unchanged at 24 species. The chief agency in charge of existing laws and regulations regarding the import of exotic freshwater species is the National Fisheries Service (SERNAPESCA, in Spanish), a dependency of the Ministry of Economy. The main agency in charge of enforcing existing laws and regulations regarding the import of exotic terrestrial species to Chile is the Agriculture and Livestock Service (SAG, in Spanish), a dependency of the Ministry of Agriculture. Currently, SAG is not only controlling major border passes, seaports and airports, but also is funding studies to monitor and control already existing invaders. In addition, the Chilean Forest Service (CONAF, in Spanish) is also concerned about invasive species, but only if they enter national parks and reserves within the National System of Protected Wildlife Areas (SNASPE, in Spanish).","author":[{"dropping-particle":"","family":"Iriarte","given":"J. Agustín","non-dropping-particle":"","parse-names":false,"suffix":""},{"dropping-particle":"","family":"Lobos","given":"Gabriel A.","non-dropping-particle":"","parse-names":false,"suffix":""},{"dropping-particle":"","family":"Jaksic","given":"Fabián M.","non-dropping-particle":"","parse-names":false,"suffix":""}],"container-title":"Revista Chilena de Historia Natural","id":"ITEM-9","issue":"1","issued":{"date-parts":[["2005"]]},"page":"143-154","title":"Invasive vertebrate species in Chile and their control and monitoring by governmental agencies","type":"article-journal","volume":"78"},"uris":["http://www.mendeley.com/documents/?uuid=dc17a9b1-c0d6-4edb-b10d-3cee9c0b5bc0"]},{"id":"ITEM-10","itemData":{"DOI":"10.1111/rec.12144","ISSN":"10612971","author":[{"dropping-particle":"","family":"Beltran","given":"Roxanne S.","non-dropping-particle":"","parse-names":false,"suffix":""},{"dropping-particle":"","family":"Kreidler","given":"Nissa","non-dropping-particle":"","parse-names":false,"suffix":""},{"dropping-particle":"","family":"Vuren","given":"Dirk H.","non-dropping-particle":"Van","parse-names":false,"suffix":""},{"dropping-particle":"","family":"Morrison","given":"Scott a.","non-dropping-particle":"","parse-names":false,"suffix":""},{"dropping-particle":"","family":"Zavaleta","given":"Erika S.","non-dropping-particle":"","parse-names":false,"suffix":""},{"dropping-particle":"","family":"Newton","given":"Kelly","non-dropping-particle":"","parse-names":false,"suffix":""},{"dropping-particle":"","family":"Tershy","given":"Bernie R.","non-dropping-particle":"","parse-names":false,"suffix":""},{"dropping-particle":"","family":"Croll","given":"Donald a.","non-dropping-particle":"","parse-names":false,"suffix":""}],"container-title":"Restoration Ecology","id":"ITEM-10","issue":"6","issued":{"date-parts":[["2014"]]},"page":"790-797","title":"Passive Recovery of Vegetation after Herbivore Eradication on Santa Cruz Island, California","type":"article-journal","volume":"22"},"uris":["http://www.mendeley.com/documents/?uuid=497ad8d5-c7e4-4a70-be19-63071a2e7a21"]},{"id":"ITEM-11","itemData":{"DOI":"10.1073/pnas.0906829107","ISSN":"1091-6490","PMID":"20080690","abstract":"Society places value on the multiple functions of ecosystems from soil fertility to erosion control to wildlife-carrying capacity, and these functions are potentially threatened by ongoing biodiversity losses. Recent empirically based models using individual species' traits suggest that higher species richness is required to provide multiple ecosystem functions. However, no study to date has analyzed the observed functionality of communities of interacting species over multiple temporal scales to assess the relationship between biodiversity and multifunctionality. We use data from the longest-running biodiversity-functioning field experiment to date to test how species diversity affects the ability of grassland ecosystems to provide threshold levels of up to eight ecosystem functions simultaneously. Across years and every combination of ecosystem functions, minimum-required species richness consistently increases with the number of functions considered. Moreover, tradeoffs between functions and variability among years prevent any one community type from providing high levels of multiple functions, regardless of its diversity. Sustained multifunctionality, therefore, likely requires both higher species richness than single ecosystem functionality and a diversity of species assemblages across the landscape.","author":[{"dropping-particle":"","family":"Zavaleta","given":"Erika S","non-dropping-particle":"","parse-names":false,"suffix":""},{"dropping-particle":"","family":"Pasari","given":"Jae R","non-dropping-particle":"","parse-names":false,"suffix":""},{"dropping-particle":"","family":"Hulvey","given":"Kristin B","non-dropping-particle":"","parse-names":false,"suffix":""},{"dropping-particle":"","family":"Tilman","given":"G David","non-dropping-particle":"","parse-names":false,"suffix":""}],"container-title":"Proceedings of the National Academy of Sciences of the United States of America","id":"ITEM-11","issue":"4","issued":{"date-parts":[["2010","1","26"]]},"page":"1443-6","title":"Sustaining multiple ecosystem functions in grassland communities requires higher biodiversity.","type":"article-journal","volume":"107"},"uris":["http://www.mendeley.com/documents/?uuid=42fed855-3be8-4dda-8a9c-847dc8d6ce89"]},{"id":"ITEM-12","itemData":{"DOI":"10.1046/j.1365-2664.2002.00710.x","ISSN":"00218901","abstract":"1. Overgrazing by exotic herbivores has a widespread impact on plant communities. We used the removal of exotic European rabbits, goats and donkeys from the San Benito Islands, Mexico, as an experimental manipulation to examine the importance of top-down and bottom-up processes in the impact and recovery of an island plant community. 2. Using a paired approach, we removed herbivores from one island, while they remained temporarily on an adjacent, similar island. We combined this large-scale manipulation with smaller-scale mechanistic experiments: herbivore food-preference trials and herbivore exclosures on the control island. 3. El Niño-related precipitation dominated vegetation dynamics early in the study. Differences in plant community structure due to selective herbivory between the experimental and control islands were detectable in the second year. Results from food-preference trials accurately predicted changes in the perennial plant community. When herbivores were removed from the experimental island, the abundance of their preferred plants increased while unpalatable species decreased. On the control island (herbivores present), we observed the opposite trend. However, we saw no recovery of vegetation inside the exclosures on the control island, constructed after the El Niño rains, probably due to the absence of rainfall. 4. While the relationship between herbivore food preference and changes in plant cover is strong evidence of a top-down effect by exotic species, the influence of El Niño precipitation highlights the importance of bottom-up factors, such as water availability, in the recovery of arid plant communities from long-term disturbance.","author":[{"dropping-particle":"","family":"Donlan","given":"C. Josh","non-dropping-particle":"","parse-names":false,"suffix":""},{"dropping-particle":"","family":"Tershy","given":"Bernie R.","non-dropping-particle":"","parse-names":false,"suffix":""},{"dropping-particle":"","family":"Croll","given":"Donald A.","non-dropping-particle":"","parse-names":false,"suffix":""}],"container-title":"Journal of Applied Ecology","id":"ITEM-12","issue":"2","issued":{"date-parts":[["2002"]]},"page":"235-246","title":"Islands and introduced herbivores: Conservation action as ecosystem experimentation","type":"article-journal","volume":"39"},"uris":["http://www.mendeley.com/documents/?uuid=dd6140e5-c063-4da4-87c4-10e93bdbe716"]}],"mendeley":{"formattedCitation":"(Donlan et al. 2002, Iriarte et al. 2005, Meerburg et al. 2009, Semenza and Menne 2009, Zavaleta et al. 2010, Thompson and Smith 2011, Duffy and Capece 2012, Beltran et al. 2014, Witmer et al. 2014, Shiels et al. 2014, Góralska and Błaszkowska 2015, Thompson 2015)","plainTextFormattedCitation":"(Donlan et al. 2002, Iriarte et al. 2005, Meerburg et al. 2009, Semenza and Menne 2009, Zavaleta et al. 2010, Thompson and Smith 2011, Duffy and Capece 2012, Beltran et al. 2014, Witmer et al. 2014, Shiels et al. 2014, Góralska and Błaszkowska 2015, Thompson 2015)","previouslyFormattedCitation":"(Beltran et al., 2014; Donlan, Tershy, &amp; Croll, 2002; Duffy &amp; Capece, 2012; Góralska &amp; Błaszkowska, 2015; Iriarte et al., 2005; Meerburg et al., 2009; Semenza &amp; Menne, 2009; Shiels et al., 2014; Thompson, 2015; Thompson &amp; Smith, 2011; G. , W. Witmer et al., 2014; Zavaleta, Pasari, Hulvey, &amp; Tilman, 2010)"},"properties":{"noteIndex":0},"schema":"https://github.com/citation-style-language/schema/raw/master/csl-citation.json"}</w:instrText>
      </w:r>
      <w:r w:rsidR="001F69D9"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(Donlan et al. 2002, Iriarte et al. 2005, Meerburg et al. 2009, Semenza and Menne 2009, Zavaleta et al. 2010, Thompson and Smith 2011, Duffy and Capece 2012, Beltran et al. 2014, Witmer et al. 2014, Shiels et al. 2014, Góralska and Błaszkowska 2015, Thompson 2015)</w:t>
      </w:r>
      <w:r w:rsidR="001F69D9" w:rsidRPr="006159FD">
        <w:rPr>
          <w:rFonts w:ascii="Times New Roman" w:eastAsia="Times New Roman" w:hAnsi="Times New Roman" w:cs="Times New Roman"/>
          <w:color w:val="000000" w:themeColor="text1"/>
        </w:rPr>
        <w:fldChar w:fldCharType="end"/>
      </w:r>
      <w:r w:rsidR="003236C0" w:rsidRPr="006159FD">
        <w:rPr>
          <w:rFonts w:ascii="Times New Roman" w:hAnsi="Times New Roman" w:cs="Times New Roman"/>
          <w:color w:val="000000" w:themeColor="text1"/>
        </w:rPr>
        <w:t xml:space="preserve">. </w:t>
      </w:r>
    </w:p>
    <w:p w14:paraId="7904A02D" w14:textId="4181CB12" w:rsidR="003236C0" w:rsidRPr="006159FD" w:rsidRDefault="003236C0" w:rsidP="003236C0">
      <w:pPr>
        <w:rPr>
          <w:rFonts w:ascii="Times New Roman" w:hAnsi="Times New Roman" w:cs="Times New Roman"/>
          <w:color w:val="000000" w:themeColor="text1"/>
        </w:rPr>
      </w:pPr>
    </w:p>
    <w:p w14:paraId="2B583A99" w14:textId="72CCB6E0" w:rsidR="003236C0" w:rsidRPr="006159FD" w:rsidRDefault="003236C0" w:rsidP="003236C0">
      <w:pPr>
        <w:rPr>
          <w:rFonts w:ascii="Times New Roman" w:hAnsi="Times New Roman" w:cs="Times New Roman"/>
          <w:color w:val="000000" w:themeColor="text1"/>
        </w:rPr>
      </w:pPr>
    </w:p>
    <w:p w14:paraId="3290B187" w14:textId="73F74F26" w:rsidR="003236C0" w:rsidRPr="006159FD" w:rsidRDefault="003236C0" w:rsidP="003236C0">
      <w:pPr>
        <w:rPr>
          <w:rFonts w:ascii="Times New Roman" w:hAnsi="Times New Roman" w:cs="Times New Roman"/>
          <w:color w:val="000000" w:themeColor="text1"/>
        </w:rPr>
      </w:pPr>
    </w:p>
    <w:p w14:paraId="71A44D1A" w14:textId="472ED8A7" w:rsidR="003236C0" w:rsidRPr="006159FD" w:rsidRDefault="003236C0" w:rsidP="003236C0">
      <w:pPr>
        <w:rPr>
          <w:rFonts w:ascii="Times New Roman" w:hAnsi="Times New Roman" w:cs="Times New Roman"/>
          <w:color w:val="000000" w:themeColor="text1"/>
        </w:rPr>
      </w:pPr>
    </w:p>
    <w:p w14:paraId="6B3A6265" w14:textId="39DDB3D4" w:rsidR="003236C0" w:rsidRPr="006159FD" w:rsidRDefault="003236C0" w:rsidP="003236C0">
      <w:pPr>
        <w:rPr>
          <w:rFonts w:ascii="Times New Roman" w:hAnsi="Times New Roman" w:cs="Times New Roman"/>
          <w:color w:val="000000" w:themeColor="text1"/>
        </w:rPr>
      </w:pPr>
    </w:p>
    <w:p w14:paraId="09489EAA" w14:textId="41FBA0A5" w:rsidR="003236C0" w:rsidRPr="006159FD" w:rsidRDefault="003236C0" w:rsidP="003236C0">
      <w:pPr>
        <w:rPr>
          <w:rFonts w:ascii="Times New Roman" w:hAnsi="Times New Roman" w:cs="Times New Roman"/>
          <w:color w:val="000000" w:themeColor="text1"/>
        </w:rPr>
      </w:pPr>
    </w:p>
    <w:p w14:paraId="6D4EBF51" w14:textId="010E7D6B" w:rsidR="003236C0" w:rsidRPr="006159FD" w:rsidRDefault="003236C0" w:rsidP="003236C0">
      <w:pPr>
        <w:rPr>
          <w:rFonts w:ascii="Times New Roman" w:hAnsi="Times New Roman" w:cs="Times New Roman"/>
          <w:color w:val="000000" w:themeColor="text1"/>
        </w:rPr>
      </w:pPr>
    </w:p>
    <w:p w14:paraId="23EE1012" w14:textId="7EEB3DBB" w:rsidR="003236C0" w:rsidRPr="006159FD" w:rsidRDefault="003236C0" w:rsidP="003236C0">
      <w:pPr>
        <w:rPr>
          <w:rFonts w:ascii="Times New Roman" w:hAnsi="Times New Roman" w:cs="Times New Roman"/>
          <w:color w:val="000000" w:themeColor="text1"/>
        </w:rPr>
      </w:pPr>
    </w:p>
    <w:p w14:paraId="21AC274F" w14:textId="646CC103" w:rsidR="003236C0" w:rsidRPr="006159FD" w:rsidRDefault="003236C0" w:rsidP="003236C0">
      <w:pPr>
        <w:rPr>
          <w:rFonts w:ascii="Times New Roman" w:hAnsi="Times New Roman" w:cs="Times New Roman"/>
          <w:color w:val="000000" w:themeColor="text1"/>
        </w:rPr>
      </w:pPr>
    </w:p>
    <w:p w14:paraId="17D1C8FD" w14:textId="661842B0" w:rsidR="005D01F0" w:rsidRPr="006159FD" w:rsidRDefault="005D01F0" w:rsidP="005D01F0">
      <w:pPr>
        <w:rPr>
          <w:rFonts w:ascii="Times New Roman" w:hAnsi="Times New Roman" w:cs="Times New Roman"/>
          <w:color w:val="000000" w:themeColor="text1"/>
        </w:rPr>
      </w:pPr>
    </w:p>
    <w:p w14:paraId="1C133A8B" w14:textId="77777777" w:rsidR="005D01F0" w:rsidRPr="006159FD" w:rsidRDefault="005D01F0" w:rsidP="005D01F0">
      <w:pPr>
        <w:rPr>
          <w:rFonts w:ascii="Times New Roman" w:hAnsi="Times New Roman" w:cs="Times New Roman"/>
          <w:color w:val="000000" w:themeColor="text1"/>
        </w:rPr>
      </w:pPr>
    </w:p>
    <w:p w14:paraId="28B9A73C" w14:textId="7C43A30A" w:rsidR="005D01F0" w:rsidRPr="006159FD" w:rsidRDefault="003E6800" w:rsidP="005D01F0">
      <w:pPr>
        <w:rPr>
          <w:rFonts w:ascii="Times New Roman" w:hAnsi="Times New Roman" w:cs="Times New Roman"/>
          <w:color w:val="000000" w:themeColor="text1"/>
        </w:rPr>
      </w:pPr>
      <w:r w:rsidRPr="006159FD">
        <w:rPr>
          <w:rFonts w:ascii="Times New Roman" w:hAnsi="Times New Roman" w:cs="Times New Roman"/>
          <w:noProof/>
          <w:color w:val="000000" w:themeColor="text1"/>
        </w:rPr>
        <w:lastRenderedPageBreak/>
        <w:drawing>
          <wp:inline distT="0" distB="0" distL="0" distR="0" wp14:anchorId="49D2B81C" wp14:editId="478385D8">
            <wp:extent cx="5943600" cy="3054985"/>
            <wp:effectExtent l="0" t="0" r="0" b="5715"/>
            <wp:docPr id="32" name="Picture 32"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Screenshot 2019-11-28 12.05.14.png"/>
                    <pic:cNvPicPr/>
                  </pic:nvPicPr>
                  <pic:blipFill>
                    <a:blip r:embed="rId16">
                      <a:extLst>
                        <a:ext uri="{28A0092B-C50C-407E-A947-70E740481C1C}">
                          <a14:useLocalDpi xmlns:a14="http://schemas.microsoft.com/office/drawing/2010/main" val="0"/>
                        </a:ext>
                      </a:extLst>
                    </a:blip>
                    <a:stretch>
                      <a:fillRect/>
                    </a:stretch>
                  </pic:blipFill>
                  <pic:spPr>
                    <a:xfrm>
                      <a:off x="0" y="0"/>
                      <a:ext cx="5943600" cy="3054985"/>
                    </a:xfrm>
                    <a:prstGeom prst="rect">
                      <a:avLst/>
                    </a:prstGeom>
                  </pic:spPr>
                </pic:pic>
              </a:graphicData>
            </a:graphic>
          </wp:inline>
        </w:drawing>
      </w:r>
    </w:p>
    <w:p w14:paraId="7551803C" w14:textId="77777777" w:rsidR="005D01F0" w:rsidRPr="006159FD" w:rsidRDefault="005D01F0" w:rsidP="005D01F0">
      <w:pPr>
        <w:rPr>
          <w:rFonts w:ascii="Times New Roman" w:hAnsi="Times New Roman" w:cs="Times New Roman"/>
          <w:color w:val="000000" w:themeColor="text1"/>
        </w:rPr>
      </w:pPr>
    </w:p>
    <w:p w14:paraId="4AB13E54" w14:textId="1D0EEB30" w:rsidR="00F70E45" w:rsidRPr="006159FD" w:rsidRDefault="00BC1DCD" w:rsidP="00D60055">
      <w:pPr>
        <w:rPr>
          <w:rFonts w:ascii="Times New Roman" w:hAnsi="Times New Roman" w:cs="Times New Roman"/>
          <w:color w:val="000000" w:themeColor="text1"/>
        </w:rPr>
      </w:pPr>
      <w:bookmarkStart w:id="5" w:name="_Toc25838861"/>
      <w:r w:rsidRPr="006159FD">
        <w:rPr>
          <w:rStyle w:val="Heading1Char"/>
          <w:rFonts w:ascii="Times New Roman" w:hAnsi="Times New Roman" w:cs="Times New Roman"/>
          <w:color w:val="000000" w:themeColor="text1"/>
          <w:sz w:val="24"/>
          <w:szCs w:val="24"/>
        </w:rPr>
        <w:t>Goal 8.</w:t>
      </w:r>
      <w:bookmarkEnd w:id="5"/>
      <w:r w:rsidRPr="006159FD">
        <w:rPr>
          <w:rFonts w:ascii="Times New Roman" w:hAnsi="Times New Roman" w:cs="Times New Roman"/>
          <w:color w:val="000000" w:themeColor="text1"/>
        </w:rPr>
        <w:t xml:space="preserve"> </w:t>
      </w:r>
      <w:r w:rsidR="00D60055" w:rsidRPr="006159FD">
        <w:rPr>
          <w:rFonts w:ascii="Times New Roman" w:hAnsi="Times New Roman" w:cs="Times New Roman"/>
          <w:color w:val="000000" w:themeColor="text1"/>
        </w:rPr>
        <w:t>Assumptions and inclusion criteria</w:t>
      </w:r>
      <w:r w:rsidR="00F70E45" w:rsidRPr="006159FD">
        <w:rPr>
          <w:rFonts w:ascii="Times New Roman" w:hAnsi="Times New Roman" w:cs="Times New Roman"/>
          <w:color w:val="000000" w:themeColor="text1"/>
        </w:rPr>
        <w:t xml:space="preserve"> </w:t>
      </w:r>
    </w:p>
    <w:p w14:paraId="75F59CCE" w14:textId="77777777" w:rsidR="00F70E45" w:rsidRPr="006159FD" w:rsidRDefault="00F70E45" w:rsidP="00F70E45">
      <w:pPr>
        <w:pStyle w:val="ListParagraph"/>
        <w:numPr>
          <w:ilvl w:val="0"/>
          <w:numId w:val="8"/>
        </w:numPr>
        <w:rPr>
          <w:rFonts w:ascii="Times New Roman" w:hAnsi="Times New Roman" w:cs="Times New Roman"/>
          <w:color w:val="000000" w:themeColor="text1"/>
        </w:rPr>
      </w:pPr>
      <w:r w:rsidRPr="006159FD">
        <w:rPr>
          <w:rFonts w:ascii="Times New Roman" w:hAnsi="Times New Roman" w:cs="Times New Roman"/>
          <w:color w:val="000000" w:themeColor="text1"/>
        </w:rPr>
        <w:t xml:space="preserve">We established whether an island had tourism by performing a Google search (in English) using each island’s name or archipelago followed by the terms “tourism”, “tours”, “visits”, “dive”, “diving”, “snorkeling”, “fishing”, “bird watching”. We determined tourism was present if at least one search indicated that any of the above forms of tourism were present. </w:t>
      </w:r>
    </w:p>
    <w:p w14:paraId="1228C24B" w14:textId="49E98418" w:rsidR="00695F71" w:rsidRPr="006159FD" w:rsidRDefault="00695F71" w:rsidP="00695F71">
      <w:pPr>
        <w:pStyle w:val="ListParagraph"/>
        <w:numPr>
          <w:ilvl w:val="0"/>
          <w:numId w:val="8"/>
        </w:numPr>
        <w:rPr>
          <w:rFonts w:ascii="Times New Roman" w:hAnsi="Times New Roman" w:cs="Times New Roman"/>
          <w:color w:val="000000" w:themeColor="text1"/>
        </w:rPr>
      </w:pPr>
      <w:r w:rsidRPr="006159FD">
        <w:rPr>
          <w:rFonts w:ascii="Times New Roman" w:hAnsi="Times New Roman" w:cs="Times New Roman"/>
          <w:color w:val="000000" w:themeColor="text1"/>
        </w:rPr>
        <w:t>We assumed</w:t>
      </w:r>
      <w:r w:rsidR="00765484" w:rsidRPr="006159FD">
        <w:rPr>
          <w:rFonts w:ascii="Times New Roman" w:hAnsi="Times New Roman" w:cs="Times New Roman"/>
          <w:color w:val="000000" w:themeColor="text1"/>
        </w:rPr>
        <w:t xml:space="preserve"> the</w:t>
      </w:r>
      <w:r w:rsidRPr="006159FD">
        <w:rPr>
          <w:rFonts w:ascii="Times New Roman" w:hAnsi="Times New Roman" w:cs="Times New Roman"/>
          <w:color w:val="000000" w:themeColor="text1"/>
        </w:rPr>
        <w:t xml:space="preserve"> invasive vertebrate impacts tourism quality of experience</w:t>
      </w:r>
      <w:r w:rsidR="001F69D9" w:rsidRPr="006159FD">
        <w:rPr>
          <w:rFonts w:ascii="Times New Roman" w:hAnsi="Times New Roman" w:cs="Times New Roman"/>
          <w:color w:val="000000" w:themeColor="text1"/>
        </w:rPr>
        <w:t xml:space="preserve"> </w:t>
      </w:r>
      <w:r w:rsidR="001F69D9"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ISBN":"9780199554249","author":[{"dropping-particle":"","family":"Simberloff","given":"Daniel","non-dropping-particle":"","parse-names":false,"suffix":""},{"dropping-particle":"","family":"Simberloff","given":"Daniel","non-dropping-particle":"","parse-names":false,"suffix":""}],"id":"ITEM-1","issue":"Simberloff 2008","issued":{"date-parts":[["2010"]]},"title":"Invasive species","type":"article-journal"},"uris":["http://www.mendeley.com/documents/?uuid=9e2b8b14-0453-4090-80d7-9c797f3f1edc"]},{"id":"ITEM-2","itemData":{"DOI":"10.1017/S0376892917000297","ISBN":"0376892917000","ISSN":"14694387","abstract":"Invasive alien species (IASs) on islands have broad impacts across biodiversity, agriculture, economy, health and culture, which tend to be stronger than on continents. Across small-island developing states (SIDSs), although only a small number of IASs are widely distributed, many more, including those with greatest impact, are found on only a small number of islands. Patterns of island invasion are not consistent across SIDS geographic regions, with differences attributable to correlated patterns in island biogeography and human development. We identify 15 of the most globally prevalent IASs on islands. IAS impacts on islands are exacerbated through interactions with a number of other global change threats, including over-exploitation, agricultural intensification, urban development and climate change. Biosecurity is critical in preventing IAS invasion of islands. Eradication of IASs on islands is possible at early stages of invasion, but otherwise is largely restricted to invasive mammals, or otherwise control is the only option. Future directions in IAS management and research on islands must consider IASs within a broader portfolio of threats to species, ecosystems and people's livelihoods on islands. We advocate for stronger collaborations among island countries and territories faced with the same IASs in similar socio-ecological environments.","author":[{"dropping-particle":"","family":"Russell","given":"James C.","non-dropping-particle":"","parse-names":false,"suffix":""},{"dropping-particle":"","family":"Meyer","given":"Jean Yves","non-dropping-particle":"","parse-names":false,"suffix":""},{"dropping-particle":"","family":"Holmes","given":"Nick D.","non-dropping-particle":"","parse-names":false,"suffix":""},{"dropping-particle":"","family":"Pagad","given":"Shyama","non-dropping-particle":"","parse-names":false,"suffix":""}],"container-title":"Environmental Conservation","id":"ITEM-2","issue":"4","issued":{"date-parts":[["2017"]]},"page":"359-370","title":"Invasive alien species on islands: Impacts, distribution, interactions and management","type":"article-journal","volume":"44"},"uris":["http://www.mendeley.com/documents/?uuid=c7ba5b4d-8b25-4315-b14d-edff8566d6f2"]},{"id":"ITEM-3","itemData":{"ISSN":"00382353","author":[{"dropping-particle":"","family":"Castley","given":"J. G.","non-dropping-particle":"","parse-names":false,"suffix":""},{"dropping-particle":"","family":"Boshoff","given":"A. F.","non-dropping-particle":"","parse-names":false,"suffix":""},{"dropping-particle":"","family":"Kerley","given":"G. I.H.","non-dropping-particle":"","parse-names":false,"suffix":""}],"container-title":"South African Journal of Science","id":"ITEM-3","issue":"9-10","issued":{"date-parts":[["2001"]]},"page":"344-348","title":"Compromising South Africa's natural biodiversity - Inappropriate herbivore introductions","type":"article-journal","volume":"97"},"uris":["http://www.mendeley.com/documents/?uuid=6fe484c7-5ea0-459e-be3f-d1fbd1bf817b"]},{"id":"ITEM-4","itemData":{"DOI":"10.1093/jue/juz008","ISSN":"2058-5543","abstract":"There is growing concern globally about the inhumane treatment of ‘pest’ animals, including rodents, and about the ecological consequences of rodenticides, notably the poisoning of non-target wildlife like raptors and scavengers. Recent contestation between Environmental Health (EH) officials in Khayelitsha, Cape Town’s largest African township, and the National Council for Societies for the Prevention of Cruelty to Animals (NSPCA) illustrates the tension that can arise between innovative ecologically-focused strategies and existing legislation and animal protection practices. In 2013/14 EH officials introduced a job-creation project to trap and drown rats, describing it as ‘humane’ because it avoided poison thereby posing no danger to wildlife such as owls. The NSPCA, however, halted the project, arguing that drowning was both inhumane and illegal. Death by poison is also inhumane but the South Africa’s Animals Protection Act (1962) allows it (and trapping and hunting) to be used against ‘pests’/‘vermin’. The NSPCA, which has never challenged the Act for allowing the inhumane treatment of these animals, used it to trump local preferences. A representative survey from Khayelitsha showed that there was some support for an NSPCA-like position (14% thought that drowning was cruel and that workers should not be allowed to trap and drown rats) but that the majority (70%) indicated that they were both concerned about the poisoning of non-target animals and supported the continuation of the trapping and drowning project. This was not a contestation over whether animals should be protected, but over how to do this, and which animals to include.","author":[{"dropping-particle":"","family":"Nattrass","given":"Nicoli","non-dropping-particle":"","parse-names":false,"suffix":""},{"dropping-particle":"","family":"Stephens","given":"Jed","non-dropping-particle":"","parse-names":false,"suffix":""},{"dropping-particle":"","family":"Loubser","given":"Jorich Johann","non-dropping-particle":"","parse-names":false,"suffix":""}],"container-title":"Journal of Urban Ecology","id":"ITEM-4","issue":"1","issued":{"date-parts":[["2019"]]},"page":"1-10","title":"Animal welfare and ecology in the contested ethics of rodent control in Cape Town","type":"article-journal","volume":"5"},"uris":["http://www.mendeley.com/documents/?uuid=1e42a759-0243-438c-aa6f-b7681d20199e"]},{"id":"ITEM-5","itemData":{"DOI":"10.1017/S0030605317000205","ISSN":"13653008","abstract":"Using the Safe Islands for Seabirds LIFE project as a case study, we assessed the socio-economic impact of a nature conservation project on the local community, focusing on the wealth created and the jobs supported directly and indirectly by the project. The Safe Islands for Seabirds project took place during 2009-2012, mainly on Corvo Island, the smallest and least populated island of Portugal's Azores Archipelago. To assess the impact of the project we used a combination of methods to analyse the project expenditure, the jobs created directly as a result of it, and, by means of multipliers, the incomes and jobs it supported indirectly. We estimate that during 2009-2012 direct expenditure of EUR 344,212.50 from the project increased the gross domestic product of the Azorean region by EUR 206,527.50. Apart from the 4.5 jobs created directly by the project, it also supported indirectly the equivalent of 1.5-2.5 full-time jobs. The project also provided the opportunity to preserve and promote natural amenities important for the quality of life of the local community. Our findings show that a nature conservation project can have positive economic impacts, and we recommend the creation of a standardized tool to calculate in a straightforward but accurate manner the socio-economic impacts of conservation projects. We also highlight the need to design projects that support local economies.","author":[{"dropping-particle":"","family":"Benedicto Royuela","given":"José","non-dropping-particle":"","parse-names":false,"suffix":""},{"dropping-particle":"","family":"Herviás Parejo","given":"Sandra","non-dropping-particle":"","parse-names":false,"suffix":""},{"dropping-particle":"","family":"La Cruz","given":"Azucena","non-dropping-particle":"De","parse-names":false,"suffix":""},{"dropping-particle":"","family":"Geraldes","given":"Pedro","non-dropping-particle":"","parse-names":false,"suffix":""},{"dropping-particle":"","family":"Costa","given":"Luis T.","non-dropping-particle":"","parse-names":false,"suffix":""},{"dropping-particle":"","family":"Gil","given":"Artur","non-dropping-particle":"","parse-names":false,"suffix":""}],"container-title":"Oryx","id":"ITEM-5","issue":"1","issued":{"date-parts":[["2019"]]},"page":"109-116","title":"The socio-economic impact of conservation: The Safe Islands for Seabirds LIFE project","type":"article-journal","volume":"53"},"uris":["http://www.mendeley.com/documents/?uuid=11b3c378-1a68-4dd2-b117-37f634b398de"]},{"id":"ITEM-6","itemData":{"author":[{"dropping-particle":"","family":"Zengeya","given":"Tsungai","non-dropping-particle":"","parse-names":false,"suffix":""},{"dropping-particle":"","family":"Ivey","given":"Philip","non-dropping-particle":"","parse-names":false,"suffix":""},{"dropping-particle":"","family":"Woodford","given":"Darragh J.","non-dropping-particle":"","parse-names":false,"suffix":""},{"dropping-particle":"","family":"Wey","given":"Olaf","non-dropping-particle":"","parse-names":false,"suffix":""},{"dropping-particle":"","family":"Novoa","given":"Ana","non-dropping-particle":"","parse-names":false,"suffix":""},{"dropping-particle":"","family":"Shackleton","given":"Ross","non-dropping-particle":"","parse-names":false,"suffix":""},{"dropping-particle":"","family":"Richardson","given":"David","non-dropping-particle":"","parse-names":false,"suffix":""},{"dropping-particle":"","family":"Wilgen","given":"Brian","non-dropping-particle":"van","parse-names":false,"suffix":""}],"container-title":"Bothalia - African Biodiversity &amp; Conservation","id":"ITEM-6","issue":"2","issued":{"date-parts":[["2017"]]},"page":"1-11","title":"Managing conflict-generating invasive species in South Africa : Challenges and trade-offs","type":"article-journal","volume":"47"},"uris":["http://www.mendeley.com/documents/?uuid=8b1afffb-703a-458b-9ca9-95ab473643d7"]}],"mendeley":{"formattedCitation":"(Castley et al. 2001, Simberloff and Simberloff 2010, Russell et al. 2017, Zengeya et al. 2017, Benedicto Royuela et al. 2019, Nattrass et al. 2019)","plainTextFormattedCitation":"(Castley et al. 2001, Simberloff and Simberloff 2010, Russell et al. 2017, Zengeya et al. 2017, Benedicto Royuela et al. 2019, Nattrass et al. 2019)","previouslyFormattedCitation":"(Benedicto Royuela et al., 2019; Castley, Boshoff, &amp; Kerley, 2001; Nattrass, Stephens, &amp; Loubser, 2019; Russell, Meyer, Holmes, &amp; Pagad, 2017; Simberloff &amp; Simberloff, 2010; Zengeya et al., 2017)"},"properties":{"noteIndex":0},"schema":"https://github.com/citation-style-language/schema/raw/master/csl-citation.json"}</w:instrText>
      </w:r>
      <w:r w:rsidR="001F69D9"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(Castley et al. 2001, Simberloff and Simberloff 2010, Russell et al. 2017, Zengeya et al. 2017, Benedicto Royuela et al. 2019, Nattrass et al. 2019)</w:t>
      </w:r>
      <w:r w:rsidR="001F69D9" w:rsidRPr="006159FD">
        <w:rPr>
          <w:rFonts w:ascii="Times New Roman" w:eastAsia="Times New Roman" w:hAnsi="Times New Roman" w:cs="Times New Roman"/>
          <w:color w:val="000000" w:themeColor="text1"/>
        </w:rPr>
        <w:fldChar w:fldCharType="end"/>
      </w:r>
      <w:r w:rsidR="001F69D9" w:rsidRPr="006159FD">
        <w:rPr>
          <w:rFonts w:ascii="Times New Roman" w:hAnsi="Times New Roman" w:cs="Times New Roman"/>
          <w:color w:val="000000" w:themeColor="text1"/>
        </w:rPr>
        <w:t>.</w:t>
      </w:r>
    </w:p>
    <w:p w14:paraId="4BC33D4B" w14:textId="6F14D427" w:rsidR="005D01F0" w:rsidRPr="006159FD" w:rsidRDefault="00CE6664" w:rsidP="006D119C">
      <w:pPr>
        <w:numPr>
          <w:ilvl w:val="1"/>
          <w:numId w:val="8"/>
        </w:numPr>
        <w:rPr>
          <w:rFonts w:ascii="Times New Roman" w:hAnsi="Times New Roman" w:cs="Times New Roman"/>
          <w:color w:val="000000" w:themeColor="text1"/>
        </w:rPr>
      </w:pPr>
      <w:r w:rsidRPr="006159FD">
        <w:rPr>
          <w:rFonts w:ascii="Times New Roman" w:hAnsi="Times New Roman" w:cs="Times New Roman"/>
          <w:color w:val="000000" w:themeColor="text1"/>
        </w:rPr>
        <w:t>We assumed invasive</w:t>
      </w:r>
      <w:r w:rsidR="005D01F0" w:rsidRPr="006159FD">
        <w:rPr>
          <w:rFonts w:ascii="Times New Roman" w:hAnsi="Times New Roman" w:cs="Times New Roman"/>
          <w:color w:val="000000" w:themeColor="text1"/>
        </w:rPr>
        <w:t xml:space="preserve"> carnivore</w:t>
      </w:r>
      <w:r w:rsidRPr="006159FD">
        <w:rPr>
          <w:rFonts w:ascii="Times New Roman" w:hAnsi="Times New Roman" w:cs="Times New Roman"/>
          <w:color w:val="000000" w:themeColor="text1"/>
        </w:rPr>
        <w:t>s</w:t>
      </w:r>
      <w:r w:rsidR="005D01F0" w:rsidRPr="006159FD">
        <w:rPr>
          <w:rFonts w:ascii="Times New Roman" w:hAnsi="Times New Roman" w:cs="Times New Roman"/>
          <w:color w:val="000000" w:themeColor="text1"/>
        </w:rPr>
        <w:t xml:space="preserve"> (cat, dog, mongoose) </w:t>
      </w:r>
      <w:r w:rsidRPr="006159FD">
        <w:rPr>
          <w:rFonts w:ascii="Times New Roman" w:hAnsi="Times New Roman" w:cs="Times New Roman"/>
          <w:color w:val="000000" w:themeColor="text1"/>
        </w:rPr>
        <w:t>and</w:t>
      </w:r>
      <w:r w:rsidR="005D01F0" w:rsidRPr="006159FD">
        <w:rPr>
          <w:rFonts w:ascii="Times New Roman" w:hAnsi="Times New Roman" w:cs="Times New Roman"/>
          <w:color w:val="000000" w:themeColor="text1"/>
        </w:rPr>
        <w:t xml:space="preserve"> rodent</w:t>
      </w:r>
      <w:r w:rsidRPr="006159FD">
        <w:rPr>
          <w:rFonts w:ascii="Times New Roman" w:hAnsi="Times New Roman" w:cs="Times New Roman"/>
          <w:color w:val="000000" w:themeColor="text1"/>
        </w:rPr>
        <w:t>s</w:t>
      </w:r>
      <w:r w:rsidR="005D01F0" w:rsidRPr="006159FD">
        <w:rPr>
          <w:rFonts w:ascii="Times New Roman" w:hAnsi="Times New Roman" w:cs="Times New Roman"/>
          <w:color w:val="000000" w:themeColor="text1"/>
        </w:rPr>
        <w:t xml:space="preserve"> consume charismatic species</w:t>
      </w:r>
      <w:r w:rsidR="00F61518" w:rsidRPr="006159FD">
        <w:rPr>
          <w:rFonts w:ascii="Times New Roman" w:hAnsi="Times New Roman" w:cs="Times New Roman"/>
          <w:color w:val="000000" w:themeColor="text1"/>
        </w:rPr>
        <w:t xml:space="preserve"> of value to tourism</w:t>
      </w:r>
      <w:r w:rsidR="002104B2" w:rsidRPr="006159FD">
        <w:rPr>
          <w:rFonts w:ascii="Times New Roman" w:hAnsi="Times New Roman" w:cs="Times New Roman"/>
          <w:color w:val="000000" w:themeColor="text1"/>
        </w:rPr>
        <w:t xml:space="preserve"> </w:t>
      </w:r>
      <w:r w:rsidRPr="006159FD">
        <w:rPr>
          <w:rFonts w:ascii="Times New Roman" w:hAnsi="Times New Roman" w:cs="Times New Roman"/>
          <w:color w:val="000000" w:themeColor="text1"/>
        </w:rPr>
        <w:t>and</w:t>
      </w:r>
      <w:r w:rsidR="005D01F0" w:rsidRPr="006159FD">
        <w:rPr>
          <w:rFonts w:ascii="Times New Roman" w:hAnsi="Times New Roman" w:cs="Times New Roman"/>
          <w:color w:val="000000" w:themeColor="text1"/>
        </w:rPr>
        <w:t xml:space="preserve"> herbivore</w:t>
      </w:r>
      <w:r w:rsidRPr="006159FD">
        <w:rPr>
          <w:rFonts w:ascii="Times New Roman" w:hAnsi="Times New Roman" w:cs="Times New Roman"/>
          <w:color w:val="000000" w:themeColor="text1"/>
        </w:rPr>
        <w:t>s (goats, sheep, rabbit</w:t>
      </w:r>
      <w:r w:rsidR="00765484" w:rsidRPr="006159FD">
        <w:rPr>
          <w:rFonts w:ascii="Times New Roman" w:hAnsi="Times New Roman" w:cs="Times New Roman"/>
          <w:color w:val="000000" w:themeColor="text1"/>
        </w:rPr>
        <w:t>, deer</w:t>
      </w:r>
      <w:r w:rsidRPr="006159FD">
        <w:rPr>
          <w:rFonts w:ascii="Times New Roman" w:hAnsi="Times New Roman" w:cs="Times New Roman"/>
          <w:color w:val="000000" w:themeColor="text1"/>
        </w:rPr>
        <w:t>)</w:t>
      </w:r>
      <w:r w:rsidR="005D01F0" w:rsidRPr="006159FD">
        <w:rPr>
          <w:rFonts w:ascii="Times New Roman" w:hAnsi="Times New Roman" w:cs="Times New Roman"/>
          <w:color w:val="000000" w:themeColor="text1"/>
        </w:rPr>
        <w:t xml:space="preserve"> create barren islands </w:t>
      </w:r>
      <w:r w:rsidR="00F61518" w:rsidRPr="006159FD">
        <w:rPr>
          <w:rFonts w:ascii="Times New Roman" w:hAnsi="Times New Roman" w:cs="Times New Roman"/>
          <w:color w:val="000000" w:themeColor="text1"/>
        </w:rPr>
        <w:t xml:space="preserve">denuding landscapes and vistas </w:t>
      </w:r>
      <w:r w:rsidR="002104B2" w:rsidRPr="006159FD">
        <w:rPr>
          <w:rFonts w:ascii="Times New Roman" w:hAnsi="Times New Roman" w:cs="Times New Roman"/>
          <w:color w:val="000000" w:themeColor="text1"/>
        </w:rPr>
        <w:fldChar w:fldCharType="begin" w:fldLock="1"/>
      </w:r>
      <w:r w:rsidR="00A6678D">
        <w:rPr>
          <w:rFonts w:ascii="Times New Roman" w:hAnsi="Times New Roman" w:cs="Times New Roman"/>
          <w:color w:val="000000" w:themeColor="text1"/>
        </w:rPr>
        <w:instrText>ADDIN CSL_CITATION {"citationItems":[{"id":"ITEM-1","itemData":{"DOI":"10.1007/s10530-015-1042-9","ISSN":"15731464","abstract":"The number and scale of island invasive species eradications is growing, but quantitative evidence of the conservation efficacy of passive recovery is limited. We compare relative abundances of breeding birds on Hawadax Island (formerly named Rat island), Aleutian Archipelago, Alaska, pre- and post- rat eradication to examine short-term (&lt;1 year post-eradication) changes due to rodenticide application, and medium-term (5 years post-eradication) changes due to the absence of invasive rats. In the short term, Bald Eagle (Haliaeetus leucocephalus) numbers decreased from 24 individuals pre-eradication to two individuals &lt;1 year post-eradication, but recovered to 10 individuals (42 % of pre-eradication) 5 years post-eradication, with all individuals nesting (63 % of the pre-eradication nesting). Five years post-eradication relative abundances of most terrestrial birds surveyed using point counts either significantly increased [Gray-crowned Rosy Finch (Leucosticte tephrocotis), Lapland Longspur (Calcarius lapponicus), Snow Bunting (Plectrophenax nivalis), Song Sparrow (Melospiza melodia)] or did not differ [Pacific Wren (Troglodytes troglodytes)]. Shorebirds also increased 5 years post-eradication with Black Oystercatchers (Haematopus palliates) increasing fivefold, and Rock Sandpiper (Calidris ptilocnemis) nesting increasing from one to five nests. We confirmed two species of ground nesting seabirds [Tufted Puffin (Fratercula cirrhata) and Leach's Storm-petrel (Oceanodroma leucohoa)] as nesting (puffin) or engaged in courtship behavior (Storm-petrel) 5 years post-eradication. Our results indicate that despite the short-term impact on Bald Eagles, and without further human intervention, most terrestrial and marine birds have newly-colonized, re-colonized, or increased in abundance following the eradication of invasive rats.","author":[{"dropping-particle":"","family":"Croll","given":"Donald A.","non-dropping-particle":"","parse-names":false,"suffix":""},{"dropping-particle":"","family":"Newton","given":"Kelly M.","non-dropping-particle":"","parse-names":false,"suffix":""},{"dropping-particle":"","family":"McKown","given":"Matthew","non-dropping-particle":"","parse-names":false,"suffix":""},{"dropping-particle":"","family":"Holmes","given":"Nick","non-dropping-particle":"","parse-names":false,"suffix":""},{"dropping-particle":"","family":"Williams","given":"Jeffrey C.","non-dropping-particle":"","parse-names":false,"suffix":""},{"dropping-particle":"","family":"Young","given":"Hillary S.","non-dropping-particle":"","parse-names":false,"suffix":""},{"dropping-particle":"","family":"Buckelew","given":"Stacey","non-dropping-particle":"","parse-names":false,"suffix":""},{"dropping-particle":"","family":"Wolf","given":"Coral A.","non-dropping-particle":"","parse-names":false,"suffix":""},{"dropping-particle":"","family":"Howald","given":"Gregg","non-dropping-particle":"","parse-names":false,"suffix":""},{"dropping-particle":"","family":"Bock","given":"Milagra F.","non-dropping-particle":"","parse-names":false,"suffix":""},{"dropping-particle":"","family":"Curl","given":"Jennifer A.","non-dropping-particle":"","parse-names":false,"suffix":""},{"dropping-particle":"","family":"Tershy","given":"Bernie R.","non-dropping-particle":"","parse-names":false,"suffix":""}],"container-title":"Biological Invasions","id":"ITEM-1","issue":"3","issued":{"date-parts":[["2016"]]},"title":"Passive recovery of an island bird community after rodent eradication","type":"article-journal","volume":"18"},"uris":["http://www.mendeley.com/documents/?uuid=743d8903-1e5f-3497-bd63-e629d370e405"]},{"id":"ITEM-2","itemData":{"DOI":"10.1017/S1367943002002263","ISBN":"1367-9430","ISSN":"1367-9430","abstract":"Insular breeding seabirds are likely to be particularly vulnerable to introduced mammalian predators because they often lack behavioural, morphological and life-history defenses against predation. We studied the life-history of the black-vented shearwater (Puffinus opisthomelas) on NativN1ad Island, Baja California Sur, Mexico, to examine its vulnerability to introduced feral cats. Using an allometric equation, we estimated that feral cats consumed 328 g of food day(-1) to satisfy their nutritional requirements. We used stable isotope analysis of cat scat to estimate that 90% of the cats' diet was composed of shearwaters. Using data from our focal species and from the closely related manx shearwater (Puffinus puffinus), we created a demographic model to evaluate the effects of cat population size on the annual growth rate (lambda) of the shearwater. The annual growth rate for black-vented shearwaters was estimated to be 1.006 in the absence of cat predation. With predation, we estimated that annual growth rate declined approximately 5% for every 20 cats in a population of 150,000 birds. Persistence times of bird colonies decreased both with an increase in the size of the feral cat population and with a decrease in the size of the initial bird population","author":[{"dropping-particle":"","family":"Keitt","given":"B S","non-dropping-particle":"","parse-names":false,"suffix":""},{"dropping-particle":"","family":"Wilcox","given":"C","non-dropping-particle":"","parse-names":false,"suffix":""},{"dropping-particle":"","family":"Tershy","given":"B R","non-dropping-particle":"","parse-names":false,"suffix":""},{"dropping-particle":"","family":"Croll","given":"D a","non-dropping-particle":"","parse-names":false,"suffix":""},{"dropping-particle":"","family":"Donlan","given":"C J","non-dropping-particle":"","parse-names":false,"suffix":""}],"container-title":"Animal Conservation","id":"ITEM-2","issue":"December 2015","issued":{"date-parts":[["2002"]]},"page":"217-223","title":"The effect of feral cats on the population viability of black-vented shearwaters (Puffinus opisthomelas) on NativN1ad Island, Mexico","type":"article-journal","volume":"5"},"uris":["http://www.mendeley.com/documents/?uuid=4181d827-8773-4e45-b121-d3ac994ebc21"]},{"id":"ITEM-3","itemData":{"DOI":"10.1007/s10531-013-0603-4","ISSN":"09603115","abstract":"The domestic cat has been introduced on most islands worldwide, where it has established feral populations and is currently known to be one of the worst invasive mammalian predators. Predation is the strongest deleterious effect of cats on wildlife, inducing a direct negative impact on population size and dynamics, breeding success and changes in species assemblages. Direct predation is not the only damaging impact on native wildlife, since cats can be responsible for other poorly-documented underlying ecological impacts, like competition, hybridization, disease transmission, ecological process alteration, and behavioral change. Here, we pinpoint relevant examples of these ecological impacts, by searching for accurate data from published literature. We used electronic databases covering most of the world islands where the effects of cats were documented. Knowledge of these impacts can be of great importance to preserve insular ecosystem functions and persistence of endangered native species. We emphasize that direct predation processes should not be the only factor considered in the management of invasive cats on islands. © 2013 Springer Science+Business Media Dordrecht.","author":[{"dropping-particle":"","family":"Medina","given":"Félix M.","non-dropping-particle":"","parse-names":false,"suffix":""},{"dropping-particle":"","family":"Bonnaud","given":"Elsa","non-dropping-particle":"","parse-names":false,"suffix":""},{"dropping-particle":"","family":"Vidal","given":"Eric","non-dropping-particle":"","parse-names":false,"suffix":""},{"dropping-particle":"","family":"Nogales","given":"Manuel","non-dropping-particle":"","parse-names":false,"suffix":""}],"container-title":"Biodiversity and Conservation","id":"ITEM-3","issue":"2","issued":{"date-parts":[["2014"]]},"title":"Underlying impacts of invasive cats on islands: Not only a question of predation","type":"article-journal","volume":"23"},"uris":["http://www.mendeley.com/documents/?uuid=49221921-5a5b-3cb8-96a0-e50bcfd0b429"]},{"id":"ITEM-4","itemData":{"author":[{"dropping-particle":"","family":"Luna-Mendoza","given":"Luciana","non-dropping-particle":"","parse-names":false,"suffix":""},{"dropping-particle":"","family":"Aguirre-Muñoz","given":"Alfonso","non-dropping-particle":"","parse-names":false,"suffix":""},{"dropping-particle":"","family":"Méndez-sánchez","given":"Federico","non-dropping-particle":"","parse-names":false,"suffix":""},{"dropping-particle":"","family":"Hernández-Montoya","given":"Julio C","non-dropping-particle":"","parse-names":false,"suffix":""},{"dropping-particle":"","family":"Torres-Aguilar","given":"M","non-dropping-particle":"","parse-names":false,"suffix":""},{"dropping-particle":"","family":"García-Carreón","given":"J.S.","non-dropping-particle":"","parse-names":false,"suffix":""},{"dropping-particle":"","family":"Puebla-Hernández","given":"Orlando","non-dropping-particle":"","parse-names":false,"suffix":""},{"dropping-particle":"","family":"Luvianos-Colín","given":"Sergio","non-dropping-particle":"","parse-names":false,"suffix":""},{"dropping-particle":"","family":"Cárdenas-Tapia","given":"Ana","non-dropping-particle":"","parse-names":false,"suffix":""}],"container-title":"Proceeding of the Island Conference","id":"ITEM-4","issue":"62","issued":{"date-parts":[["2019"]]},"page":"567-571","title":"Ten years after feral goat eradication : the active restoration of plant communities on Guadalupe Island , Mexico","type":"article-journal"},"uris":["http://www.mendeley.com/documents/?uuid=a26b6f00-d7ea-4a2e-b1fa-c17782ed128c"]}],"mendeley":{"formattedCitation":"(Keitt et al. 2002, Medina et al. 2014, Croll et al. 2016, Luna-Mendoza et al. 2019)","plainTextFormattedCitation":"(Keitt et al. 2002, Medina et al. 2014, Croll et al. 2016, Luna-Mendoza et al. 2019)","previouslyFormattedCitation":"(Croll et al., 2016; B. S. Keitt, Wilcox, Tershy, Croll, &amp; Donlan, 2002; Luna-Mendoza et al., 2019; Medina, Bonnaud, Vidal, &amp; Nogales, 2014)"},"properties":{"noteIndex":0},"schema":"https://github.com/citation-style-language/schema/raw/master/csl-citation.json"}</w:instrText>
      </w:r>
      <w:r w:rsidR="002104B2" w:rsidRPr="006159FD">
        <w:rPr>
          <w:rFonts w:ascii="Times New Roman" w:hAnsi="Times New Roman" w:cs="Times New Roman"/>
          <w:color w:val="000000" w:themeColor="text1"/>
        </w:rPr>
        <w:fldChar w:fldCharType="separate"/>
      </w:r>
      <w:r w:rsidR="00A6678D" w:rsidRPr="00A6678D">
        <w:rPr>
          <w:rFonts w:ascii="Times New Roman" w:hAnsi="Times New Roman" w:cs="Times New Roman"/>
          <w:noProof/>
          <w:color w:val="000000" w:themeColor="text1"/>
        </w:rPr>
        <w:t>(Keitt et al. 2002, Medina et al. 2014, Croll et al. 2016, Luna-Mendoza et al. 2019)</w:t>
      </w:r>
      <w:r w:rsidR="002104B2" w:rsidRPr="006159FD">
        <w:rPr>
          <w:rFonts w:ascii="Times New Roman" w:hAnsi="Times New Roman" w:cs="Times New Roman"/>
          <w:color w:val="000000" w:themeColor="text1"/>
        </w:rPr>
        <w:fldChar w:fldCharType="end"/>
      </w:r>
      <w:r w:rsidR="002104B2" w:rsidRPr="006159FD">
        <w:rPr>
          <w:rFonts w:ascii="Times New Roman" w:hAnsi="Times New Roman" w:cs="Times New Roman"/>
          <w:color w:val="000000" w:themeColor="text1"/>
        </w:rPr>
        <w:t>.</w:t>
      </w:r>
    </w:p>
    <w:p w14:paraId="5875A09A" w14:textId="339F149B" w:rsidR="005D01F0" w:rsidRPr="006159FD" w:rsidRDefault="005D01F0" w:rsidP="005D01F0">
      <w:pPr>
        <w:rPr>
          <w:rFonts w:ascii="Times New Roman" w:hAnsi="Times New Roman" w:cs="Times New Roman"/>
          <w:color w:val="000000" w:themeColor="text1"/>
        </w:rPr>
      </w:pPr>
    </w:p>
    <w:p w14:paraId="78E63DEB" w14:textId="33E268BE" w:rsidR="005D01F0" w:rsidRPr="006159FD" w:rsidRDefault="005D01F0" w:rsidP="005D01F0">
      <w:pPr>
        <w:rPr>
          <w:rFonts w:ascii="Times New Roman" w:hAnsi="Times New Roman" w:cs="Times New Roman"/>
          <w:color w:val="000000" w:themeColor="text1"/>
        </w:rPr>
      </w:pPr>
    </w:p>
    <w:p w14:paraId="0FD90AFB" w14:textId="1486FD61" w:rsidR="005D01F0" w:rsidRPr="006159FD" w:rsidRDefault="005D01F0" w:rsidP="005D01F0">
      <w:pPr>
        <w:rPr>
          <w:rFonts w:ascii="Times New Roman" w:hAnsi="Times New Roman" w:cs="Times New Roman"/>
          <w:color w:val="000000" w:themeColor="text1"/>
        </w:rPr>
      </w:pPr>
    </w:p>
    <w:p w14:paraId="19B31C93" w14:textId="075BFEEF" w:rsidR="005D01F0" w:rsidRPr="006159FD" w:rsidRDefault="005D01F0" w:rsidP="005D01F0">
      <w:pPr>
        <w:rPr>
          <w:rFonts w:ascii="Times New Roman" w:hAnsi="Times New Roman" w:cs="Times New Roman"/>
          <w:color w:val="000000" w:themeColor="text1"/>
        </w:rPr>
      </w:pPr>
    </w:p>
    <w:p w14:paraId="6F4FCDE5" w14:textId="639AB76F" w:rsidR="005D01F0" w:rsidRPr="006159FD" w:rsidRDefault="005D01F0" w:rsidP="005D01F0">
      <w:pPr>
        <w:rPr>
          <w:rFonts w:ascii="Times New Roman" w:hAnsi="Times New Roman" w:cs="Times New Roman"/>
          <w:color w:val="000000" w:themeColor="text1"/>
        </w:rPr>
      </w:pPr>
    </w:p>
    <w:p w14:paraId="417C173C" w14:textId="50942094" w:rsidR="005D01F0" w:rsidRPr="006159FD" w:rsidRDefault="005D01F0" w:rsidP="005D01F0">
      <w:pPr>
        <w:rPr>
          <w:rFonts w:ascii="Times New Roman" w:hAnsi="Times New Roman" w:cs="Times New Roman"/>
          <w:color w:val="000000" w:themeColor="text1"/>
        </w:rPr>
      </w:pPr>
    </w:p>
    <w:p w14:paraId="5DB2A80D" w14:textId="29E5F635" w:rsidR="005D01F0" w:rsidRPr="006159FD" w:rsidRDefault="005D01F0" w:rsidP="005D01F0">
      <w:pPr>
        <w:rPr>
          <w:rFonts w:ascii="Times New Roman" w:hAnsi="Times New Roman" w:cs="Times New Roman"/>
          <w:color w:val="000000" w:themeColor="text1"/>
        </w:rPr>
      </w:pPr>
    </w:p>
    <w:p w14:paraId="76230FEA" w14:textId="3A267AD8" w:rsidR="005D01F0" w:rsidRPr="006159FD" w:rsidRDefault="005D01F0" w:rsidP="005D01F0">
      <w:pPr>
        <w:rPr>
          <w:rFonts w:ascii="Times New Roman" w:hAnsi="Times New Roman" w:cs="Times New Roman"/>
          <w:color w:val="000000" w:themeColor="text1"/>
        </w:rPr>
      </w:pPr>
    </w:p>
    <w:p w14:paraId="71438D9A" w14:textId="1849AB8F" w:rsidR="005D01F0" w:rsidRPr="006159FD" w:rsidRDefault="005D01F0" w:rsidP="005D01F0">
      <w:pPr>
        <w:pStyle w:val="Heading1"/>
        <w:rPr>
          <w:rFonts w:ascii="Times New Roman" w:hAnsi="Times New Roman" w:cs="Times New Roman"/>
          <w:color w:val="000000" w:themeColor="text1"/>
          <w:sz w:val="24"/>
          <w:szCs w:val="24"/>
        </w:rPr>
      </w:pPr>
    </w:p>
    <w:p w14:paraId="5DDD3EFF" w14:textId="3105F76C" w:rsidR="005D01F0" w:rsidRPr="006159FD" w:rsidRDefault="006D119C" w:rsidP="005D01F0">
      <w:pPr>
        <w:rPr>
          <w:rFonts w:ascii="Times New Roman" w:hAnsi="Times New Roman" w:cs="Times New Roman"/>
          <w:color w:val="000000" w:themeColor="text1"/>
        </w:rPr>
      </w:pPr>
      <w:r w:rsidRPr="006159FD">
        <w:rPr>
          <w:rFonts w:ascii="Times New Roman" w:hAnsi="Times New Roman" w:cs="Times New Roman"/>
          <w:noProof/>
          <w:color w:val="000000" w:themeColor="text1"/>
        </w:rPr>
        <w:drawing>
          <wp:inline distT="0" distB="0" distL="0" distR="0" wp14:anchorId="3D0E69A0" wp14:editId="3EC1EF4B">
            <wp:extent cx="5943600" cy="4250690"/>
            <wp:effectExtent l="0" t="0" r="0" b="3810"/>
            <wp:docPr id="3" name="Picture 3"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Screenshot 2019-12-11 13.35.25.pn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943600" cy="4250690"/>
                    </a:xfrm>
                    <a:prstGeom prst="rect">
                      <a:avLst/>
                    </a:prstGeom>
                  </pic:spPr>
                </pic:pic>
              </a:graphicData>
            </a:graphic>
          </wp:inline>
        </w:drawing>
      </w:r>
    </w:p>
    <w:p w14:paraId="7DDB7D9F" w14:textId="71FBD741" w:rsidR="005D01F0" w:rsidRPr="006159FD" w:rsidRDefault="005D01F0" w:rsidP="005D01F0">
      <w:pPr>
        <w:rPr>
          <w:rFonts w:ascii="Times New Roman" w:hAnsi="Times New Roman" w:cs="Times New Roman"/>
          <w:color w:val="000000" w:themeColor="text1"/>
        </w:rPr>
      </w:pPr>
    </w:p>
    <w:p w14:paraId="70A73595" w14:textId="5B876523" w:rsidR="00CE6664" w:rsidRPr="006159FD" w:rsidRDefault="00BC1DCD" w:rsidP="00CE6664">
      <w:pPr>
        <w:rPr>
          <w:rFonts w:ascii="Times New Roman" w:hAnsi="Times New Roman" w:cs="Times New Roman"/>
          <w:color w:val="000000" w:themeColor="text1"/>
        </w:rPr>
      </w:pPr>
      <w:bookmarkStart w:id="6" w:name="_Toc25838862"/>
      <w:r w:rsidRPr="006159FD">
        <w:rPr>
          <w:rStyle w:val="Heading1Char"/>
          <w:rFonts w:ascii="Times New Roman" w:hAnsi="Times New Roman" w:cs="Times New Roman"/>
          <w:color w:val="000000" w:themeColor="text1"/>
          <w:sz w:val="24"/>
          <w:szCs w:val="24"/>
        </w:rPr>
        <w:t>Goal 9.</w:t>
      </w:r>
      <w:bookmarkEnd w:id="6"/>
      <w:r w:rsidRPr="006159FD">
        <w:rPr>
          <w:rFonts w:ascii="Times New Roman" w:hAnsi="Times New Roman" w:cs="Times New Roman"/>
          <w:color w:val="000000" w:themeColor="text1"/>
        </w:rPr>
        <w:t xml:space="preserve"> </w:t>
      </w:r>
      <w:r w:rsidR="00CE6664" w:rsidRPr="006159FD">
        <w:rPr>
          <w:rFonts w:ascii="Times New Roman" w:hAnsi="Times New Roman" w:cs="Times New Roman"/>
          <w:color w:val="000000" w:themeColor="text1"/>
        </w:rPr>
        <w:t>Assumptions and inclusion criteria</w:t>
      </w:r>
    </w:p>
    <w:p w14:paraId="5AAA0913" w14:textId="77777777" w:rsidR="00CE6664" w:rsidRPr="006159FD" w:rsidRDefault="00CE6664" w:rsidP="00D60055">
      <w:pPr>
        <w:rPr>
          <w:rFonts w:ascii="Times New Roman" w:hAnsi="Times New Roman" w:cs="Times New Roman"/>
          <w:color w:val="000000" w:themeColor="text1"/>
        </w:rPr>
      </w:pPr>
    </w:p>
    <w:p w14:paraId="170E02F0" w14:textId="7B483934" w:rsidR="002104B2" w:rsidRPr="006159FD" w:rsidRDefault="002104B2" w:rsidP="002104B2">
      <w:pPr>
        <w:pStyle w:val="ListParagraph"/>
        <w:numPr>
          <w:ilvl w:val="0"/>
          <w:numId w:val="12"/>
        </w:numPr>
        <w:rPr>
          <w:rFonts w:ascii="Times New Roman" w:hAnsi="Times New Roman" w:cs="Times New Roman"/>
          <w:color w:val="000000" w:themeColor="text1"/>
        </w:rPr>
      </w:pPr>
      <w:r w:rsidRPr="006159FD">
        <w:rPr>
          <w:rFonts w:ascii="Times New Roman" w:hAnsi="Times New Roman" w:cs="Times New Roman"/>
          <w:color w:val="000000" w:themeColor="text1"/>
        </w:rPr>
        <w:t xml:space="preserve">We assumed </w:t>
      </w:r>
      <w:r w:rsidR="00F06179" w:rsidRPr="006159FD">
        <w:rPr>
          <w:rFonts w:ascii="Times New Roman" w:hAnsi="Times New Roman" w:cs="Times New Roman"/>
          <w:color w:val="000000" w:themeColor="text1"/>
        </w:rPr>
        <w:t xml:space="preserve">the </w:t>
      </w:r>
      <w:r w:rsidRPr="006159FD">
        <w:rPr>
          <w:rFonts w:ascii="Times New Roman" w:hAnsi="Times New Roman" w:cs="Times New Roman"/>
          <w:color w:val="000000" w:themeColor="text1"/>
        </w:rPr>
        <w:t>fisheries</w:t>
      </w:r>
      <w:r w:rsidR="00FC4352" w:rsidRPr="006159FD">
        <w:rPr>
          <w:rFonts w:ascii="Times New Roman" w:hAnsi="Times New Roman" w:cs="Times New Roman"/>
          <w:color w:val="000000" w:themeColor="text1"/>
        </w:rPr>
        <w:t xml:space="preserve"> industry</w:t>
      </w:r>
      <w:r w:rsidRPr="006159FD">
        <w:rPr>
          <w:rFonts w:ascii="Times New Roman" w:hAnsi="Times New Roman" w:cs="Times New Roman"/>
          <w:color w:val="000000" w:themeColor="text1"/>
        </w:rPr>
        <w:t xml:space="preserve"> </w:t>
      </w:r>
      <w:r w:rsidR="00FC4352" w:rsidRPr="006159FD">
        <w:rPr>
          <w:rFonts w:ascii="Times New Roman" w:hAnsi="Times New Roman" w:cs="Times New Roman"/>
          <w:color w:val="000000" w:themeColor="text1"/>
        </w:rPr>
        <w:t xml:space="preserve">can use invasive vertebrate eradication to mitigate their impacts on seabird species </w:t>
      </w:r>
      <w:r w:rsidRPr="006159FD">
        <w:rPr>
          <w:rFonts w:ascii="Times New Roman" w:hAnsi="Times New Roman" w:cs="Times New Roman"/>
          <w:color w:val="000000" w:themeColor="text1"/>
        </w:rPr>
        <w:t>through bycatc</w:t>
      </w:r>
      <w:r w:rsidR="00FC4352" w:rsidRPr="006159FD">
        <w:rPr>
          <w:rFonts w:ascii="Times New Roman" w:hAnsi="Times New Roman" w:cs="Times New Roman"/>
          <w:color w:val="000000" w:themeColor="text1"/>
        </w:rPr>
        <w:t xml:space="preserve">h </w:t>
      </w:r>
      <w:r w:rsidR="00FC4352"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{"citationItems":[{"id":"ITEM-1","itemData":{"DOI":"10.1890/1540-9295(2007)5[325:CMAAST]2.0.CO;2","ISSN":"15409295","abstract":"Globally, fisheries catch of non-target species has major environmental impacts, resulting in social con- flict, litigation, and fisheries closures. We use a bio-economic approach to demonstrate that compensatory mitigation – an innovative, market-influenced approach to fishery–conservation conflicts – can facilitate high-value uses of biological resources and cost-effective conservation gains for species of concern. We illustrate the strategy with a seabird example: levying fishers for their bycatch and using the funds to remove invasive mammals from breeding islands. Removal of invasive predators is 23 times more effective from a return-on-investment perspective (ie percent increase in population growth per dollar invested) in comparison to fisheries closures, and is more socio-politically feasible. A bycatch levy, which would increase with endangerment, provides an individual incentive for avoiding bycatch, the most effective mechanism for sustainable management of fisheries. Compensatory mitigation provides an opportunity to address a global concern, optimize conservation interventions, and forge an alliance between conservation and fisheries organizations.","author":[{"dropping-particle":"","family":"Wilcox","given":"Chris","non-dropping-particle":"","parse-names":false,"suffix":""},{"dropping-particle":"","family":"Donlan","given":"C. Josh","non-dropping-particle":"","parse-names":false,"suffix":""}],"container-title":"Frontiers in Ecology and the Environment","id":"ITEM-1","issue":"6","issued":{"date-parts":[["2007"]]},"page":"325-331","title":"Compensatory mitigation as a solution to fisheries bycatch-biodiversity conservation conflicts","type":"article-journal","volume":"5"},"uris":["http://www.mendeley.com/documents/?uuid=2576676e-2f75-458c-86ec-d694f948cdf7"]},{"id":"ITEM-2","itemData":{"DOI":"10.1007/s10530-007-9183-0","ISSN":"13873547","abstract":"The removal of invasive mammals from islands is one of society’s most powerful tools for preventing extinctions and restoring ecosystems. Given the demonstrable high conservation impact and return on investment of eradications, new networks are needed to fully leverage invasive mammal eradications programs for biodiversity con- servation at-large. There have been over 800 invasive mammal eradications from islands, and emerging innovations in technology and techniques suggest that island area will soon no longer be the limiting factor for removing invasive mammals from islands. Rather, securing the necessary social and economic capital will be one main challenge as practitioners target larger and more biologically complex islands. With a new alliance between conservation practitioners and the fisheries sector, biodiversity offsets may be a promising source of capital. A suite of incentives exists for fisheries, NGOs, and governments to embrace a framework that includes fishery bycatch C. J. Donlan (&amp;) Advanced Conservation Strategies, P.O. Box 8254, Santa Cruz, CA, USA e-mail: jdonlan@advancedconservation.org C. J. Donlan Department of Ecology and Evolutionary Biology, Cornell University, Corson Hall, Ithaca, NY 14853, USA C. Wilcox CSIRO Marine and Atmospheric Research, Hobart 7001, TAS, Australia offsets for seabirds and sea turtles. A bycatch management framework based on the hierarchy of ‘‘avoid, minimize, and offset’’ from the Convention on Biological Diversity would result in cost-effective conservation gains for many threatened seabirds and sea turtles affected by fisheries. Those involved with island conservation and fisheries management are presented with unprecedented opportunities and challenges to operationalize a scheme that will allow for the verifiable offset of fisheries impacts to seabirds and sea turtles, which would likely result in unparalleled marine conservation gains and novel cross-sector alliances. Keywords","author":[{"dropping-particle":"","family":"Donlan","given":"C. Josh","non-dropping-particle":"","parse-names":false,"suffix":""},{"dropping-particle":"","family":"Wilcox","given":"Chris","non-dropping-particle":"","parse-names":false,"suffix":""}],"container-title":"Biological Invasions","id":"ITEM-2","issue":"7","issued":{"date-parts":[["2008"]]},"page":"1053-1060","title":"Integrating invasive mammal eradications and biodiversity offsets for fisheries bycatch: Conservation opportunities and challenges for seabirds and sea turtles","type":"article-journal","volume":"10"},"uris":["http://www.mendeley.com/documents/?uuid=03dcc0f6-ad64-47f0-ada4-e1919a698d54"]},{"id":"ITEM-3","itemData":{"DOI":"10.1371/journal.pone.0025762","ISSN":"19326203","abstract":"The concept of biodiversity offsets is well established as an approach to environmental management. The concept has been suggested for environmental management in fisheries, particularly in relation to the substantial numbers of non-target species-seabirds in particular-caught and killed as incidental bycatch during fishing activities. Substantial areas of fisheries are being closed to protect these species at great cost to the fishing industry. However, other actions may be taken to offset the impact of fishing on these populations at lower cost to the fishing industry. This idea, however, has attracted severe criticism largely as it does not address the underlying externality problems created by the fishing sector, namely seabird fishing mortality. In this paper, we re-examine the potential role of compensatory mitigation as a fisheries management tool, although from the perspective of being an interim management measure while more long-lasting solutions to the problem are found. We re-model an example previously examined by both proponents and opponents of the approach, namely the cost effectiveness of rodent control relative to fishery area closures for the conservation of a seabird population adversely affected by an Australian tuna fishery. We find that, in the example being examined, invasive rodent eradication is at least 10 times more cost effective than area closures. We conclude that, while this does not solve the actual bycatch problem, it may provide breathing space for both the seabird species and the industry to find longer term means of reducing bycatch. © 2011 Pascoe et al.","author":[{"dropping-particle":"","family":"Pascoe","given":"Sean","non-dropping-particle":"","parse-names":false,"suffix":""},{"dropping-particle":"","family":"Wilcox","given":"Chris","non-dropping-particle":"","parse-names":false,"suffix":""},{"dropping-particle":"","family":"Donlan","given":"C. Josh","non-dropping-particle":"","parse-names":false,"suffix":""}],"container-title":"PLoS ONE","id":"ITEM-3","issue":"10","issued":{"date-parts":[["2011"]]},"title":"Biodiversity offsets: A cost-effective interim solution to seabird bycatch in fisheries?","type":"article-journal","volume":"6"},"uris":["http://www.mendeley.com/documents/?uuid=11f58a82-e7a1-4b0d-b657-46c0da1a9424"]}],"mendeley":{"formattedCitation":"(Wilcox and Donlan 2007, Donlan and Wilcox 2008, Pascoe et al. 2011)","plainTextFormattedCitation":"(Wilcox and Donlan 2007, Donlan and Wilcox 2008, Pascoe et al. 2011)","previouslyFormattedCitation":"(Donlan &amp; Wilcox, 2008; Pascoe, Wilcox, &amp; Donlan, 2011; Wilcox &amp; Donlan, 2007)"},"properties":{"noteIndex":0},"schema":"https://github.com/citation-style-language/schema/raw/master/csl-citation.json"}</w:instrText>
      </w:r>
      <w:r w:rsidR="00FC4352"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(Wilcox and Donlan 2007, Donlan and Wilcox 2008, Pascoe et al. 2011)</w:t>
      </w:r>
      <w:r w:rsidR="00FC4352" w:rsidRPr="006159FD">
        <w:rPr>
          <w:rFonts w:ascii="Times New Roman" w:eastAsia="Times New Roman" w:hAnsi="Times New Roman" w:cs="Times New Roman"/>
          <w:color w:val="000000" w:themeColor="text1"/>
        </w:rPr>
        <w:fldChar w:fldCharType="end"/>
      </w:r>
      <w:r w:rsidR="00FC4352" w:rsidRPr="006159FD">
        <w:rPr>
          <w:rFonts w:ascii="Times New Roman" w:hAnsi="Times New Roman" w:cs="Times New Roman"/>
          <w:color w:val="000000" w:themeColor="text1"/>
        </w:rPr>
        <w:t>. Island must:</w:t>
      </w:r>
    </w:p>
    <w:p w14:paraId="0F9365DE" w14:textId="7568A5AA" w:rsidR="002104B2" w:rsidRPr="006159FD" w:rsidRDefault="002104B2" w:rsidP="002104B2">
      <w:pPr>
        <w:numPr>
          <w:ilvl w:val="1"/>
          <w:numId w:val="12"/>
        </w:numPr>
        <w:rPr>
          <w:rFonts w:ascii="Times New Roman" w:hAnsi="Times New Roman" w:cs="Times New Roman"/>
          <w:color w:val="000000" w:themeColor="text1"/>
        </w:rPr>
      </w:pPr>
      <w:r w:rsidRPr="006159FD">
        <w:rPr>
          <w:rFonts w:ascii="Times New Roman" w:hAnsi="Times New Roman" w:cs="Times New Roman"/>
          <w:color w:val="000000" w:themeColor="text1"/>
        </w:rPr>
        <w:t xml:space="preserve">Contain breeding seabirds documented as fisheries bycatch (e.g. albatross or petrels) </w:t>
      </w:r>
      <w:r w:rsidRPr="006159FD">
        <w:rPr>
          <w:rFonts w:ascii="Times New Roman" w:hAnsi="Times New Roman" w:cs="Times New Roman"/>
          <w:color w:val="000000" w:themeColor="text1"/>
        </w:rPr>
        <w:fldChar w:fldCharType="begin" w:fldLock="1"/>
      </w:r>
      <w:r w:rsidR="00A6678D">
        <w:rPr>
          <w:rFonts w:ascii="Times New Roman" w:hAnsi="Times New Roman" w:cs="Times New Roman"/>
          <w:color w:val="000000" w:themeColor="text1"/>
        </w:rPr>
        <w:instrText>ADDIN CSL_CITATION {"citationItems":[{"id":"ITEM-1","itemData":{"author":[{"dropping-particle":"","family":"BirdLife International","given":"","non-dropping-particle":"","parse-names":false,"suffix":""}],"id":"ITEM-1","issued":{"date-parts":[["2019"]]},"title":"Unintentional effects of fishing &amp; harvesting aquatic resources.","type":"webpage"},"uris":["http://www.mendeley.com/documents/?uuid=0da16963-56eb-4ff3-9205-d86b4971cda6"]},{"id":"ITEM-2","itemData":{"URL":"http://tib.islandconservation.org/","accessed":{"date-parts":[["2017","1","17"]]},"author":[{"dropping-particle":"","family":"Threatened Island Biodiversity Database Partners","given":"","non-dropping-particle":"","parse-names":false,"suffix":""}],"id":"ITEM-2","issued":{"date-parts":[["2019"]]},"title":"The Threatened Island Biodiversity Database","type":"webpage"},"uris":["http://www.mendeley.com/documents/?uuid=8ff4bc5d-79cf-40cd-9ca0-83a9f60c1f4e"]}],"mendeley":{"formattedCitation":"(BirdLife International 2019, Threatened Island Biodiversity Database Partners 2019)","plainTextFormattedCitation":"(BirdLife International 2019, Threatened Island Biodiversity Database Partners 2019)","previouslyFormattedCitation":"(BirdLife International, 2019; Threatened Island Biodiversity Database Partners, 2019)"},"properties":{"noteIndex":0},"schema":"https://github.com/citation-style-language/schema/raw/master/csl-citation.json"}</w:instrText>
      </w:r>
      <w:r w:rsidRPr="006159FD">
        <w:rPr>
          <w:rFonts w:ascii="Times New Roman" w:hAnsi="Times New Roman" w:cs="Times New Roman"/>
          <w:color w:val="000000" w:themeColor="text1"/>
        </w:rPr>
        <w:fldChar w:fldCharType="separate"/>
      </w:r>
      <w:r w:rsidR="00A6678D" w:rsidRPr="00A6678D">
        <w:rPr>
          <w:rFonts w:ascii="Times New Roman" w:hAnsi="Times New Roman" w:cs="Times New Roman"/>
          <w:noProof/>
          <w:color w:val="000000" w:themeColor="text1"/>
        </w:rPr>
        <w:t>(BirdLife International 2019, Threatened Island Biodiversity Database Partners 2019)</w:t>
      </w:r>
      <w:r w:rsidRPr="006159FD">
        <w:rPr>
          <w:rFonts w:ascii="Times New Roman" w:hAnsi="Times New Roman" w:cs="Times New Roman"/>
          <w:color w:val="000000" w:themeColor="text1"/>
        </w:rPr>
        <w:fldChar w:fldCharType="end"/>
      </w:r>
      <w:r w:rsidRPr="006159FD">
        <w:rPr>
          <w:rFonts w:ascii="Times New Roman" w:hAnsi="Times New Roman" w:cs="Times New Roman"/>
          <w:color w:val="000000" w:themeColor="text1"/>
        </w:rPr>
        <w:t>.</w:t>
      </w:r>
    </w:p>
    <w:p w14:paraId="33AE42DA" w14:textId="09AE05DD" w:rsidR="00CE6664" w:rsidRPr="006159FD" w:rsidRDefault="002104B2" w:rsidP="00FC4352">
      <w:pPr>
        <w:numPr>
          <w:ilvl w:val="1"/>
          <w:numId w:val="12"/>
        </w:numPr>
        <w:rPr>
          <w:rFonts w:ascii="Times New Roman" w:hAnsi="Times New Roman" w:cs="Times New Roman"/>
          <w:color w:val="000000" w:themeColor="text1"/>
        </w:rPr>
      </w:pPr>
      <w:r w:rsidRPr="006159FD">
        <w:rPr>
          <w:rFonts w:ascii="Times New Roman" w:hAnsi="Times New Roman" w:cs="Times New Roman"/>
          <w:color w:val="000000" w:themeColor="text1"/>
        </w:rPr>
        <w:t xml:space="preserve">Invasive vertebrate must be carnivore (dog, cat, mongoose) rodent or pig that impacts seabird populations on islands </w:t>
      </w:r>
      <w:r w:rsidRPr="006159FD">
        <w:rPr>
          <w:rFonts w:ascii="Times New Roman" w:hAnsi="Times New Roman" w:cs="Times New Roman"/>
          <w:color w:val="000000" w:themeColor="text1"/>
        </w:rPr>
        <w:fldChar w:fldCharType="begin" w:fldLock="1"/>
      </w:r>
      <w:r w:rsidR="00A6678D">
        <w:rPr>
          <w:rFonts w:ascii="Times New Roman" w:hAnsi="Times New Roman" w:cs="Times New Roman"/>
          <w:color w:val="000000" w:themeColor="text1"/>
        </w:rPr>
        <w:instrText>ADDIN CSL_CITATION {"citationItems":[{"id":"ITEM-1","itemData":{"author":[{"dropping-particle":"","family":"BirdLife International","given":"","non-dropping-particle":"","parse-names":false,"suffix":""}],"id":"ITEM-1","issued":{"date-parts":[["2019"]]},"title":"Unintentional effects of fishing &amp; harvesting aquatic resources.","type":"webpage"},"uris":["http://www.mendeley.com/documents/?uuid=0da16963-56eb-4ff3-9205-d86b4971cda6"]}],"mendeley":{"formattedCitation":"(BirdLife International 2019)","plainTextFormattedCitation":"(BirdLife International 2019)","previouslyFormattedCitation":"(BirdLife International, 2019)"},"properties":{"noteIndex":0},"schema":"https://github.com/citation-style-language/schema/raw/master/csl-citation.json"}</w:instrText>
      </w:r>
      <w:r w:rsidRPr="006159FD">
        <w:rPr>
          <w:rFonts w:ascii="Times New Roman" w:hAnsi="Times New Roman" w:cs="Times New Roman"/>
          <w:color w:val="000000" w:themeColor="text1"/>
        </w:rPr>
        <w:fldChar w:fldCharType="separate"/>
      </w:r>
      <w:r w:rsidR="00A6678D" w:rsidRPr="00A6678D">
        <w:rPr>
          <w:rFonts w:ascii="Times New Roman" w:hAnsi="Times New Roman" w:cs="Times New Roman"/>
          <w:noProof/>
          <w:color w:val="000000" w:themeColor="text1"/>
        </w:rPr>
        <w:t>(BirdLife International 2019)</w:t>
      </w:r>
      <w:r w:rsidRPr="006159FD">
        <w:rPr>
          <w:rFonts w:ascii="Times New Roman" w:hAnsi="Times New Roman" w:cs="Times New Roman"/>
          <w:color w:val="000000" w:themeColor="text1"/>
        </w:rPr>
        <w:fldChar w:fldCharType="end"/>
      </w:r>
      <w:r w:rsidRPr="006159FD">
        <w:rPr>
          <w:rFonts w:ascii="Times New Roman" w:hAnsi="Times New Roman" w:cs="Times New Roman"/>
          <w:color w:val="000000" w:themeColor="text1"/>
        </w:rPr>
        <w:t>.</w:t>
      </w:r>
    </w:p>
    <w:p w14:paraId="2F405CD0" w14:textId="6C45919D" w:rsidR="00FC4352" w:rsidRPr="006159FD" w:rsidRDefault="00FC4352" w:rsidP="00FC4352">
      <w:pPr>
        <w:numPr>
          <w:ilvl w:val="0"/>
          <w:numId w:val="12"/>
        </w:numPr>
        <w:rPr>
          <w:rFonts w:ascii="Times New Roman" w:hAnsi="Times New Roman" w:cs="Times New Roman"/>
          <w:color w:val="000000" w:themeColor="text1"/>
        </w:rPr>
      </w:pPr>
      <w:r w:rsidRPr="006159FD">
        <w:rPr>
          <w:rFonts w:ascii="Times New Roman" w:hAnsi="Times New Roman" w:cs="Times New Roman"/>
          <w:color w:val="000000" w:themeColor="text1"/>
        </w:rPr>
        <w:t>We assumed all invasive species eradications can facilitate</w:t>
      </w:r>
      <w:r w:rsidR="00F06179" w:rsidRPr="006159FD">
        <w:rPr>
          <w:rFonts w:ascii="Times New Roman" w:hAnsi="Times New Roman" w:cs="Times New Roman"/>
          <w:color w:val="000000" w:themeColor="text1"/>
        </w:rPr>
        <w:t xml:space="preserve"> or induce</w:t>
      </w:r>
      <w:r w:rsidRPr="006159FD">
        <w:rPr>
          <w:rFonts w:ascii="Times New Roman" w:hAnsi="Times New Roman" w:cs="Times New Roman"/>
          <w:color w:val="000000" w:themeColor="text1"/>
        </w:rPr>
        <w:t xml:space="preserve"> the creation of innovative technologies for safe and</w:t>
      </w:r>
      <w:r w:rsidR="00765484" w:rsidRPr="006159FD">
        <w:rPr>
          <w:rFonts w:ascii="Times New Roman" w:hAnsi="Times New Roman" w:cs="Times New Roman"/>
          <w:color w:val="000000" w:themeColor="text1"/>
        </w:rPr>
        <w:t xml:space="preserve"> effective</w:t>
      </w:r>
      <w:r w:rsidRPr="006159FD">
        <w:rPr>
          <w:rFonts w:ascii="Times New Roman" w:hAnsi="Times New Roman" w:cs="Times New Roman"/>
          <w:color w:val="000000" w:themeColor="text1"/>
        </w:rPr>
        <w:t xml:space="preserve"> control of invasive vertebrates </w:t>
      </w:r>
      <w:r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{"citationItems":[{"id":"ITEM-1","itemData":{"DOI":"10.1002/ps.3627","ISSN":"1526498X","abstract":"BACKGROUND: Invasive mammalian pests have inflicted substantial environmental and economic damage on a worldwide scale. RESULTS: Over the last 30 years there has been minimal innovation in the development of new control tools. The development of new vertebrate pesticides, for example, has been largely restricted due to the costly and time-consuming processes associated with testing and registration. CONCLUSION: In this article we discuss recent progress and trends in a number of areas of research aimed to achieve long-term population suppression or eradication of mammalian pest species. The examples discussed here are emerging from research being conducted in New Zealand, where invasive mammalian pests are one of the greatest threats facing the national environment and economy. © 2013 Society of Chemical Industry.","author":[{"dropping-particle":"","family":"Blackie","given":"Helen M.","non-dropping-particle":"","parse-names":false,"suffix":""},{"dropping-particle":"","family":"Mackay","given":"Jamie W.B.","non-dropping-particle":"","parse-names":false,"suffix":""},{"dropping-particle":"","family":"Allen","given":"Will J.","non-dropping-particle":"","parse-names":false,"suffix":""},{"dropping-particle":"","family":"Smith","given":"Des H.V.","non-dropping-particle":"","parse-names":false,"suffix":""},{"dropping-particle":"","family":"Barrett","given":"Brent","non-dropping-particle":"","parse-names":false,"suffix":""},{"dropping-particle":"","family":"Whyte","given":"Belinda I.","non-dropping-particle":"","parse-names":false,"suffix":""},{"dropping-particle":"","family":"Murphy","given":"Elaine C.","non-dropping-particle":"","parse-names":false,"suffix":""},{"dropping-particle":"","family":"Ross","given":"James","non-dropping-particle":"","parse-names":false,"suffix":""},{"dropping-particle":"","family":"Shapiro","given":"Lee","non-dropping-particle":"","parse-names":false,"suffix":""},{"dropping-particle":"","family":"Ogilvie","given":"Shaun","non-dropping-particle":"","parse-names":false,"suffix":""},{"dropping-particle":"","family":"Sam","given":"Shona","non-dropping-particle":"","parse-names":false,"suffix":""},{"dropping-particle":"","family":"Macmorran","given":"Duncan","non-dropping-particle":"","parse-names":false,"suffix":""},{"dropping-particle":"","family":"Inder","given":"Shane","non-dropping-particle":"","parse-names":false,"suffix":""},{"dropping-particle":"","family":"Eason","given":"Charles T.","non-dropping-particle":"","parse-names":false,"suffix":""}],"container-title":"Pest Management Science","id":"ITEM-1","issue":"3","issued":{"date-parts":[["2014"]]},"page":"345-351","title":"Innovative developments for long-term mammalian pest control","type":"article-journal","volume":"70"},"uris":["http://www.mendeley.com/documents/?uuid=1f348715-8783-4997-9720-b9491ac170bc"]},{"id":"ITEM-2","itemData":{"DOI":"10.1016/j.reval.2008.12.002","abstract":"Invasive species early detection and rapid response (EDRR) actions could integrate technologies, innovation, and other outside expertise into invasive species management. From early detection by forecasting the next invasion and improved surveillance through automation, to tools to improve rapid response, the next generation of management tools for a national EDRR program could integrate advances in technologies including the small size and ubiquity of sensors, satellites, drones, and bundles of sensors (like smartphones); advances in synthetic, molecular, and micro-biology; improved algorithms for artificial intelligence, machine vision and machine learning; and open innovation and citizen science. This paper reviews current and emerging technologies that the federal government and resource managers could utilize as part of a national EDRR program, and makes a number of recommendations for integrating technological solutions and innovation into the overall Federal Government response.","author":[{"dropping-particle":"","family":"Martinez","given":"Barbara","non-dropping-particle":"","parse-names":false,"suffix":""},{"dropping-particle":"","family":"Dehgan","given":"Alex","non-dropping-particle":"","parse-names":false,"suffix":""},{"dropping-particle":"","family":"Zamft","given":"Brad","non-dropping-particle":"","parse-names":false,"suffix":""},{"dropping-particle":"","family":"Baisch","given":"David","non-dropping-particle":"","parse-names":false,"suffix":""},{"dropping-particle":"","family":"McCormick","given":"Colin","non-dropping-particle":"","parse-names":false,"suffix":""},{"dropping-particle":"","family":"Giordano","given":"Anthony J","non-dropping-particle":"","parse-names":false,"suffix":""},{"dropping-particle":"","family":"Aicher","given":"Rebecca","non-dropping-particle":"","parse-names":false,"suffix":""},{"dropping-particle":"","family":"Selbe","given":"Shah","non-dropping-particle":"","parse-names":false,"suffix":""},{"dropping-particle":"","family":"Hoffman","given":"Cassie","non-dropping-particle":"","parse-names":false,"suffix":""}],"container-title":"National Invasive Species Council Secretariat: Washington, D.C.","id":"ITEM-2","issued":{"date-parts":[["2018"]]},"page":"1-43","title":"Advancing federal capacities for the early detection of and rapid response to invasive species through technology innovation","type":"article-journal"},"uris":["http://www.mendeley.com/documents/?uuid=54b7f38b-a2f0-4496-b038-02384d51960d"]},{"id":"ITEM-3","itemData":{"abstract":"Problems associated with managing vertebrate invasive species, defined as any exotic or native species that has spread beyond its natural range, are remarkably common around the world. Although the species may differ, the niches they fill and the damage they generally cause is often consistent. As such, a possibility exists for greater collaboration and harmonisation in developing new tools to manage the impacts of invasive species. Moreover, the considerable expense of developing new products, the often onerous registration process, and the lack of return on investment leading to market failure has meant that progress within the field of invasive animal management product development can sometimes be stifled. This paper details a potential way forward using specific examples of ways the Invasive Animals Cooperative Research Centre (IACRC), Pestat P/L, and other IACRC commercial partners aim to provide overseas organisations with humane non-lethal and lethal wildlife management tools. Conversely, we detail overseas-developed products currently being tested in Australia, and a proposal to keep abreast of new developments in other countries to ensure invasive species management within Australasia remains of the highest level. This can only be achieved through truly collaborative research and the global harmonisation of registration packages, so product development costs can be minimised and the necessary scales of production can be attained.","author":[{"dropping-particle":"","family":"Lapidge","given":"Steven","non-dropping-particle":"","parse-names":false,"suffix":""},{"dropping-particle":"","family":"Humphrys","given":"Simon","non-dropping-particle":"","parse-names":false,"suffix":""},{"dropping-particle":"","family":"Dall","given":"David","non-dropping-particle":"","parse-names":false,"suffix":""}],"container-title":"Managing vertebrate invasive species","editor":[{"dropping-particle":"","family":"Witmer","given":"G. W.","non-dropping-particle":"","parse-names":false,"suffix":""},{"dropping-particle":"","family":"Pitt","given":"W. C.","non-dropping-particle":"","parse-names":false,"suffix":""},{"dropping-particle":"","family":"Fagerstone","given":"K. A.","non-dropping-particle":"","parse-names":false,"suffix":""}],"id":"ITEM-3","issue":"22","issued":{"date-parts":[["2004"]]},"publisher-place":"Fort Collins, CO, USA","title":"Global harmonisation in the field of invasive species management product development","type":"chapter"},"uris":["http://www.mendeley.com/documents/?uuid=6562673b-6abd-4375-909b-dea4408e4d44"]},{"id":"ITEM-4","itemData":{"DOI":"10.1016/j.biocon.2014.10.016","ISSN":"00063207","abstract":"Rodents remain one of the most widespread and damaging invasive alien species on islands globally. The current toolbox for insular rodent eradications is reliant on the application of sufficient anticoagulant toxicant into every potential rodent territory across an island. Despite significant advances in the use of these toxicants over recent decades, numerous situations remain where eradication is challenging or not yet feasible. These include islands with significant human populations, unreceptive stakeholder communities, co-occurrence of livestock and domestic animals, or vulnerability of native species. Developments in diverse branches of science, particularly the medical, pharmaceutical, invertebrate pest control, social science, technology and defense fields offer potential insights into the next generation of tools to eradicate rodents from islands. Horizon scanning is a structured process whereby current problems are assessed against potential future solutions. We undertook such an exercise to identify the most promising technologies, techniques and approaches that might be applied to rodent eradications from islands. We highlight a Rattus-specific toxicant, RNA interference as species-specific toxicants, rodenticide research, crab deterrent in baits, prophylactic treatment for protection of non-target species, transgenic rodents, virus vectored immunocontraception, drones, self-resetting traps and toxicant applicators, detection probability models and improved stakeholder community engagement methods. We present a brief description of each method, and discuss its application to rodent eradication on islands, knowledge gaps, challenges, whether it is incremental or transformative in nature and provide a potential timeline for availability. We outline how a combination of new tools may render previously intractable rodent eradication problems feasible.","author":[{"dropping-particle":"","family":"Campbell","given":"Karl J.","non-dropping-particle":"","parse-names":false,"suffix":""},{"dropping-particle":"","family":"Beek","given":"Joe","non-dropping-particle":"","parse-names":false,"suffix":""},{"dropping-particle":"","family":"Eason","given":"Charles T.","non-dropping-particle":"","parse-names":false,"suffix":""},{"dropping-particle":"","family":"Glen","given":"Alistair S.","non-dropping-particle":"","parse-names":false,"suffix":""},{"dropping-particle":"","family":"Godwin","given":"John","non-dropping-particle":"","parse-names":false,"suffix":""},{"dropping-particle":"","family":"Gould","given":"Fred","non-dropping-particle":"","parse-names":false,"suffix":""},{"dropping-particle":"","family":"Holmes","given":"Nick D.","non-dropping-particle":"","parse-names":false,"suffix":""},{"dropping-particle":"","family":"Howald","given":"Gregg R.","non-dropping-particle":"","parse-names":false,"suffix":""},{"dropping-particle":"","family":"Madden","given":"Francine M.","non-dropping-particle":"","parse-names":false,"suffix":""},{"dropping-particle":"","family":"Ponder","given":"Julia B.","non-dropping-particle":"","parse-names":false,"suffix":""},{"dropping-particle":"","family":"Threadgill","given":"David W.","non-dropping-particle":"","parse-names":false,"suffix":""},{"dropping-particle":"","family":"Wegmann","given":"Alexander S.","non-dropping-particle":"","parse-names":false,"suffix":""},{"dropping-particle":"","family":"Baxter","given":"Greg S.","non-dropping-particle":"","parse-names":false,"suffix":""}],"container-title":"Biological Conservation","id":"ITEM-4","issued":{"date-parts":[["2015"]]},"page":"47-58","publisher":"Elsevier Ltd","title":"The next generation of rodent eradications: Innovative technologies and tools to improve species specificity and increase their feasibility on islands","type":"article-journal","volume":"185"},"uris":["http://www.mendeley.com/documents/?uuid=41933a33-3078-4451-9202-81c6c15f0750"]},{"id":"ITEM-5","itemData":{"ISBN":"9781921777134","author":[{"dropping-particle":"","family":"Saunders","given":"G","non-dropping-particle":"","parse-names":false,"suffix":""},{"dropping-particle":"","family":"Lane","given":"C (eds)","non-dropping-particle":"","parse-names":false,"suffix":""}],"container-title":"Security from the impact of vertebrate pest animals","id":"ITEM-5","issued":{"date-parts":[["2011"]]},"title":"15th Australasian Vertebrate Pest Conference Sydney, June 2011","type":"paper-conference"},"uris":["http://www.mendeley.com/documents/?uuid=44b45eac-5f32-4d9b-ac81-f672a02e9fae"]},{"id":"ITEM-6","itemData":{"DOI":"10.7882/fs.2007.013","author":[{"dropping-particle":"","family":"Saunders","given":"Glen","non-dropping-particle":"","parse-names":false,"suffix":""},{"dropping-particle":"","family":"Lapidge","given":"Steve","non-dropping-particle":"","parse-names":false,"suffix":""},{"dropping-particle":"","family":"Fulton","given":"Wayne","non-dropping-particle":"","parse-names":false,"suffix":""},{"dropping-particle":"","family":"Murphy","given":"Elaine","non-dropping-particle":"","parse-names":false,"suffix":""},{"dropping-particle":"","family":"Sarre","given":"Stephen","non-dropping-particle":"","parse-names":false,"suffix":""},{"dropping-particle":"","family":"Buller","given":"Chris","non-dropping-particle":"","parse-names":false,"suffix":""},{"dropping-particle":"","family":"Peacock","given":"Tony","non-dropping-particle":"","parse-names":false,"suffix":""}],"container-title":"Pest or Guest","id":"ITEM-6","issue":"January","issued":{"date-parts":[["2007"]]},"page":"88-93","title":"The Invasive Animals CRC: a New Research Initiative for Managing some old Problems","type":"article-journal"},"uris":["http://www.mendeley.com/documents/?uuid=83fc135d-b40d-4ddc-9878-d57fcbc742b9"]},{"id":"ITEM-7","itemData":{"DOI":"10.1016/j.biocon.2014.12.018","ISSN":"00063207","abstract":"Invasive rodents have an overwhelmingly detrimental impact to native flora and fauna on islands. Rodent eradications from islands have led to valuable biodiversity conservation outcomes. Tropical islands present an additional suite of challenges for rat eradications due to unique characteristics associated with these environments. To date tropical island rat eradications have failed at a higher rate than those undertaken outside the tropics. Critical knowledge gaps exist in our understanding of what drives this outcome. We collated an in-depth dataset of 216 rodenticide based rat eradication operations (33% of all known rodent eradications) in order to determine correlates of eradication failure, including both project implementation factors and target island ecology, geography and climate. We assessed both failed and successful projects, and projects inside and outside the tropics, using random forests, a statistical approach which compensates for high dimensionality within, and correlation among, predictor variables. When assessing all projects, increasing mean annual temperature, particularly above 24. °C, underscored the higher failure rate and greater difficulty of rodent eradications on islands in lower latitudes. We also found clear trends in eradication failure for factors unique to the tropics, including the presence of land crabs - burrowing and hermit crabs, and coconut palms (. Cocos nucifera). The presence of agriculture was also associated with failure. Aerial operations had a higher success rate than ground-based methods but success with this technique was less likely in the presence of hermit crabs and other non-target bait consumers. Factors associated with failure in ground-based eradication methods suggested limitations to project scaling such as island area and number of staff. Bait station operations were less likely to succeed when using stopping rules based on measures of rodent abundance. Factors influencing rat eradication failure in tropical environments continue to require a deeper understanding of tropical island dynamics to achieve a higher rate of eradication success.","author":[{"dropping-particle":"","family":"Holmes","given":"Nick D.","non-dropping-particle":"","parse-names":false,"suffix":""},{"dropping-particle":"","family":"Griffiths","given":"Richard","non-dropping-particle":"","parse-names":false,"suffix":""},{"dropping-particle":"","family":"Pott","given":"Madeleine","non-dropping-particle":"","parse-names":false,"suffix":""},{"dropping-particle":"","family":"Alifano","given":"Aurora","non-dropping-particle":"","parse-names":false,"suffix":""},{"dropping-particle":"","family":"Will","given":"David","non-dropping-particle":"","parse-names":false,"suffix":""},{"dropping-particle":"","family":"Wegmann","given":"Alexander S.","non-dropping-particle":"","parse-names":false,"suffix":""},{"dropping-particle":"","family":"Russell","given":"James C.","non-dropping-particle":"","parse-names":false,"suffix":""}],"container-title":"Biological Conservation","id":"ITEM-7","issued":{"date-parts":[["2015"]]},"page":"8-16","publisher":"Elsevier Ltd","title":"Factors associated with rodent eradication failure","type":"article-journal","volume":"185"},"uris":["http://www.mendeley.com/documents/?uuid=ed4bd148-e318-478b-b707-7d29d8d52abc"]}],"mendeley":{"formattedCitation":"(Lapidge et al. 2004, Saunders et al. 2007, Saunders and Lane 2011, Blackie et al. 2014, Campbell et al. 2015, Holmes et al. 2015, Martinez et al. 2018)","plainTextFormattedCitation":"(Lapidge et al. 2004, Saunders et al. 2007, Saunders and Lane 2011, Blackie et al. 2014, Campbell et al. 2015, Holmes et al. 2015, Martinez et al. 2018)","previouslyFormattedCitation":"(Blackie et al., 2014; Campbell et al., 2015; Holmes et al., 2015; Lapidge, Humphrys, &amp; Dall, 2004; Martinez et al., 2018; G Saunders &amp; Lane, 2011; Glen Saunders et al., 2007)"},"properties":{"noteIndex":0},"schema":"https://github.com/citation-style-language/schema/raw/master/csl-citation.json"}</w:instrText>
      </w:r>
      <w:r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(Lapidge et al. 2004, Saunders et al. 2007, Saunders and Lane 2011, Blackie et al. 2014, Campbell et al. 2015, Holmes et al. 2015, Martinez et al. 2018)</w:t>
      </w:r>
      <w:r w:rsidRPr="006159FD">
        <w:rPr>
          <w:rFonts w:ascii="Times New Roman" w:eastAsia="Times New Roman" w:hAnsi="Times New Roman" w:cs="Times New Roman"/>
          <w:color w:val="000000" w:themeColor="text1"/>
        </w:rPr>
        <w:fldChar w:fldCharType="end"/>
      </w:r>
      <w:r w:rsidRPr="006159FD">
        <w:rPr>
          <w:rFonts w:ascii="Times New Roman" w:hAnsi="Times New Roman" w:cs="Times New Roman"/>
          <w:color w:val="000000" w:themeColor="text1"/>
        </w:rPr>
        <w:t>.</w:t>
      </w:r>
    </w:p>
    <w:p w14:paraId="32B966C6" w14:textId="77777777" w:rsidR="00CE6664" w:rsidRPr="006159FD" w:rsidRDefault="00CE6664" w:rsidP="00D60055">
      <w:pPr>
        <w:rPr>
          <w:rFonts w:ascii="Times New Roman" w:hAnsi="Times New Roman" w:cs="Times New Roman"/>
          <w:color w:val="000000" w:themeColor="text1"/>
        </w:rPr>
      </w:pPr>
    </w:p>
    <w:p w14:paraId="150097D9" w14:textId="77777777" w:rsidR="00CE6664" w:rsidRPr="006159FD" w:rsidRDefault="00CE6664" w:rsidP="00D60055">
      <w:pPr>
        <w:rPr>
          <w:rFonts w:ascii="Times New Roman" w:hAnsi="Times New Roman" w:cs="Times New Roman"/>
          <w:color w:val="000000" w:themeColor="text1"/>
        </w:rPr>
      </w:pPr>
    </w:p>
    <w:p w14:paraId="4842FE4D" w14:textId="77777777" w:rsidR="00CE6664" w:rsidRPr="006159FD" w:rsidRDefault="00CE6664" w:rsidP="00D60055">
      <w:pPr>
        <w:rPr>
          <w:rFonts w:ascii="Times New Roman" w:hAnsi="Times New Roman" w:cs="Times New Roman"/>
          <w:color w:val="000000" w:themeColor="text1"/>
        </w:rPr>
      </w:pPr>
    </w:p>
    <w:p w14:paraId="44BFAEE9" w14:textId="77777777" w:rsidR="00CE6664" w:rsidRPr="006159FD" w:rsidRDefault="00CE6664" w:rsidP="00D60055">
      <w:pPr>
        <w:rPr>
          <w:rFonts w:ascii="Times New Roman" w:hAnsi="Times New Roman" w:cs="Times New Roman"/>
          <w:color w:val="000000" w:themeColor="text1"/>
        </w:rPr>
      </w:pPr>
    </w:p>
    <w:p w14:paraId="1C57F719" w14:textId="77777777" w:rsidR="00CE6664" w:rsidRPr="006159FD" w:rsidRDefault="00CE6664" w:rsidP="00D60055">
      <w:pPr>
        <w:rPr>
          <w:rFonts w:ascii="Times New Roman" w:hAnsi="Times New Roman" w:cs="Times New Roman"/>
          <w:color w:val="000000" w:themeColor="text1"/>
        </w:rPr>
      </w:pPr>
    </w:p>
    <w:p w14:paraId="5F3C788C" w14:textId="6C5ED6ED" w:rsidR="00CE6664" w:rsidRPr="006159FD" w:rsidRDefault="003E6800" w:rsidP="00D60055">
      <w:pPr>
        <w:rPr>
          <w:rFonts w:ascii="Times New Roman" w:hAnsi="Times New Roman" w:cs="Times New Roman"/>
          <w:color w:val="000000" w:themeColor="text1"/>
        </w:rPr>
      </w:pPr>
      <w:r w:rsidRPr="006159FD">
        <w:rPr>
          <w:rFonts w:ascii="Times New Roman" w:hAnsi="Times New Roman" w:cs="Times New Roman"/>
          <w:noProof/>
          <w:color w:val="000000" w:themeColor="text1"/>
        </w:rPr>
        <w:lastRenderedPageBreak/>
        <w:drawing>
          <wp:inline distT="0" distB="0" distL="0" distR="0" wp14:anchorId="0D683484" wp14:editId="4E9576A8">
            <wp:extent cx="5943600" cy="3659505"/>
            <wp:effectExtent l="0" t="0" r="0" b="0"/>
            <wp:docPr id="34" name="Picture 34"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Screenshot 2019-11-28 12.05.29.png"/>
                    <pic:cNvPicPr/>
                  </pic:nvPicPr>
                  <pic:blipFill>
                    <a:blip r:embed="rId18">
                      <a:extLst>
                        <a:ext uri="{28A0092B-C50C-407E-A947-70E740481C1C}">
                          <a14:useLocalDpi xmlns:a14="http://schemas.microsoft.com/office/drawing/2010/main" val="0"/>
                        </a:ext>
                      </a:extLst>
                    </a:blip>
                    <a:stretch>
                      <a:fillRect/>
                    </a:stretch>
                  </pic:blipFill>
                  <pic:spPr>
                    <a:xfrm>
                      <a:off x="0" y="0"/>
                      <a:ext cx="5943600" cy="3659505"/>
                    </a:xfrm>
                    <a:prstGeom prst="rect">
                      <a:avLst/>
                    </a:prstGeom>
                  </pic:spPr>
                </pic:pic>
              </a:graphicData>
            </a:graphic>
          </wp:inline>
        </w:drawing>
      </w:r>
    </w:p>
    <w:p w14:paraId="7101496B" w14:textId="77777777" w:rsidR="00CE6664" w:rsidRPr="006159FD" w:rsidRDefault="00CE6664" w:rsidP="00D60055">
      <w:pPr>
        <w:rPr>
          <w:rFonts w:ascii="Times New Roman" w:hAnsi="Times New Roman" w:cs="Times New Roman"/>
          <w:color w:val="000000" w:themeColor="text1"/>
        </w:rPr>
      </w:pPr>
    </w:p>
    <w:p w14:paraId="39F2B319" w14:textId="028EAD05" w:rsidR="00D60055" w:rsidRPr="006159FD" w:rsidRDefault="00BC1DCD" w:rsidP="00D60055">
      <w:pPr>
        <w:rPr>
          <w:rFonts w:ascii="Times New Roman" w:hAnsi="Times New Roman" w:cs="Times New Roman"/>
          <w:color w:val="000000" w:themeColor="text1"/>
        </w:rPr>
      </w:pPr>
      <w:bookmarkStart w:id="7" w:name="_Toc25838863"/>
      <w:r w:rsidRPr="006159FD">
        <w:rPr>
          <w:rStyle w:val="Heading1Char"/>
          <w:rFonts w:ascii="Times New Roman" w:hAnsi="Times New Roman" w:cs="Times New Roman"/>
          <w:color w:val="000000" w:themeColor="text1"/>
          <w:sz w:val="24"/>
          <w:szCs w:val="24"/>
        </w:rPr>
        <w:t>Goal 11.</w:t>
      </w:r>
      <w:bookmarkEnd w:id="7"/>
      <w:r w:rsidRPr="006159FD">
        <w:rPr>
          <w:rFonts w:ascii="Times New Roman" w:hAnsi="Times New Roman" w:cs="Times New Roman"/>
          <w:color w:val="000000" w:themeColor="text1"/>
        </w:rPr>
        <w:t xml:space="preserve"> </w:t>
      </w:r>
      <w:r w:rsidR="00D60055" w:rsidRPr="006159FD">
        <w:rPr>
          <w:rFonts w:ascii="Times New Roman" w:hAnsi="Times New Roman" w:cs="Times New Roman"/>
          <w:color w:val="000000" w:themeColor="text1"/>
        </w:rPr>
        <w:t>Assumptions and inclusion criteria</w:t>
      </w:r>
    </w:p>
    <w:p w14:paraId="1B57B4D1" w14:textId="4E265746" w:rsidR="00315D47" w:rsidRPr="006159FD" w:rsidRDefault="00315D47" w:rsidP="005D01F0">
      <w:pPr>
        <w:pStyle w:val="ListParagraph"/>
        <w:numPr>
          <w:ilvl w:val="0"/>
          <w:numId w:val="9"/>
        </w:numPr>
        <w:rPr>
          <w:rFonts w:ascii="Times New Roman" w:hAnsi="Times New Roman" w:cs="Times New Roman"/>
          <w:color w:val="000000" w:themeColor="text1"/>
        </w:rPr>
      </w:pPr>
      <w:r w:rsidRPr="006159FD">
        <w:rPr>
          <w:rFonts w:ascii="Times New Roman" w:hAnsi="Times New Roman" w:cs="Times New Roman"/>
          <w:color w:val="000000" w:themeColor="text1"/>
        </w:rPr>
        <w:t xml:space="preserve">We used the UNESCO definition of Natural Heritage: </w:t>
      </w:r>
      <w:r w:rsidR="005D01F0" w:rsidRPr="006159FD">
        <w:rPr>
          <w:rFonts w:ascii="Times New Roman" w:hAnsi="Times New Roman" w:cs="Times New Roman"/>
          <w:color w:val="000000" w:themeColor="text1"/>
        </w:rPr>
        <w:t xml:space="preserve">A site must have values such as superlative natural phenomena; represent major states of earth’s history, demonstrate significant ecological and biological processes and contain important natural habitats </w:t>
      </w:r>
      <w:r w:rsidR="005D01F0" w:rsidRPr="006159FD">
        <w:rPr>
          <w:rFonts w:ascii="Times New Roman" w:hAnsi="Times New Roman" w:cs="Times New Roman"/>
          <w:color w:val="000000" w:themeColor="text1"/>
        </w:rPr>
        <w:fldChar w:fldCharType="begin" w:fldLock="1"/>
      </w:r>
      <w:r w:rsidR="00A6678D">
        <w:rPr>
          <w:rFonts w:ascii="Times New Roman" w:hAnsi="Times New Roman" w:cs="Times New Roman"/>
          <w:color w:val="000000" w:themeColor="text1"/>
        </w:rPr>
        <w:instrText>ADDIN CSL_CITATION {"citationItems":[{"id":"ITEM-1","itemData":{"author":[{"dropping-particle":"","family":"UNESCO","given":"","non-dropping-particle":"","parse-names":false,"suffix":""}],"container-title":"www.unesco.org","id":"ITEM-1","issued":{"date-parts":[["2019"]]},"title":"Natural Heritage","type":"webpage"},"uris":["http://www.mendeley.com/documents/?uuid=d14d9094-11f8-47aa-8ac1-16cd0e045fe2"]}],"mendeley":{"formattedCitation":"(UNESCO 2019)","plainTextFormattedCitation":"(UNESCO 2019)","previouslyFormattedCitation":"(UNESCO, 2019)"},"properties":{"noteIndex":0},"schema":"https://github.com/citation-style-language/schema/raw/master/csl-citation.json"}</w:instrText>
      </w:r>
      <w:r w:rsidR="005D01F0" w:rsidRPr="006159FD">
        <w:rPr>
          <w:rFonts w:ascii="Times New Roman" w:hAnsi="Times New Roman" w:cs="Times New Roman"/>
          <w:color w:val="000000" w:themeColor="text1"/>
        </w:rPr>
        <w:fldChar w:fldCharType="separate"/>
      </w:r>
      <w:r w:rsidR="00A6678D" w:rsidRPr="00A6678D">
        <w:rPr>
          <w:rFonts w:ascii="Times New Roman" w:hAnsi="Times New Roman" w:cs="Times New Roman"/>
          <w:noProof/>
          <w:color w:val="000000" w:themeColor="text1"/>
        </w:rPr>
        <w:t>(UNESCO 2019)</w:t>
      </w:r>
      <w:r w:rsidR="005D01F0" w:rsidRPr="006159FD">
        <w:rPr>
          <w:rFonts w:ascii="Times New Roman" w:hAnsi="Times New Roman" w:cs="Times New Roman"/>
          <w:color w:val="000000" w:themeColor="text1"/>
        </w:rPr>
        <w:fldChar w:fldCharType="end"/>
      </w:r>
      <w:r w:rsidR="005D01F0" w:rsidRPr="006159FD">
        <w:rPr>
          <w:rFonts w:ascii="Times New Roman" w:hAnsi="Times New Roman" w:cs="Times New Roman"/>
          <w:color w:val="000000" w:themeColor="text1"/>
        </w:rPr>
        <w:t xml:space="preserve">. </w:t>
      </w:r>
      <w:r w:rsidRPr="006159FD">
        <w:rPr>
          <w:rFonts w:ascii="Times New Roman" w:hAnsi="Times New Roman" w:cs="Times New Roman"/>
          <w:color w:val="000000" w:themeColor="text1"/>
        </w:rPr>
        <w:t>Invasive vertebrates have impacts on Natural Heritage sites if:</w:t>
      </w:r>
    </w:p>
    <w:p w14:paraId="5F19DA60" w14:textId="38662385" w:rsidR="005D01F0" w:rsidRPr="006159FD" w:rsidRDefault="00CE6664" w:rsidP="00315D47">
      <w:pPr>
        <w:pStyle w:val="ListParagraph"/>
        <w:numPr>
          <w:ilvl w:val="1"/>
          <w:numId w:val="9"/>
        </w:numPr>
        <w:rPr>
          <w:rFonts w:ascii="Times New Roman" w:hAnsi="Times New Roman" w:cs="Times New Roman"/>
          <w:color w:val="000000" w:themeColor="text1"/>
        </w:rPr>
      </w:pPr>
      <w:r w:rsidRPr="006159FD">
        <w:rPr>
          <w:rFonts w:ascii="Times New Roman" w:hAnsi="Times New Roman" w:cs="Times New Roman"/>
          <w:color w:val="000000" w:themeColor="text1"/>
        </w:rPr>
        <w:t>We assumed i</w:t>
      </w:r>
      <w:r w:rsidR="00315D47" w:rsidRPr="006159FD">
        <w:rPr>
          <w:rFonts w:ascii="Times New Roman" w:hAnsi="Times New Roman" w:cs="Times New Roman"/>
          <w:color w:val="000000" w:themeColor="text1"/>
        </w:rPr>
        <w:t>nvasive</w:t>
      </w:r>
      <w:r w:rsidR="00554B1B" w:rsidRPr="006159FD">
        <w:rPr>
          <w:rFonts w:ascii="Times New Roman" w:hAnsi="Times New Roman" w:cs="Times New Roman"/>
          <w:color w:val="000000" w:themeColor="text1"/>
        </w:rPr>
        <w:t xml:space="preserve"> </w:t>
      </w:r>
      <w:r w:rsidR="00765484" w:rsidRPr="006159FD">
        <w:rPr>
          <w:rFonts w:ascii="Times New Roman" w:hAnsi="Times New Roman" w:cs="Times New Roman"/>
          <w:color w:val="000000" w:themeColor="text1"/>
        </w:rPr>
        <w:t xml:space="preserve"> </w:t>
      </w:r>
      <w:r w:rsidR="005D01F0" w:rsidRPr="006159FD">
        <w:rPr>
          <w:rFonts w:ascii="Times New Roman" w:hAnsi="Times New Roman" w:cs="Times New Roman"/>
          <w:color w:val="000000" w:themeColor="text1"/>
        </w:rPr>
        <w:t>carnivore</w:t>
      </w:r>
      <w:r w:rsidR="00554B1B" w:rsidRPr="006159FD">
        <w:rPr>
          <w:rFonts w:ascii="Times New Roman" w:hAnsi="Times New Roman" w:cs="Times New Roman"/>
          <w:color w:val="000000" w:themeColor="text1"/>
        </w:rPr>
        <w:t>s</w:t>
      </w:r>
      <w:r w:rsidR="005D01F0" w:rsidRPr="006159FD">
        <w:rPr>
          <w:rFonts w:ascii="Times New Roman" w:hAnsi="Times New Roman" w:cs="Times New Roman"/>
          <w:color w:val="000000" w:themeColor="text1"/>
        </w:rPr>
        <w:t xml:space="preserve"> (cat, dog) or</w:t>
      </w:r>
      <w:r w:rsidRPr="006159FD">
        <w:rPr>
          <w:rFonts w:ascii="Times New Roman" w:hAnsi="Times New Roman" w:cs="Times New Roman"/>
          <w:color w:val="000000" w:themeColor="text1"/>
        </w:rPr>
        <w:t xml:space="preserve"> </w:t>
      </w:r>
      <w:r w:rsidR="005D01F0" w:rsidRPr="006159FD">
        <w:rPr>
          <w:rFonts w:ascii="Times New Roman" w:hAnsi="Times New Roman" w:cs="Times New Roman"/>
          <w:color w:val="000000" w:themeColor="text1"/>
        </w:rPr>
        <w:t>rodent</w:t>
      </w:r>
      <w:r w:rsidR="00554B1B" w:rsidRPr="006159FD">
        <w:rPr>
          <w:rFonts w:ascii="Times New Roman" w:hAnsi="Times New Roman" w:cs="Times New Roman"/>
          <w:color w:val="000000" w:themeColor="text1"/>
        </w:rPr>
        <w:t>s</w:t>
      </w:r>
      <w:r w:rsidR="005D01F0" w:rsidRPr="006159FD">
        <w:rPr>
          <w:rFonts w:ascii="Times New Roman" w:hAnsi="Times New Roman" w:cs="Times New Roman"/>
          <w:color w:val="000000" w:themeColor="text1"/>
        </w:rPr>
        <w:t xml:space="preserve"> consume </w:t>
      </w:r>
      <w:r w:rsidRPr="006159FD">
        <w:rPr>
          <w:rFonts w:ascii="Times New Roman" w:hAnsi="Times New Roman" w:cs="Times New Roman"/>
          <w:color w:val="000000" w:themeColor="text1"/>
        </w:rPr>
        <w:t xml:space="preserve">native and charismatic </w:t>
      </w:r>
      <w:r w:rsidR="005D01F0" w:rsidRPr="006159FD">
        <w:rPr>
          <w:rFonts w:ascii="Times New Roman" w:hAnsi="Times New Roman" w:cs="Times New Roman"/>
          <w:color w:val="000000" w:themeColor="text1"/>
        </w:rPr>
        <w:t>species</w:t>
      </w:r>
      <w:r w:rsidRPr="006159FD">
        <w:rPr>
          <w:rFonts w:ascii="Times New Roman" w:hAnsi="Times New Roman" w:cs="Times New Roman"/>
          <w:color w:val="000000" w:themeColor="text1"/>
        </w:rPr>
        <w:t>, and invasive</w:t>
      </w:r>
      <w:r w:rsidR="005D01F0" w:rsidRPr="006159FD">
        <w:rPr>
          <w:rFonts w:ascii="Times New Roman" w:hAnsi="Times New Roman" w:cs="Times New Roman"/>
          <w:color w:val="000000" w:themeColor="text1"/>
        </w:rPr>
        <w:t xml:space="preserve"> herbivore</w:t>
      </w:r>
      <w:r w:rsidR="00554B1B" w:rsidRPr="006159FD">
        <w:rPr>
          <w:rFonts w:ascii="Times New Roman" w:hAnsi="Times New Roman" w:cs="Times New Roman"/>
          <w:color w:val="000000" w:themeColor="text1"/>
        </w:rPr>
        <w:t>s</w:t>
      </w:r>
      <w:r w:rsidR="005D01F0" w:rsidRPr="006159FD">
        <w:rPr>
          <w:rFonts w:ascii="Times New Roman" w:hAnsi="Times New Roman" w:cs="Times New Roman"/>
          <w:color w:val="000000" w:themeColor="text1"/>
        </w:rPr>
        <w:t xml:space="preserve"> (goat, sheep, cow, rabbit, deer) create barren islands</w:t>
      </w:r>
      <w:r w:rsidR="00115CDE" w:rsidRPr="006159FD">
        <w:rPr>
          <w:rFonts w:ascii="Times New Roman" w:hAnsi="Times New Roman" w:cs="Times New Roman"/>
          <w:color w:val="000000" w:themeColor="text1"/>
        </w:rPr>
        <w:t xml:space="preserve"> </w:t>
      </w:r>
      <w:r w:rsidR="00115CDE"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{"citationItems":[{"id":"ITEM-1","itemData":{"DOI":"10.1017/S095927090800035X","ISSN":"14740001","abstract":"After habitat loss and degradation, the leading threats to biodiversity are over-exploitation and invasive alien species. For birds, newly synthesised data using the standard classification schemes for utilisation and threat types for the IUCN Red List allow novel analyses on the importance of these threats and permit the calculation of Red List Indices (RLIs) to show trends in the status of birds driven by these factors. At least 45.7% of extant bird species (4,561 species) are used by humans, principally for pets (37.0%) and for hunting for food (14.2%), but other uses include sport hunting, ornamentation and traditional medicine. Much of this use drives trade at an international scale, involving at least 3,337 species (33.9%, substantially higher than previous estimates), mostly for the pet trade. RLIs show that although successful control and management of use and trade have led to some species improving in status, this has been outweighed by the number of species deteriorating in status owing to unsustainable exploitation. Overall, the RLI showing trends in extinction risk driven by issues related to use shows a negative slope: human use of birds is currently unsustainable. Similarly, and of relevance to the Convention on the International Trade in Endangered Species (CITES), the RLI for internationally traded bird species showing trends in extinction risk driven by issues related to international trade is also declining: international trade remains a threat to the world's birds. Invasive species impact at least one third of the world's threatened bird species (398 species, 32.6%), with mammals being the most important (impacting 81.1%), particularly through predation by carnivores and rodents. The RLI illustrating impacts of invasive species shows that they are driving a deterioration in the status of the world's birds. RLIs for the impacts of use and invasive species will be important indicators to help track progress towards the target of significantly reducing biodiversity loss by 2010.","author":[{"dropping-particle":"","family":"Butchart","given":"Stuart H.M.","non-dropping-particle":"","parse-names":false,"suffix":""}],"container-title":"Bird Conservation International","id":"ITEM-1","issue":"2008","issued":{"date-parts":[["2008"]]},"page":"S245-S262","title":"Red List Indices to measure the sustainability of species use and impacts of invasive alien species","type":"article-journal","volume":"18"},"uris":["http://www.mendeley.com/documents/?uuid=b91da788-6c99-4096-ad53-f1e0cba1a666"]},{"id":"ITEM-2","itemData":{"DOI":"10.1073/pnas.1521179113","ISBN":"0027-8424","ISSN":"0027-8424","PMID":"27001852","abstract":"More than US$21 billion is spent annually on biodiversity conservation. Despite their importance for preventing or slowing extinctions and preserving biodiversity, conservation interventions are rarely assessed systematically for their global impact. Islands house a disproportionately higher amount of biodiversity compared with mainlands, much of which is highly threatened with extinction. Indeed, island species make up nearly two-thirds of recent extinctions. Islands therefore are critical targets of conservation. We used an extensive literature and database review paired with expert interviews to estimate the global benefits of an increasingly used conservation action to stem biodiversity loss: eradication of invasive mammals on islands. We found 236 native terrestrial insular faunal species (596 populations) that benefitted through positive demographic and/or distributional responses from 251 eradications of invasive mammals on 181 islands. Seven native species (eight populations) were negatively impacted by invasive mammal eradication. Four threatened species had their International Union for the Conservation of Nature (IUCN) Red List extinction-risk categories reduced as a direct result of invasive mammal eradication, and no species moved to a higher extinction-risk category. We predict that 107 highly threatened birds, mammals, and reptiles on the IUCN Red List—6% of all these highly threatened species—likely have benefitted from invasive mammal eradications on islands. Because monitoring of eradication outcomes is sporadic and limited, the impacts of global eradications are likely greater than we report here. Our results highlight the importance of invasive mammal eradication on islands for protecting the world's most imperiled fauna.","author":[{"dropping-particle":"","family":"Jones","given":"Holly P.","non-dropping-particle":"","parse-names":false,"suffix":""},{"dropping-particle":"","family":"Holmes","given":"Nick D.","non-dropping-particle":"","parse-names":false,"suffix":""},{"dropping-particle":"","family":"Butchart","given":"Stuart H. M.","non-dropping-particle":"","parse-names":false,"suffix":""},{"dropping-particle":"","family":"Tershy","given":"Bernie R.","non-dropping-particle":"","parse-names":false,"suffix":""},{"dropping-particle":"","family":"Kappes","given":"Peter J.","non-dropping-particle":"","parse-names":false,"suffix":""},{"dropping-particle":"","family":"Corkery","given":"Ilse","non-dropping-particle":"","parse-names":false,"suffix":""},{"dropping-particle":"","family":"Aguirre-Muñoz","given":"Alfonso","non-dropping-particle":"","parse-names":false,"suffix":""},{"dropping-particle":"","family":"Armstrong","given":"Doug P.","non-dropping-particle":"","parse-names":false,"suffix":""},{"dropping-particle":"","family":"Bonnaud","given":"Elsa","non-dropping-particle":"","parse-names":false,"suffix":""},{"dropping-particle":"","family":"Burbidge","given":"Andrew A.","non-dropping-particle":"","parse-names":false,"suffix":""},{"dropping-particle":"","family":"Campbell","given":"Karl","non-dropping-particle":"","parse-names":false,"suffix":""},{"dropping-particle":"","family":"Courchamp","given":"Franck","non-dropping-particle":"","parse-names":false,"suffix":""},{"dropping-particle":"","family":"Cowan","given":"Philip E.","non-dropping-particle":"","parse-names":false,"suffix":""},{"dropping-particle":"","family":"Cuthbert","given":"Richard J.","non-dropping-particle":"","parse-names":false,"suffix":""},{"dropping-particle":"","family":"Ebbert","given":"Steve","non-dropping-particle":"","parse-names":false,"suffix":""},{"dropping-particle":"","family":"Genovesi","given":"Piero","non-dropping-particle":"","parse-names":false,"suffix":""},{"dropping-particle":"","family":"Howald","given":"Gregg R.","non-dropping-particle":"","parse-names":false,"suffix":""},{"dropping-particle":"","family":"Keitt","given":"Bradford S.","non-dropping-particle":"","parse-names":false,"suffix":""},{"dropping-particle":"","family":"Kress","given":"Stephen W.","non-dropping-particle":"","parse-names":false,"suffix":""},{"dropping-particle":"","family":"Miskelly","given":"Colin M.","non-dropping-particle":"","parse-names":false,"suffix":""},{"dropping-particle":"","family":"Oppel","given":"Steffen","non-dropping-particle":"","parse-names":false,"suffix":""},{"dropping-particle":"","family":"Poncet","given":"Sally","non-dropping-particle":"","parse-names":false,"suffix":""},{"dropping-particle":"","family":"Rauzon","given":"Mark J.","non-dropping-particle":"","parse-names":false,"suffix":""},{"dropping-particle":"","family":"Rocamora","given":"Gérard","non-dropping-particle":"","parse-names":false,"suffix":""},{"dropping-particle":"","family":"Russell","given":"James C.","non-dropping-particle":"","parse-names":false,"suffix":""},{"dropping-particle":"","family":"Samaniego-Herrera","given":"Araceli","non-dropping-particle":"","parse-names":false,"suffix":""},{"dropping-particle":"","family":"Seddon","given":"Philip J.","non-dropping-particle":"","parse-names":false,"suffix":""},{"dropping-particle":"","family":"Spatz","given":"Dena R.","non-dropping-particle":"","parse-names":false,"suffix":""},{"dropping-particle":"","family":"Towns","given":"David R.","non-dropping-particle":"","parse-names":false,"suffix":""},{"dropping-particle":"","family":"Croll","given":"Donald A.","non-dropping-particle":"","parse-names":false,"suffix":""}],"container-title":"Proceedings of the National Academy of Sciences","id":"ITEM-2","issue":"15","issued":{"date-parts":[["2016"]]},"page":"4033-4038","title":"Invasive mammal eradication on islands results in substantial conservation gains","type":"article-journal","volume":"113"},"uris":["http://www.mendeley.com/documents/?uuid=f633c20b-de9f-477f-8484-be1268d2d26a"]},{"id":"ITEM-3","itemData":{"DOI":"10.1111/j.1365-2907.2006.00077.x","ISSN":"13652907","abstract":"1. The ecological effects and distribution of 13 invasive non-native mammal species on the Canary Islands are reviewed. 2. Six species, representing six different taxonomic orders, are widely distributed and live on all seven main islands of the Canarian Archipelago: Felis catus, Capra hircus, Rattus rattus, Rattus norvegicus, Mus domesticus and Oryctolagus cuniculus. Atelerix algirus is found on four islands while six further species are present on only one island: Crocidura russula, Suncus etruscus, Rousettus egyptiacus, Ovis gmelini, Ammotragus lervia and Atlantoxerus getulus. 3. Five species have an omnivorous diet, four are herbivorous, two insectivorous, one frugivorous and one carnivorous. The ecological effects and damage caused by these species in the natural habitats of the Canaries are similar to those in other insular regions. To our knowledge, the effects of two species, A. lervia (herbivorous) and A. getulus (omnivorous), are as yet unreported for other insular environments. 4. Two of the most pernicious effects caused by invasive non-native mammal species in the Canaries consist of predation by feral cats of the three giant lizard species present in the western islands, but especially Gallotia gomerana, which is now on the verge of extinction; and the damage that the four species of herbivores cause to the endemic flora of the archipelago. © 2006 Mammal Society.","author":[{"dropping-particle":"","family":"Nogales","given":"M.","non-dropping-particle":"","parse-names":false,"suffix":""},{"dropping-particle":"","family":"Rodríguez-Luengo","given":"J. L.","non-dropping-particle":"","parse-names":false,"suffix":""},{"dropping-particle":"","family":"Marrero","given":"P.","non-dropping-particle":"","parse-names":false,"suffix":""}],"container-title":"Mammal Review","id":"ITEM-3","issue":"1","issued":{"date-parts":[["2006"]]},"page":"49-65","title":"Ecological effects and distribution of invasive non-native mammals on the Canary Islands","type":"article-journal","volume":"36"},"uris":["http://www.mendeley.com/documents/?uuid=8ff59bb0-6817-423c-8d33-6c63d409bbc0"]},{"id":"ITEM-4","itemData":{"DOI":"10.1046/j.1523-1739.2003.15099.x","ISSN":"08888892","abstract":"There is currently great interest in restoring ecosystems affected by invasive organisms. In New Zealand, deer were introduced during the nineteenth century, causing dramatic changes to the understory composition and structure of some forests. Deer prefer to browse on short tree species, mostly associated with early successional stands and moist-fertile sites, but many tall tree species are browsed only when other food sources are scarce. The government has invested heavily in control programs aimed at reducing deer numbers and thereby restoring forests to something approaching their preinvasion composition and structure, but have met with only limited success. Based on a literature review, we give several examples of situations in which deer impacts may not be reversible, including the following: (1) palatable species remaining highly browsed even at low deer densities as a result of diet switching; (2) occupation of vacated niches by plant species not eaten by deer; (3) local extinction of seed sources; (4) fundamental alterations to successional pathways; (5) shifts in ecosystem processes; (6) other exotic animals becoming naturalized and weakening the effectiveness of single-species control; and (7) exotic plants weakening the effectiveness of single-species control. We consider the contributions that scientific research can make to effective forest restoration, including empirically based forest-dynamics models that place regeneration in the context of other processes, such as disturbance, soil fertility, and multiple invasive organisms.","author":[{"dropping-particle":"","family":"Coomes","given":"David A.","non-dropping-particle":"","parse-names":false,"suffix":""},{"dropping-particle":"","family":"Allen","given":"Robert B.","non-dropping-particle":"","parse-names":false,"suffix":""},{"dropping-particle":"","family":"Forsyth","given":"David M.","non-dropping-particle":"","parse-names":false,"suffix":""},{"dropping-particle":"","family":"Lee","given":"William G.","non-dropping-particle":"","parse-names":false,"suffix":""}],"container-title":"Conservation Biology","id":"ITEM-4","issue":"2","issued":{"date-parts":[["2003"]]},"page":"450-459","title":"Factors preventing the recovery of New Zealand forests following control of invasive deer","type":"article-journal","volume":"17"},"uris":["http://www.mendeley.com/documents/?uuid=bd9eefe5-a7d5-4abf-a3cc-c914fc0e623f"]},{"id":"ITEM-5","itemData":{"DOI":"10.1111/rec.12144","ISSN":"10612971","author":[{"dropping-particle":"","family":"Beltran","given":"Roxanne S.","non-dropping-particle":"","parse-names":false,"suffix":""},{"dropping-particle":"","family":"Kreidler","given":"Nissa","non-dropping-particle":"","parse-names":false,"suffix":""},{"dropping-particle":"","family":"Vuren","given":"Dirk H.","non-dropping-particle":"Van","parse-names":false,"suffix":""},{"dropping-particle":"","family":"Morrison","given":"Scott a.","non-dropping-particle":"","parse-names":false,"suffix":""},{"dropping-particle":"","family":"Zavaleta","given":"Erika S.","non-dropping-particle":"","parse-names":false,"suffix":""},{"dropping-particle":"","family":"Newton","given":"Kelly","non-dropping-particle":"","parse-names":false,"suffix":""},{"dropping-particle":"","family":"Tershy","given":"Bernie R.","non-dropping-particle":"","parse-names":false,"suffix":""},{"dropping-particle":"","family":"Croll","given":"Donald a.","non-dropping-particle":"","parse-names":false,"suffix":""}],"container-title":"Restoration Ecology","id":"ITEM-5","issue":"6","issued":{"date-parts":[["2014"]]},"page":"790-797","title":"Passive Recovery of Vegetation after Herbivore Eradication on Santa Cruz Island, California","type":"article-journal","volume":"22"},"uris":["http://www.mendeley.com/documents/?uuid=497ad8d5-c7e4-4a70-be19-63071a2e7a21"]},{"id":"ITEM-6","itemData":{"DOI":"10.1080/14888386.2009.9712840","ISSN":"21600651","abstract":"New Zealand, an archipelago of more than 2000 islands, has a terrestrial fauna especially depauperate in native land mammals. Kiore (Rattus exulans) was the first of four rodent species introduced by people. A project to eradicate invasive rats from Kapiti Island in 1996, represented a turning point in the technology, complexity and scale at which managers of natural heritage on New Zealand islands could operate. This paper includes case studies of some significant projects targeting rodents, sometimes with other introduced mammals, undertaken in the 12 years following Kapiti. Details of the methods, costs, results and outcomes are provided for Kapiti, Whenua Hou, Tuhua, Campbell, Raoul, Hauturu, Taukihepa, and Pomona islands, collectively representing a total of over 23,000 ha of habitat cleared of introduced mammals. Research and trials undertaken in the Kapiti project provided the basis for future environmental risk assessments, allowing other projects to focus on knowledge gaps. New trends in invasive species eradication in New Zealand include more challenging multi-species eradication projects, some of which are undertaken by self- funded community groups. To summarise the lessons of the New Zealand experience: a programmatic approach is recommended which will fit each eradication within a context or framework of goals for those islands; address biosecurity issues at the outset; build capability to attempt the most challenging and rewarding projects; facilitate investment in monitoring and manage expectations of stakeholders to ensure their ongoing support. Success breeds success but is never guaranteed. © 2009 Taylor &amp; Francis Group, LLC.","author":[{"dropping-particle":"","family":"Broome","given":"Keith","non-dropping-particle":"","parse-names":false,"suffix":""}],"container-title":"Biodiversity","id":"ITEM-6","issue":"2-3","issued":{"date-parts":[["2009"]]},"page":"14-24","title":"Beyond kapiti - a decade of invasive rodent eradications from new zealand islands","type":"article-journal","volume":"10"},"uris":["http://www.mendeley.com/documents/?uuid=561972a0-52ee-422b-85c8-5c89ac52c12a"]},{"id":"ITEM-7","itemData":{"DOI":"10.1017/S0376892917000297","ISBN":"0376892917000","ISSN":"14694387","abstract":"Invasive alien species (IASs) on islands have broad impacts across biodiversity, agriculture, economy, health and culture, which tend to be stronger than on continents. Across small-island developing states (SIDSs), although only a small number of IASs are widely distributed, many more, including those with greatest impact, are found on only a small number of islands. Patterns of island invasion are not consistent across SIDS geographic regions, with differences attributable to correlated patterns in island biogeography and human development. We identify 15 of the most globally prevalent IASs on islands. IAS impacts on islands are exacerbated through interactions with a number of other global change threats, including over-exploitation, agricultural intensification, urban development and climate change. Biosecurity is critical in preventing IAS invasion of islands. Eradication of IASs on islands is possible at early stages of invasion, but otherwise is largely restricted to invasive mammals, or otherwise control is the only option. Future directions in IAS management and research on islands must consider IASs within a broader portfolio of threats to species, ecosystems and people's livelihoods on islands. We advocate for stronger collaborations among island countries and territories faced with the same IASs in similar socio-ecological environments.","author":[{"dropping-particle":"","family":"Russell","given":"James C.","non-dropping-particle":"","parse-names":false,"suffix":""},{"dropping-particle":"","family":"Meyer","given":"Jean Yves","non-dropping-particle":"","parse-names":false,"suffix":""},{"dropping-particle":"","family":"Holmes","given":"Nick D.","non-dropping-particle":"","parse-names":false,"suffix":""},{"dropping-particle":"","family":"Pagad","given":"Shyama","non-dropping-particle":"","parse-names":false,"suffix":""}],"container-title":"Environmental Conservation","id":"ITEM-7","issue":"4","issued":{"date-parts":[["2017"]]},"page":"359-370","title":"Invasive alien species on islands: Impacts, distribution, interactions and management","type":"article-journal","volume":"44"},"uris":["http://www.mendeley.com/documents/?uuid=c7ba5b4d-8b25-4315-b14d-edff8566d6f2"]}],"mendeley":{"formattedCitation":"(Coomes et al. 2003, Nogales et al. 2006, Butchart 2008, Broome 2009, Beltran et al. 2014, Jones et al. 2016, Russell et al. 2017)","plainTextFormattedCitation":"(Coomes et al. 2003, Nogales et al. 2006, Butchart 2008, Broome 2009, Beltran et al. 2014, Jones et al. 2016, Russell et al. 2017)","previouslyFormattedCitation":"(Beltran et al., 2014; Broome, 2009; Butchart, 2008; Coomes, Allen, Forsyth, &amp; Lee, 2003; Jones et al., 2016; Nogales, Rodríguez-Luengo, &amp; Marrero, 2006; Russell et al., 2017)"},"properties":{"noteIndex":0},"schema":"https://github.com/citation-style-language/schema/raw/master/csl-citation.json"}</w:instrText>
      </w:r>
      <w:r w:rsidR="00115CDE"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(Coomes et al. 2003, Nogales et al. 2006, Butchart 2008, Broome 2009, Beltran et al. 2014, Jones et al. 2016, Russell et al. 2017)</w:t>
      </w:r>
      <w:r w:rsidR="00115CDE" w:rsidRPr="006159FD">
        <w:rPr>
          <w:rFonts w:ascii="Times New Roman" w:eastAsia="Times New Roman" w:hAnsi="Times New Roman" w:cs="Times New Roman"/>
          <w:color w:val="000000" w:themeColor="text1"/>
        </w:rPr>
        <w:fldChar w:fldCharType="end"/>
      </w:r>
      <w:r w:rsidR="005D01F0" w:rsidRPr="006159FD">
        <w:rPr>
          <w:rFonts w:ascii="Times New Roman" w:hAnsi="Times New Roman" w:cs="Times New Roman"/>
          <w:color w:val="000000" w:themeColor="text1"/>
        </w:rPr>
        <w:t xml:space="preserve">. </w:t>
      </w:r>
    </w:p>
    <w:p w14:paraId="1E4A4454" w14:textId="77777777" w:rsidR="00554B1B" w:rsidRPr="006159FD" w:rsidRDefault="00554B1B" w:rsidP="006D119C">
      <w:pPr>
        <w:pStyle w:val="ListParagraph"/>
        <w:ind w:left="1440"/>
        <w:rPr>
          <w:rFonts w:ascii="Times New Roman" w:hAnsi="Times New Roman" w:cs="Times New Roman"/>
          <w:color w:val="000000" w:themeColor="text1"/>
        </w:rPr>
      </w:pPr>
    </w:p>
    <w:p w14:paraId="30306A06" w14:textId="4C602F70" w:rsidR="005D01F0" w:rsidRPr="006159FD" w:rsidRDefault="005D01F0" w:rsidP="005D01F0">
      <w:pPr>
        <w:rPr>
          <w:rFonts w:ascii="Times New Roman" w:hAnsi="Times New Roman" w:cs="Times New Roman"/>
          <w:color w:val="000000" w:themeColor="text1"/>
        </w:rPr>
      </w:pPr>
    </w:p>
    <w:p w14:paraId="2108AB90" w14:textId="64AA7EEA" w:rsidR="005D01F0" w:rsidRPr="006159FD" w:rsidRDefault="005D01F0" w:rsidP="005D01F0">
      <w:pPr>
        <w:rPr>
          <w:rFonts w:ascii="Times New Roman" w:hAnsi="Times New Roman" w:cs="Times New Roman"/>
          <w:color w:val="000000" w:themeColor="text1"/>
        </w:rPr>
      </w:pPr>
    </w:p>
    <w:p w14:paraId="7BD3BB69" w14:textId="04C99446" w:rsidR="005D01F0" w:rsidRPr="006159FD" w:rsidRDefault="005D01F0" w:rsidP="005D01F0">
      <w:pPr>
        <w:rPr>
          <w:rFonts w:ascii="Times New Roman" w:hAnsi="Times New Roman" w:cs="Times New Roman"/>
          <w:color w:val="000000" w:themeColor="text1"/>
        </w:rPr>
      </w:pPr>
    </w:p>
    <w:p w14:paraId="4449EEE9" w14:textId="635F444C" w:rsidR="005D01F0" w:rsidRPr="006159FD" w:rsidRDefault="005D01F0" w:rsidP="005D01F0">
      <w:pPr>
        <w:rPr>
          <w:rFonts w:ascii="Times New Roman" w:hAnsi="Times New Roman" w:cs="Times New Roman"/>
          <w:color w:val="000000" w:themeColor="text1"/>
        </w:rPr>
      </w:pPr>
    </w:p>
    <w:p w14:paraId="58CC07C7" w14:textId="265333E9" w:rsidR="005D01F0" w:rsidRPr="006159FD" w:rsidRDefault="005D01F0" w:rsidP="005D01F0">
      <w:pPr>
        <w:rPr>
          <w:rFonts w:ascii="Times New Roman" w:hAnsi="Times New Roman" w:cs="Times New Roman"/>
          <w:color w:val="000000" w:themeColor="text1"/>
        </w:rPr>
      </w:pPr>
    </w:p>
    <w:p w14:paraId="60FB4A95" w14:textId="23692746" w:rsidR="005D01F0" w:rsidRPr="006159FD" w:rsidRDefault="005D01F0" w:rsidP="005D01F0">
      <w:pPr>
        <w:rPr>
          <w:rFonts w:ascii="Times New Roman" w:hAnsi="Times New Roman" w:cs="Times New Roman"/>
          <w:color w:val="000000" w:themeColor="text1"/>
        </w:rPr>
      </w:pPr>
    </w:p>
    <w:p w14:paraId="1414668C" w14:textId="6DAED296" w:rsidR="005D01F0" w:rsidRPr="006159FD" w:rsidRDefault="005D01F0" w:rsidP="005D01F0">
      <w:pPr>
        <w:rPr>
          <w:rFonts w:ascii="Times New Roman" w:hAnsi="Times New Roman" w:cs="Times New Roman"/>
          <w:color w:val="000000" w:themeColor="text1"/>
        </w:rPr>
      </w:pPr>
    </w:p>
    <w:p w14:paraId="66D1BA81" w14:textId="16ECC401" w:rsidR="005D01F0" w:rsidRPr="006159FD" w:rsidRDefault="005D01F0" w:rsidP="005D01F0">
      <w:pPr>
        <w:rPr>
          <w:rFonts w:ascii="Times New Roman" w:hAnsi="Times New Roman" w:cs="Times New Roman"/>
          <w:color w:val="000000" w:themeColor="text1"/>
        </w:rPr>
      </w:pPr>
    </w:p>
    <w:p w14:paraId="14280560" w14:textId="5E62F164" w:rsidR="005D01F0" w:rsidRPr="006159FD" w:rsidRDefault="005D01F0" w:rsidP="005D01F0">
      <w:pPr>
        <w:rPr>
          <w:rFonts w:ascii="Times New Roman" w:hAnsi="Times New Roman" w:cs="Times New Roman"/>
          <w:color w:val="000000" w:themeColor="text1"/>
        </w:rPr>
      </w:pPr>
    </w:p>
    <w:p w14:paraId="14D3680A" w14:textId="0D4B11E4" w:rsidR="005D01F0" w:rsidRPr="006159FD" w:rsidRDefault="005D01F0" w:rsidP="005D01F0">
      <w:pPr>
        <w:rPr>
          <w:rFonts w:ascii="Times New Roman" w:hAnsi="Times New Roman" w:cs="Times New Roman"/>
          <w:color w:val="000000" w:themeColor="text1"/>
        </w:rPr>
      </w:pPr>
    </w:p>
    <w:p w14:paraId="13FA0B88" w14:textId="7A99209E" w:rsidR="005D01F0" w:rsidRPr="006159FD" w:rsidRDefault="005D01F0" w:rsidP="005D01F0">
      <w:pPr>
        <w:rPr>
          <w:rFonts w:ascii="Times New Roman" w:hAnsi="Times New Roman" w:cs="Times New Roman"/>
          <w:color w:val="000000" w:themeColor="text1"/>
        </w:rPr>
      </w:pPr>
    </w:p>
    <w:p w14:paraId="5F8540C9" w14:textId="161354BC" w:rsidR="005D01F0" w:rsidRPr="006159FD" w:rsidRDefault="005D01F0" w:rsidP="005D01F0">
      <w:pPr>
        <w:rPr>
          <w:rFonts w:ascii="Times New Roman" w:hAnsi="Times New Roman" w:cs="Times New Roman"/>
          <w:color w:val="000000" w:themeColor="text1"/>
        </w:rPr>
      </w:pPr>
    </w:p>
    <w:p w14:paraId="7EA6717B" w14:textId="525C7CEF" w:rsidR="005D01F0" w:rsidRPr="006159FD" w:rsidRDefault="005D01F0" w:rsidP="005D01F0">
      <w:pPr>
        <w:rPr>
          <w:rFonts w:ascii="Times New Roman" w:hAnsi="Times New Roman" w:cs="Times New Roman"/>
          <w:color w:val="000000" w:themeColor="text1"/>
        </w:rPr>
      </w:pPr>
    </w:p>
    <w:p w14:paraId="5B77DA37" w14:textId="5E0097EC" w:rsidR="005D01F0" w:rsidRPr="006159FD" w:rsidRDefault="005D01F0" w:rsidP="005D01F0">
      <w:pPr>
        <w:pStyle w:val="Heading1"/>
        <w:rPr>
          <w:rFonts w:ascii="Times New Roman" w:hAnsi="Times New Roman" w:cs="Times New Roman"/>
          <w:color w:val="000000" w:themeColor="text1"/>
          <w:sz w:val="24"/>
          <w:szCs w:val="24"/>
        </w:rPr>
      </w:pPr>
    </w:p>
    <w:p w14:paraId="07764824" w14:textId="408BD637" w:rsidR="00AB5070" w:rsidRPr="006159FD" w:rsidRDefault="003E6800" w:rsidP="00AB5070">
      <w:pPr>
        <w:rPr>
          <w:rFonts w:ascii="Times New Roman" w:hAnsi="Times New Roman" w:cs="Times New Roman"/>
          <w:color w:val="000000" w:themeColor="text1"/>
        </w:rPr>
      </w:pPr>
      <w:r w:rsidRPr="006159FD">
        <w:rPr>
          <w:rFonts w:ascii="Times New Roman" w:hAnsi="Times New Roman" w:cs="Times New Roman"/>
          <w:noProof/>
          <w:color w:val="000000" w:themeColor="text1"/>
        </w:rPr>
        <w:drawing>
          <wp:inline distT="0" distB="0" distL="0" distR="0" wp14:anchorId="4FA5C748" wp14:editId="2C266C92">
            <wp:extent cx="5943600" cy="3962400"/>
            <wp:effectExtent l="0" t="0" r="0" b="0"/>
            <wp:docPr id="35" name="Picture 35"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Screenshot 2019-11-28 12.05.35.png"/>
                    <pic:cNvPicPr/>
                  </pic:nvPicPr>
                  <pic:blipFill>
                    <a:blip r:embed="rId19">
                      <a:extLst>
                        <a:ext uri="{28A0092B-C50C-407E-A947-70E740481C1C}">
                          <a14:useLocalDpi xmlns:a14="http://schemas.microsoft.com/office/drawing/2010/main" val="0"/>
                        </a:ext>
                      </a:extLst>
                    </a:blip>
                    <a:stretch>
                      <a:fillRect/>
                    </a:stretch>
                  </pic:blipFill>
                  <pic:spPr>
                    <a:xfrm>
                      <a:off x="0" y="0"/>
                      <a:ext cx="5943600" cy="3962400"/>
                    </a:xfrm>
                    <a:prstGeom prst="rect">
                      <a:avLst/>
                    </a:prstGeom>
                  </pic:spPr>
                </pic:pic>
              </a:graphicData>
            </a:graphic>
          </wp:inline>
        </w:drawing>
      </w:r>
    </w:p>
    <w:p w14:paraId="1F048EDC" w14:textId="30B44E21" w:rsidR="00D60055" w:rsidRPr="006159FD" w:rsidRDefault="00BC1DCD" w:rsidP="00D60055">
      <w:pPr>
        <w:rPr>
          <w:rFonts w:ascii="Times New Roman" w:hAnsi="Times New Roman" w:cs="Times New Roman"/>
          <w:color w:val="000000" w:themeColor="text1"/>
        </w:rPr>
      </w:pPr>
      <w:bookmarkStart w:id="8" w:name="_Toc25838864"/>
      <w:r w:rsidRPr="006159FD">
        <w:rPr>
          <w:rStyle w:val="Heading1Char"/>
          <w:rFonts w:ascii="Times New Roman" w:hAnsi="Times New Roman" w:cs="Times New Roman"/>
          <w:color w:val="000000" w:themeColor="text1"/>
          <w:sz w:val="24"/>
          <w:szCs w:val="24"/>
        </w:rPr>
        <w:t>Goal 12.</w:t>
      </w:r>
      <w:bookmarkEnd w:id="8"/>
      <w:r w:rsidRPr="006159FD">
        <w:rPr>
          <w:rFonts w:ascii="Times New Roman" w:hAnsi="Times New Roman" w:cs="Times New Roman"/>
          <w:color w:val="000000" w:themeColor="text1"/>
        </w:rPr>
        <w:t xml:space="preserve"> </w:t>
      </w:r>
      <w:r w:rsidR="00D60055" w:rsidRPr="006159FD">
        <w:rPr>
          <w:rFonts w:ascii="Times New Roman" w:hAnsi="Times New Roman" w:cs="Times New Roman"/>
          <w:color w:val="000000" w:themeColor="text1"/>
        </w:rPr>
        <w:t>Assumptions and inclusion criteria</w:t>
      </w:r>
    </w:p>
    <w:p w14:paraId="0CE9593A" w14:textId="0E73E141" w:rsidR="00D60055" w:rsidRPr="006159FD" w:rsidRDefault="00D60055" w:rsidP="00F70E45">
      <w:pPr>
        <w:pStyle w:val="ListParagraph"/>
        <w:rPr>
          <w:rFonts w:ascii="Times New Roman" w:hAnsi="Times New Roman" w:cs="Times New Roman"/>
          <w:color w:val="000000" w:themeColor="text1"/>
        </w:rPr>
      </w:pPr>
    </w:p>
    <w:p w14:paraId="060C479E" w14:textId="09E0EECB" w:rsidR="00AB5070" w:rsidRPr="006159FD" w:rsidRDefault="00315D47" w:rsidP="00D60055">
      <w:pPr>
        <w:pStyle w:val="ListParagraph"/>
        <w:numPr>
          <w:ilvl w:val="0"/>
          <w:numId w:val="10"/>
        </w:numPr>
        <w:rPr>
          <w:rFonts w:ascii="Times New Roman" w:hAnsi="Times New Roman" w:cs="Times New Roman"/>
          <w:color w:val="000000" w:themeColor="text1"/>
        </w:rPr>
      </w:pPr>
      <w:r w:rsidRPr="006159FD">
        <w:rPr>
          <w:rFonts w:ascii="Times New Roman" w:hAnsi="Times New Roman" w:cs="Times New Roman"/>
          <w:color w:val="000000" w:themeColor="text1"/>
        </w:rPr>
        <w:t>We assumed a</w:t>
      </w:r>
      <w:r w:rsidR="00AB5070" w:rsidRPr="006159FD">
        <w:rPr>
          <w:rFonts w:ascii="Times New Roman" w:hAnsi="Times New Roman" w:cs="Times New Roman"/>
          <w:color w:val="000000" w:themeColor="text1"/>
        </w:rPr>
        <w:t xml:space="preserve">ll </w:t>
      </w:r>
      <w:r w:rsidR="00554B1B" w:rsidRPr="006159FD">
        <w:rPr>
          <w:rFonts w:ascii="Times New Roman" w:hAnsi="Times New Roman" w:cs="Times New Roman"/>
          <w:color w:val="000000" w:themeColor="text1"/>
        </w:rPr>
        <w:t xml:space="preserve">invasive vertebrate </w:t>
      </w:r>
      <w:r w:rsidR="00AB5070" w:rsidRPr="006159FD">
        <w:rPr>
          <w:rFonts w:ascii="Times New Roman" w:hAnsi="Times New Roman" w:cs="Times New Roman"/>
          <w:color w:val="000000" w:themeColor="text1"/>
        </w:rPr>
        <w:t xml:space="preserve">eradications include community education during implementation and to prevent re-introduction </w:t>
      </w:r>
      <w:r w:rsidR="00115CDE"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{"citationItems":[{"id":"ITEM-1","itemData":{"DOI":"10.1111/j.1523-1739.2007.00755.x","ISBN":"1523-1739 (Electronic)\\n0888-8892 (Linking)","ISSN":"1523-1739","PMID":"17883491","abstract":"Invasive mammals are the greatest threat to island biodiversity and invasive rodents are likely responsible for the greatest number of extinctions and ecosystem changes. Techniques for eradicating rodents from islands were developed over 2 decades ago. Since that time there has been a significant development and application of this conservation tool. We reviewed the literature on invasive rodent eradications to assess its current state and identify actions to make it more effective. Worldwide, 332 successful rodent eradications have been undertaken; we identified 35 failed eradications and 20 campaigns of unknown result. Invasive rodents have been eradicated from 284 islands (47,628 ha). With the exception of two small islands, rodenticides were used in all eradication campaigns. Brodifacoum was used in 71% of campaigns and 91% of the total area treated. The most frequent rodenticide distribution methods (from most to least) are bait stations, hand broadcasting, and aerial broadcasting. Nevertheless, campaigns using aerial broadcast made up 76% of the total area treated. Mortality of native vertebrates due to nontarget poisoning has been documented, but affected species quickly recover to pre-eradication population levels or higher. A variety of methods have been developed to mitigate nontarget impacts, and applied research can further aid in minimizing impacts. Land managers should routinely remove invasive rodents from islands &lt;100 ha that lack vertebrates susceptible to nontarget poisoning. For larger islands and those that require nontarget mitigation, expert consultation and greater planning effort are needed. With the exception of house mice (Mus musculus), island size may no longer be the limiting factor for rodent eradications; rather, social acceptance and funding may be the main challenges. To be successful, large-scale rodent campaigns should be integrated with programs to improve the livelihoods of residents, island biosecurity, and reinvasion response programs.","author":[{"dropping-particle":"","family":"Howald","given":"Gregg","non-dropping-particle":"","parse-names":false,"suffix":""},{"dropping-particle":"","family":"Donlan","given":"C. Josh","non-dropping-particle":"","parse-names":false,"suffix":""},{"dropping-particle":"","family":"Galván","given":"Juan Pablo","non-dropping-particle":"","parse-names":false,"suffix":""},{"dropping-particle":"","family":"Russell","given":"James C.","non-dropping-particle":"","parse-names":false,"suffix":""},{"dropping-particle":"","family":"Parkes","given":"John","non-dropping-particle":"","parse-names":false,"suffix":""},{"dropping-particle":"","family":"Samaniego","given":"Araceli","non-dropping-particle":"","parse-names":false,"suffix":""},{"dropping-particle":"","family":"Wang","given":"Yiwei","non-dropping-particle":"","parse-names":false,"suffix":""},{"dropping-particle":"","family":"Veitch","given":"Dick","non-dropping-particle":"","parse-names":false,"suffix":""},{"dropping-particle":"","family":"Genovesi","given":"Piero","non-dropping-particle":"","parse-names":false,"suffix":""},{"dropping-particle":"","family":"Pascal","given":"Michel","non-dropping-particle":"","parse-names":false,"suffix":""},{"dropping-particle":"","family":"Saunders","given":"Alan","non-dropping-particle":"","parse-names":false,"suffix":""},{"dropping-particle":"","family":"Tershy","given":"Bernie","non-dropping-particle":"","parse-names":false,"suffix":""}],"container-title":"Conservation biology : the journal of the Society for Conservation Biology","id":"ITEM-1","issue":"5","issued":{"date-parts":[["2007","10"]]},"page":"1258-68","title":"Invasive rodent eradication on islands","type":"article-journal","volume":"21"},"uris":["http://www.mendeley.com/documents/?uuid=989fd7cb-89ae-410e-a9d0-e34eac278a23"]},{"id":"ITEM-2","itemData":{"abstract":"Invasive vertebrate species can cause substantial damage to natural resources, property, crops, livestock, and pose a disease hazard to humans, native wildlife and domestic animals. Numerous island species have become extinct or are threatened with extinction from invasive species. The high rate of invasive species introductions continues because of the large volumes of world trade and international travel. Humans are often responsible for introductions, but are also the key to their prevention, management, and eradication. However, many of the values and perceptions of invasive species vary among humans. Hence, the prevention and control of invasive vertebrates often requires adjusting human behaviors, values, and beliefs, along with changing the way decisions are made. Most people have little idea of which species are invasive, what their impacts are, and what control methods might be appropriate for their management. A wide variety of education, outreach, and training programs are needed to help motivate people to take action and raise awareness of the causes of establishment, consequences of invasive species, and the need for prevention, control, and eradication programs. Key messages should target diverse audiences through appropriate media outlets and methods. Surveys to better understand how different stakeholder groups view invasive species, the threats they pose, and the potential methods of control are also needed. We review several programs in place to help achieve the critical need for an informed and active public with regard to invasive vertebrate species. The programs help create an informed public, generate public and financial support for invasive species management, train the public to recognize and report sightings of invasives, and encourage sustainable ecosystems.","author":[{"dropping-particle":"","family":"Witmer","given":"Gary","non-dropping-particle":"","parse-names":false,"suffix":""},{"dropping-particle":"","family":"Keirn","given":"G. M.","non-dropping-particle":"","parse-names":false,"suffix":""},{"dropping-particle":"","family":"Hawley","given":"N","non-dropping-particle":"","parse-names":false,"suffix":""},{"dropping-particle":"","family":"Martin","given":"C","non-dropping-particle":"","parse-names":false,"suffix":""},{"dropping-particle":"","family":"Reaser","given":"J. K","non-dropping-particle":"","parse-names":false,"suffix":""}],"container-title":"Wildlife Damage Management Conferences - Proceedings - Paper 141","id":"ITEM-2","issued":{"date-parts":[["2009"]]},"title":"Human Dimensions of Invasive Vertebrate Species Management","type":"article-journal"},"uris":["http://www.mendeley.com/documents/?uuid=1e2f48f6-2cd5-43bb-a10c-93a0628c5b89"]},{"id":"ITEM-3","itemData":{"DOI":"10.1007/s10530-017-1388-2","ISSN":"15731464","abstract":"For effective and efficient pest management it is essential to understand the ecology of the target species and recipient ecosystems. The use of rodent eradication as a restoration tool is well established in temperate regions, but less common in the tropics, presenting an opportunity to undertake scientific learning in tandem with rodent eradications. On a dry tropical archipelago, we used a Before-After-Control-Impact framework to document (1) fluctuations in the abundance and demography of invasive Rattus rattus and Mus musculus on three different islands, (2) the trophic niche of all three invasive rodent populations, and (3) changes in the invertebrate community before and after rodent eradication, also comparing with two rodent free islands. While rat density was high and relatively stable throughout the year, the two mouse populations greatly differed in body size and seasonal dynamics, despite their proximity. The rodents in all three populations were generalist and opportunistic feeders, although stable isotope analyses results indicated major differences among them, driven by food availability and rodent species. Seasonal fluctuations in invertebrate communities depended on rodent invasion status, but recovery in the invertebrate communities one year after rodent removal was limited for all islands. Predictions for other tropical ecosystem biomes require long-term research on more tropical islands. Improving our understanding of island and species-specific contexts of rodent eradications can advance island restoration projects and assist the selection of indicator species for ecosystem recovery.","author":[{"dropping-particle":"","family":"Samaniego-Herrera","given":"Araceli","non-dropping-particle":"","parse-names":false,"suffix":""},{"dropping-particle":"","family":"Clout","given":"Mick N.","non-dropping-particle":"","parse-names":false,"suffix":""},{"dropping-particle":"","family":"Aguirre-Muñoz","given":"Alfonso","non-dropping-particle":"","parse-names":false,"suffix":""},{"dropping-particle":"","family":"Russell","given":"James C.","non-dropping-particle":"","parse-names":false,"suffix":""}],"container-title":"Biological Invasions","id":"ITEM-3","issue":"6","issued":{"date-parts":[["2017"]]},"page":"1761-1779","title":"Rodent eradications as ecosystem experiments: a case study from the Mexican tropics","type":"article-journal","volume":"19"},"uris":["http://www.mendeley.com/documents/?uuid=660ce70b-809b-4547-89d6-0ae2ebb4f473"]},{"id":"ITEM-4","itemData":{"abstract":"Eradications of invasive mammals have over the last decade been a key element in the restoration of Mexican islands. To date, 48 eradications have been completed on 30 islands. This work has provided the climate for a wider movement towards the protection and restoration of Mexican islands involving many players and institutions. Perceptions of islands have changed from earlier abuse and abandonment to current realisation of their importance for sovereignty, their rich biodiversity, and their potential as sites for sustainable development. This increased awareness was followed by social acceptance of the importance of islands, organisational development of advocates for them, scientific research, secure funding for projects on them, and institutional support for this work. A collaborative network now includes federal government agencies such as the Mexican Navy alongside academic institutes and universities, local communities, artisanal fishermen co-operatives, non-government organisations (NGOs), and national and international donors. A crucial NGO component of this network has been the Grupo de Ecología y Conservación de Islas, A.C. (GECI). This private organisation now has a field staff of 24 scientists and technicians who work closely with personnel from government agencies. Soon all Mexican islands will be legally protected under federal categories. Permanent government staff are being recruited, and activities on islands are starting to be supported with federal budgets. These public budgets may also soon supplement funds provided by private donors. During the last decade, most funds have been provided by American private foundations; comparatively Mexican private and public funding is still limited. There have been positive outcomes from international collaboration and exchange. If the current pace is sustained a strategic goal could be met: to eradicate all invasive mammals from the remaining Mexican islands by the year 2025.","author":[{"dropping-particle":"","family":"Aguirre-Muñoz","given":"A.","non-dropping-particle":"","parse-names":false,"suffix":""},{"dropping-particle":"","family":"Samaniego-Herrera","given":"A.","non-dropping-particle":"","parse-names":false,"suffix":""},{"dropping-particle":"","family":"Luna-Mendoza","given":"L.","non-dropping-particle":"","parse-names":false,"suffix":""},{"dropping-particle":"","family":"Ortiz-Alcaraz","given":"A.","non-dropping-particle":"","parse-names":false,"suffix":""},{"dropping-particle":"","family":"Rodríguez-Malagón","given":"M.","non-dropping-particle":"","parse-names":false,"suffix":""},{"dropping-particle":"","family":"Félix-Lizárraga","given":"M.","non-dropping-particle":"","parse-names":false,"suffix":""},{"dropping-particle":"","family":"Méndez-Sánchez","given":"F.","non-dropping-particle":"","parse-names":false,"suffix":""},{"dropping-particle":"","family":"González-Gómez","given":"R.","non-dropping-particle":"","parse-names":false,"suffix":""},{"dropping-particle":"","family":"Torres-García","given":"F.","non-dropping-particle":"","parse-names":false,"suffix":""},{"dropping-particle":"","family":"Hernández-Montoya","given":"J.C.","non-dropping-particle":"","parse-names":false,"suffix":""},{"dropping-particle":"","family":"Barredo-Barberena","given":"J.M.","non-dropping-particle":"","parse-names":false,"suffix":""},{"dropping-particle":"","family":"Latofski-Robles","given":"M.","non-dropping-particle":"","parse-names":false,"suffix":""}],"container-title":"Island invasives: eradication and managemen","id":"ITEM-4","issued":{"date-parts":[["2011"]]},"page":"386-394","title":"Eradications of invasive mammals on islands in Mexico: the roles of history and the collaboration between government agencies, local communities and a non-government organisation.","type":"article-journal"},"uris":["http://www.mendeley.com/documents/?uuid=fab3fbc8-85d5-4870-a9af-1693db5af79f"]},{"id":"ITEM-5","itemData":{"abstract":"The 250+ islands of north-west Mexico support 50 taxa (species and subspecies) of breeding seabirds and over 180 taxa of endemic terrestrial vertebrates. Isolation and aridity have historically protected these islands from many human perturbations and consequently their biotas are relatively intact. However, invasive alien mammals have been introduced to at least 44 islands and are responsible for the ecological extinction of 22 endemic vertebrate species and subspecies, and the local extinction of one or more seabird taxa on 10 islands. The Island Conservation and Ecology Group, the National Autonomous University of Mexico, Center for Biological Investigations, and National Protected Areas Department collaborated with local people and other NGOs to remove one or more introduced mam- mals from 23 islands and will soon complete eradication on one more. This work has protected habitat for 27 seabird taxa, seven of which are endemic to the region, and 38 endemic taxa of terrestrial vertebrates. Our regional, science- based, collaborative approach to island conservation has eradicated invasive alien mammals from most islands under 40 km2 in this biologically important region. We are building on this experience to conduct eradications on larger, more-difficult islands.","author":[{"dropping-particle":"","family":"Tershy","given":"B R","non-dropping-particle":"","parse-names":false,"suffix":""},{"dropping-particle":"","family":"Donlan","given":"C J","non-dropping-particle":"","parse-names":false,"suffix":""},{"dropping-particle":"","family":"Keitt","given":"B S","non-dropping-particle":"","parse-names":false,"suffix":""},{"dropping-particle":"","family":"Croll","given":"D a","non-dropping-particle":"","parse-names":false,"suffix":""},{"dropping-particle":"","family":"Sanchez","given":"J a","non-dropping-particle":"","parse-names":false,"suffix":""},{"dropping-particle":"","family":"Wood","given":"B","non-dropping-particle":"","parse-names":false,"suffix":""},{"dropping-particle":"","family":"Hermosillo","given":"M a","non-dropping-particle":"","parse-names":false,"suffix":""},{"dropping-particle":"","family":"Howald","given":"G R","non-dropping-particle":"","parse-names":false,"suffix":""},{"dropping-particle":"","family":"Biavaschi","given":"N","non-dropping-particle":"","parse-names":false,"suffix":""}],"container-title":"Turning the Tide: the eradication of invasive species.","id":"ITEM-5","issue":"1","issued":{"date-parts":[["2002"]]},"page":"293-300","title":"Island conservation in north-west Mexico: a conservation model integrating research, education and exotic mammal eradication","type":"article-journal"},"uris":["http://www.mendeley.com/documents/?uuid=40043496-f8b0-4fde-8e85-0f52f9b23dd5"]},{"id":"ITEM-6","itemData":{"DOI":"10.4067/s0716-078x2005000100010","ISSN":"0716078X","abstract":"We provide an overview of the current status of vertebrate invasive species throughout Chile, updating information on terrestrial exotics and reporting for the first time the situation of exotic freshwater fishes. In addition, we document the legislation and programs that the Chilean government has implemented to limit the entry of exotics to the country or minimize their impact on native wild flora and fauna and on natural ecosystems. We document what is known about the introduction of 26 exotic fish species to continental waters of the country, discussing the distribution and putative effects of those 11 species that may be considered invasive. From a previous list of 24 terrestrial vertebrate invaders, we withdraw the Argentine tortoise (Chelonoidis chilensis), reindeer (Rangifer tarandus) and mouflon (Ovis ammon) because there are no data on their subsistence in the wild. On the other hand, we add three new species: red-eared freshwater turtle (Trachemys scripta), monk parakeet (Myiopsitta rnonachus), and red-crested cardinal (Paroaria coronata), thus keeping the total number of terrestrial invaders unchanged at 24 species. The chief agency in charge of existing laws and regulations regarding the import of exotic freshwater species is the National Fisheries Service (SERNAPESCA, in Spanish), a dependency of the Ministry of Economy. The main agency in charge of enforcing existing laws and regulations regarding the import of exotic terrestrial species to Chile is the Agriculture and Livestock Service (SAG, in Spanish), a dependency of the Ministry of Agriculture. Currently, SAG is not only controlling major border passes, seaports and airports, but also is funding studies to monitor and control already existing invaders. In addition, the Chilean Forest Service (CONAF, in Spanish) is also concerned about invasive species, but only if they enter national parks and reserves within the National System of Protected Wildlife Areas (SNASPE, in Spanish).","author":[{"dropping-particle":"","family":"Iriarte","given":"J. Agustín","non-dropping-particle":"","parse-names":false,"suffix":""},{"dropping-particle":"","family":"Lobos","given":"Gabriel A.","non-dropping-particle":"","parse-names":false,"suffix":""},{"dropping-particle":"","family":"Jaksic","given":"Fabián M.","non-dropping-particle":"","parse-names":false,"suffix":""}],"container-title":"Revista Chilena de Historia Natural","id":"ITEM-6","issue":"1","issued":{"date-parts":[["2005"]]},"page":"143-154","title":"Invasive vertebrate species in Chile and their control and monitoring by governmental agencies","type":"article-journal","volume":"78"},"uris":["http://www.mendeley.com/documents/?uuid=dc17a9b1-c0d6-4edb-b10d-3cee9c0b5bc0"]},{"id":"ITEM-7","itemData":{"DOI":"10.1371/journal.pone.0018835","ISSN":"19326203","abstract":"Invasive alien mammals are the major driver of biodiversity loss and ecosystem degradation on islands. Over the past three decades, invasive mammal eradication from islands has become one of society's most powerful tools for preventing extinction of insular endemics and restoring insular ecosystems. As practitioners tackle larger islands for restoration, three factors will heavily influence success and outcomes: the degree of local support, the ability to mitigate for non-target impacts, and the ability to eradicate non-native species more cost-effectively. Investments in removing invasive species, however, must be weighed against the risk of reintroduction. One way to reduce reintroduction risks is to eradicate the target invasive species from an entire archipelago, and thus eliminate readily available sources. We illustrate the costs and benefits of this approach with the efforts to remove invasive goats from the Galápagos Islands. Project Isabela, the world's largest island restoration effort to date, removed &gt;140,000 goats from &gt;500,000 ha for a cost of US$10.5 million. Leveraging the capacity built during Project Isabela, and given that goat reintroductions have been common over the past decade, we implemented an archipelago-wide goat eradication strategy. Feral goats remain on three islands in the archipelago, and removal efforts are underway. Efforts on the Galápagos Islands demonstrate that for some species, island size is no longer the limiting factor with respect to eradication. Rather, bureaucratic processes, financing, political will, and stakeholder approval appear to be the new challenges. Eradication efforts have delivered a suite of biodiversity benefits that are in the process of revealing themselves. The costs of rectifying intentional reintroductions are high in terms of financial and human resources. Reducing the archipelago-wide goat density to low levels is a technical approach to reducing reintroduction risk in the short-term, and is being complemented with a longer-term social approach focused on education and governance. © 2011 Carrion et al.","author":[{"dropping-particle":"","family":"Carrion","given":"Victor","non-dropping-particle":"","parse-names":false,"suffix":""},{"dropping-particle":"","family":"Donlan","given":"C. Josh","non-dropping-particle":"","parse-names":false,"suffix":""},{"dropping-particle":"","family":"Campbell","given":"Karl J.","non-dropping-particle":"","parse-names":false,"suffix":""},{"dropping-particle":"","family":"Lavoie","given":"Christian","non-dropping-particle":"","parse-names":false,"suffix":""},{"dropping-particle":"","family":"Cruz","given":"Felipe","non-dropping-particle":"","parse-names":false,"suffix":""}],"container-title":"PLoS ONE","id":"ITEM-7","issue":"5","issued":{"date-parts":[["2011"]]},"title":"Archipelago-wide island restoration in the galápagos islands: Reducing costs of invasive mammal eradication programs and reinvasion risk","type":"article-journal","volume":"6"},"uris":["http://www.mendeley.com/documents/?uuid=95f6cc97-7c7b-435a-bffc-124495d6793e"]}],"mendeley":{"formattedCitation":"(Tershy et al. 2002, Iriarte et al. 2005, Howald et al. 2007, Witmer et al. 2009, Aguirre-Muñoz et al. 2011, Carrion et al. 2011, Samaniego-Herrera et al. 2017)","plainTextFormattedCitation":"(Tershy et al. 2002, Iriarte et al. 2005, Howald et al. 2007, Witmer et al. 2009, Aguirre-Muñoz et al. 2011, Carrion et al. 2011, Samaniego-Herrera et al. 2017)","previouslyFormattedCitation":"(A. Aguirre-Muñoz et al., 2011; Carrion et al., 2011; Howald et al., 2007; Iriarte et al., 2005; Araceli Samaniego-Herrera et al., 2017; Tershy et al., 2002; G. Witmer et al., 2009)"},"properties":{"noteIndex":0},"schema":"https://github.com/citation-style-language/schema/raw/master/csl-citation.json"}</w:instrText>
      </w:r>
      <w:r w:rsidR="00115CDE"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(Tershy et al. 2002, Iriarte et al. 2005, Howald et al. 2007, Witmer et al. 2009, Aguirre-Muñoz et al. 2011, Carrion et al. 2011, Samaniego-Herrera et al. 2017)</w:t>
      </w:r>
      <w:r w:rsidR="00115CDE" w:rsidRPr="006159FD">
        <w:rPr>
          <w:rFonts w:ascii="Times New Roman" w:eastAsia="Times New Roman" w:hAnsi="Times New Roman" w:cs="Times New Roman"/>
          <w:color w:val="000000" w:themeColor="text1"/>
        </w:rPr>
        <w:fldChar w:fldCharType="end"/>
      </w:r>
      <w:r w:rsidR="00115CDE" w:rsidRPr="006159FD">
        <w:rPr>
          <w:rFonts w:ascii="Times New Roman" w:eastAsia="Times New Roman" w:hAnsi="Times New Roman" w:cs="Times New Roman"/>
          <w:color w:val="000000" w:themeColor="text1"/>
        </w:rPr>
        <w:t xml:space="preserve"> </w:t>
      </w:r>
      <w:r w:rsidRPr="006159FD">
        <w:rPr>
          <w:rFonts w:ascii="Times New Roman" w:eastAsia="Times New Roman" w:hAnsi="Times New Roman" w:cs="Times New Roman"/>
          <w:color w:val="000000" w:themeColor="text1"/>
        </w:rPr>
        <w:t>.</w:t>
      </w:r>
    </w:p>
    <w:p w14:paraId="20242881" w14:textId="57321AA8" w:rsidR="00AB5070" w:rsidRPr="006159FD" w:rsidRDefault="00315D47" w:rsidP="00AB5070">
      <w:pPr>
        <w:pStyle w:val="ListParagraph"/>
        <w:numPr>
          <w:ilvl w:val="0"/>
          <w:numId w:val="10"/>
        </w:numPr>
        <w:rPr>
          <w:rFonts w:ascii="Times New Roman" w:hAnsi="Times New Roman" w:cs="Times New Roman"/>
          <w:color w:val="000000" w:themeColor="text1"/>
        </w:rPr>
      </w:pPr>
      <w:r w:rsidRPr="006159FD">
        <w:rPr>
          <w:rFonts w:ascii="Times New Roman" w:hAnsi="Times New Roman" w:cs="Times New Roman"/>
          <w:color w:val="000000" w:themeColor="text1"/>
        </w:rPr>
        <w:t xml:space="preserve">If </w:t>
      </w:r>
      <w:r w:rsidR="00554B1B" w:rsidRPr="006159FD">
        <w:rPr>
          <w:rFonts w:ascii="Times New Roman" w:hAnsi="Times New Roman" w:cs="Times New Roman"/>
          <w:color w:val="000000" w:themeColor="text1"/>
        </w:rPr>
        <w:t xml:space="preserve">the </w:t>
      </w:r>
      <w:r w:rsidRPr="006159FD">
        <w:rPr>
          <w:rFonts w:ascii="Times New Roman" w:hAnsi="Times New Roman" w:cs="Times New Roman"/>
          <w:color w:val="000000" w:themeColor="text1"/>
        </w:rPr>
        <w:t>invasive vertebrate was a rodent</w:t>
      </w:r>
      <w:r w:rsidR="00115CDE" w:rsidRPr="006159FD">
        <w:rPr>
          <w:rFonts w:ascii="Times New Roman" w:hAnsi="Times New Roman" w:cs="Times New Roman"/>
          <w:color w:val="000000" w:themeColor="text1"/>
        </w:rPr>
        <w:t xml:space="preserve"> species</w:t>
      </w:r>
      <w:r w:rsidRPr="006159FD">
        <w:rPr>
          <w:rFonts w:ascii="Times New Roman" w:hAnsi="Times New Roman" w:cs="Times New Roman"/>
          <w:color w:val="000000" w:themeColor="text1"/>
        </w:rPr>
        <w:t xml:space="preserve"> we assumed it</w:t>
      </w:r>
      <w:r w:rsidR="00AB5070" w:rsidRPr="006159FD">
        <w:rPr>
          <w:rFonts w:ascii="Times New Roman" w:hAnsi="Times New Roman" w:cs="Times New Roman"/>
          <w:color w:val="000000" w:themeColor="text1"/>
        </w:rPr>
        <w:t xml:space="preserve"> </w:t>
      </w:r>
      <w:r w:rsidRPr="006159FD">
        <w:rPr>
          <w:rFonts w:ascii="Times New Roman" w:hAnsi="Times New Roman" w:cs="Times New Roman"/>
          <w:color w:val="000000" w:themeColor="text1"/>
        </w:rPr>
        <w:t>i</w:t>
      </w:r>
      <w:r w:rsidR="00AB5070" w:rsidRPr="006159FD">
        <w:rPr>
          <w:rFonts w:ascii="Times New Roman" w:hAnsi="Times New Roman" w:cs="Times New Roman"/>
          <w:color w:val="000000" w:themeColor="text1"/>
        </w:rPr>
        <w:t xml:space="preserve">mpacts </w:t>
      </w:r>
      <w:r w:rsidRPr="006159FD">
        <w:rPr>
          <w:rFonts w:ascii="Times New Roman" w:hAnsi="Times New Roman" w:cs="Times New Roman"/>
          <w:color w:val="000000" w:themeColor="text1"/>
        </w:rPr>
        <w:t>f</w:t>
      </w:r>
      <w:r w:rsidR="00AB5070" w:rsidRPr="006159FD">
        <w:rPr>
          <w:rFonts w:ascii="Times New Roman" w:hAnsi="Times New Roman" w:cs="Times New Roman"/>
          <w:color w:val="000000" w:themeColor="text1"/>
        </w:rPr>
        <w:t xml:space="preserve">ood </w:t>
      </w:r>
      <w:r w:rsidRPr="006159FD">
        <w:rPr>
          <w:rFonts w:ascii="Times New Roman" w:hAnsi="Times New Roman" w:cs="Times New Roman"/>
          <w:color w:val="000000" w:themeColor="text1"/>
        </w:rPr>
        <w:t>s</w:t>
      </w:r>
      <w:r w:rsidR="00AB5070" w:rsidRPr="006159FD">
        <w:rPr>
          <w:rFonts w:ascii="Times New Roman" w:hAnsi="Times New Roman" w:cs="Times New Roman"/>
          <w:color w:val="000000" w:themeColor="text1"/>
        </w:rPr>
        <w:t>torage through contamination or consumption</w:t>
      </w:r>
      <w:r w:rsidR="00115CDE" w:rsidRPr="006159FD">
        <w:rPr>
          <w:rFonts w:ascii="Times New Roman" w:hAnsi="Times New Roman" w:cs="Times New Roman"/>
          <w:color w:val="000000" w:themeColor="text1"/>
        </w:rPr>
        <w:t xml:space="preserve"> </w:t>
      </w:r>
      <w:r w:rsidR="00115CDE"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{"citationItems":[{"id":"ITEM-1","itemData":{"abstract":"Nutria or coypu (Myocastor coypus), semi-aquatic rodents native to southern South America, are an invasive species having detrimental impacts mainly in the southern and eastern United States. Nutria were introduced into the U.S. in 1899 for fur farming and became established in several states. Nutria dispersals resulted primarily from releases by fur farmers, escapes during hurricanes or rising floodwaters, or as translocations in an attempt to control nuisance aquatic vegetation. The ravenous appetite of these herbivores can cause damage to agricultural crops and aquatic vegetation, and can alter aquatic ecosystems. Their burrowing habits can weaken irrigation structures and they are a host for some diseases. Eradication is desired in areas such as national wildlife refuges, but can be difficult due to the nutria’s extensive suitable range of habitat, the logistical challenges posed to land managers associated with these habitats, their efficiency in dispersal, and their high, year-round reproductive ability. Control is more practical in some areas and is facilitated by periods of cold temperatures and sustained lethal control. An example of an eradication strategy was implemented by USDA/Wildlife Services at Blackwater National Wildlife Refuge, Maryland, during 2002-2004 where systematic intensive control depopulated nutria from the Refuge. An example of long-term management of nutria was implemented by the Louisiana Department of Wildlife and Fisheries where an incentive payment is distributed to registered trappers and hunters on a per nutria basis. Louisiana continues to recognize nutria as a beneficial natural resource, such as fur and food, and manages for a low population. To offset negative attributy Blackwater National Wildlife Refuge recognizes only the negative impacts of this invasive species and has implemented an eradication strategy. Research efforts continue to develop efficient methods for nutria control, including detection and monitoring techniques, attractants for bait delivery of toxicants or fertility control materials, lures for improved capture rates, and improved capture devices.","author":[{"dropping-particle":"","family":"Jojola","given":"Susan","non-dropping-particle":"","parse-names":false,"suffix":""},{"dropping-particle":"","family":"Witmer","given":"Gary","non-dropping-particle":"","parse-names":false,"suffix":""},{"dropping-particle":"","family":"Nolte","given":"Dale","non-dropping-particle":"","parse-names":false,"suffix":""}],"container-title":"Proceedings of the 11th Wildlife Damage Management Conference","id":"ITEM-1","issued":{"date-parts":[["2005"]]},"page":"120-126","title":"Nutria: An Invasive Rodent Pest or Valued Resource?","type":"article-journal"},"uris":["http://www.mendeley.com/documents/?uuid=e5151de9-11e5-4d88-8b89-77814c900dc6"]},{"id":"ITEM-2","itemData":{"abstract":"Mice, rats, and other rodents threaten food production and act as reservoirs for disease throughout the world. In Asia alone, the rice loss every year caused by rodents could feed about 200 million people. Damage to crops in Africa and South America is equally dramatic. Rodent control often comes too late, is inefficient, or is considered too expensive. Using the multimammate mouse (Mastomys natalensis) in Tanzania and the house mouse (Mus domesticus) in southeastern Australia as primary case studies, we demonstrate how ecology and economics can be combined to identify management strategies to make rodent control work more efficiently than it does today. Three more rodent–pest systems – including two from Asia, the rice-field rat (Rattus argentiventer) and Brandt’s vole (Microtus brandti), and one from South America, the leaf-eared mouse (Phyllotis darwini) – are presented within the same bio-economic per- spective. For all these species, the ability to relate outbreaks to interannual climatic variability creates the potential to assess the economic benefits of forecasting rodent outbreaks.","author":[{"dropping-particle":"","family":"Stenseth","given":"Nils Chr.","non-dropping-particle":"","parse-names":false,"suffix":""},{"dropping-particle":"","family":"Leirs","given":"Herwig","non-dropping-particle":"","parse-names":false,"suffix":""},{"dropping-particle":"","family":"Skonhoft","given":"Anders","non-dropping-particle":"","parse-names":false,"suffix":""},{"dropping-particle":"","family":"Davis","given":"Stephen A.","non-dropping-particle":"","parse-names":false,"suffix":""},{"dropping-particle":"","family":"Pech","given":"Roger P.","non-dropping-particle":"","parse-names":false,"suffix":""},{"dropping-particle":"","family":"Andreassen","given":"Harry P.","non-dropping-particle":"","parse-names":false,"suffix":""},{"dropping-particle":"","family":"Singleton","given":"Grant R.","non-dropping-particle":"","parse-names":false,"suffix":""},{"dropping-particle":"","family":"Lima","given":"Mauricio","non-dropping-particle":"","parse-names":false,"suffix":""},{"dropping-particle":"","family":"Machangu","given":"Robert M.","non-dropping-particle":"","parse-names":false,"suffix":""},{"dropping-particle":"","family":"Makundi","given":"Rhodes H.","non-dropping-particle":"","parse-names":false,"suffix":""},{"dropping-particle":"","family":"Zhang","given":"Zhibin","non-dropping-particle":"","parse-names":false,"suffix":""},{"dropping-particle":"","family":"Brown","given":"Peter R.","non-dropping-particle":"","parse-names":false,"suffix":""},{"dropping-particle":"","family":"Shi","given":"Dazhao","non-dropping-particle":"","parse-names":false,"suffix":""},{"dropping-particle":"","family":"Wan","given":"Xinrong","non-dropping-particle":"","parse-names":false,"suffix":""}],"container-title":"Frontiers in Ecology and the Environment","id":"ITEM-2","issue":"7","issued":{"date-parts":[["2003"]]},"page":"367-375","title":"Mice and rats : the dynamics and bio- economics of agricultural rodents pests In a nutshell :","type":"article-journal","volume":"1"},"uris":["http://www.mendeley.com/documents/?uuid=1f97c607-b9d0-4abf-ad0d-1c933f1166e1"]},{"id":"ITEM-3","itemData":{"DOI":"10.1111/mam.12019","ISSN":"13652907","abstract":"We report the results of the first systematic assessment of global patterns and research priorities emerging in the field of rodent pest management. We carried out an extensive literature review targeted towards identifying the most relevant rodent pests, their impacts and the most common methods used to control them. We identified three disproportionally important pest species that are characterized by severe, generalist and geographically widespread impacts: the black rat Rattus rattus, the Norway rat Rattus norvegicus and the house mouse Mus musculus. Overall, only 7% of known rodent species may be considered pests. Scansorial (i.e. terrestrial and semi-arboreal) and fossorial species are generally important as pests, while aquatic and arboreal species have only specific impacts. Impacts of rodent pests on arable crops were studied most, followed by impacts on ecosystems. Studies on arable crops were typical in countries with low net income and health expenditure, while the opposite was observed for studies on ecosystems. Poisons were the most commonly used control method, followed by traps and habitat management. The need to control rodent species is expanding, especially to protect ecosystems and public health. Unlike in other fields of pest management (e.g. insect control), in rodent control we are approaching new problems with old solutions; control strategies and methods have not kept pace with emerging impacts. The need to control a rodent pest species is higher when it is non-native than within its original geographical range. The impact of a rodent species in its native range is a good predictor of the impact it may have in areas of introduction. Our review will contribute towards guiding researchers and stakeholders to focus research efforts and investments on a subset of species, and on new, less hazardous control techniques. © 2014 The Mammal Society and John Wiley &amp; Sons Ltd.","author":[{"dropping-particle":"","family":"Capizzi","given":"Dario","non-dropping-particle":"","parse-names":false,"suffix":""},{"dropping-particle":"","family":"Bertolino","given":"Sandro","non-dropping-particle":"","parse-names":false,"suffix":""},{"dropping-particle":"","family":"Mortelliti","given":"Alessio","non-dropping-particle":"","parse-names":false,"suffix":""}],"container-title":"Mammal Review","id":"ITEM-3","issue":"2","issued":{"date-parts":[["2014"]]},"page":"148-162","title":"Rating the rat: Global patterns and research priorities in impacts and management of rodent pests","type":"article-journal","volume":"44"},"uris":["http://www.mendeley.com/documents/?uuid=5e13a8d9-dcf4-48c5-83ca-cf5a6ea3ec16"]},{"id":"ITEM-4","itemData":{"DOI":"10.1134/s2075111710040089","ISSN":"2075-1117","abstract":"Taxonomic diversity of synanthropic and agrophilic rodents of Russia is analyzed. It is demonstrated that biological features of these mammals are similar. The history and pathways of their invasion, size of invaded area, and role in ecosystems are characterized. It is shown that synanthropic and agrophilic rodents are a part of a number of dangerous invasive alien mammals, but they take different places in the system of alien mammals. Synanthropic and agrophilic rodents are distinct from other alien species of mammals because their harm to natural ecosystems is not very noticeable; however, they cause serious damage to people in built-up areas and agrocoenoses. Agrophyly and synanthropy of rodents developed as an entire process of agro-synantropic population formation at early stages. Urban expansion and extensive plowing led to formation of independent agrophilic and synanthropic populations of rodents. On Russian territory, the house mice combines agrophyly and synanthropy to a greater extent. Expansion of synanthropic and agrophilic animals is connected with maximal transformation of nature by man: town planning and plowing. The global nature of these processes leads to erasure of zonal borders of biodiversity modification.","author":[{"dropping-particle":"","family":"Khlyap","given":"L. A.","non-dropping-particle":"","parse-names":false,"suffix":""},{"dropping-particle":"","family":"Warshavsky","given":"A. A.","non-dropping-particle":"","parse-names":false,"suffix":""}],"container-title":"Russian Journal of Biological Invasions","id":"ITEM-4","issue":"4","issued":{"date-parts":[["2010"]]},"page":"301-312","title":"Synanthropic and agrophilic rodents as invasive alien mammals","type":"article-journal","volume":"1"},"uris":["http://www.mendeley.com/documents/?uuid=43b577f6-5674-4287-89e0-f5191e10f887"]},{"id":"ITEM-5","itemData":{"DOI":"10.1016/j.ecolecon.2004.10.002","ISSN":"09218009","abstract":"Invading alien species in the United States cause major environmental damages and losses adding up to almost $120 billion per year. There are approximately 50,000 foreign species and the number is increasing. About 42% of the species on the Threatened or Endangered species lists are at risk primarily because of alien-invasive species. © 2004 Elsevier B.V. All rights reserved.","author":[{"dropping-particle":"","family":"Pimentel","given":"David","non-dropping-particle":"","parse-names":false,"suffix":""},{"dropping-particle":"","family":"Zuniga","given":"Rodolfo","non-dropping-particle":"","parse-names":false,"suffix":""},{"dropping-particle":"","family":"Morrison","given":"Doug","non-dropping-particle":"","parse-names":false,"suffix":""}],"container-title":"Ecological Economics","id":"ITEM-5","issue":"3 SPEC. ISS.","issued":{"date-parts":[["2005"]]},"page":"273-288","title":"Update on the environmental and economic costs associated with alien-invasive species in the United States","type":"article-journal","volume":"52"},"uris":["http://www.mendeley.com/documents/?uuid=74a47460-0f4f-4d9e-a12c-94bb46de4795"]},{"id":"ITEM-6","itemData":{"DOI":"10.5070/v426110437","abstract":"Many invasive rodent species have become established in the United States and its territories, both on the mainland and on islands. While most were introduced accidently, some were introduced for food or fur. These rodents have caused serious impacts to native flora and fauna, agriculture, and other resources. They have caused the extinction of many species of birds in insular ecosystems. Although many methods are used to control or eradicate introduced rodents, rodenticides and traps are the main tools. Since the early 1990s, agencies have been eradicating rodents from various islands, primarily for conservation purposes. There have been numerous eradication attempts in the United States and most have been successful. We review introduced rodent impacts and eradications, both successful and unsuccessful, which have occurred, with an emphasis on the United States. Finally, we consider some research needs and some remaining challenges in invasive rodent management and eradication in the United States, including the use of toxicants, land access, public attitudes, resource availability, and monitoring difficulties.","author":[{"dropping-particle":"","family":"Witmer","given":"Gary , W.","non-dropping-particle":"","parse-names":false,"suffix":""},{"dropping-particle":"","family":"Pitt","given":"William, C.","non-dropping-particle":"","parse-names":false,"suffix":""},{"dropping-particle":"","family":"Howald","given":"Gregg","non-dropping-particle":"","parse-names":false,"suffix":""}],"container-title":"Proceedings of the Vertebrate Pest Conference","id":"ITEM-6","issued":{"date-parts":[["2014"]]},"title":"Invasive Rodent Ecology, Impacts, and Management with an Emphasis on the United States","type":"article-journal","volume":"26"},"uris":["http://www.mendeley.com/documents/?uuid=a7d35236-7872-4301-94d2-a46b47156a31"]}],"mendeley":{"formattedCitation":"(Stenseth et al. 2003, Jojola et al. 2005, Pimentel et al. 2005, Khlyap and Warshavsky 2010, Capizzi et al. 2014, Witmer et al. 2014)","plainTextFormattedCitation":"(Stenseth et al. 2003, Jojola et al. 2005, Pimentel et al. 2005, Khlyap and Warshavsky 2010, Capizzi et al. 2014, Witmer et al. 2014)","previouslyFormattedCitation":"(Capizzi et al., 2014; Jojola et al., 2005; Khlyap &amp; Warshavsky, 2010; Pimentel et al., 2005; Stenseth et al., 2003; G. , W. Witmer et al., 2014)"},"properties":{"noteIndex":0},"schema":"https://github.com/citation-style-language/schema/raw/master/csl-citation.json"}</w:instrText>
      </w:r>
      <w:r w:rsidR="00115CDE"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(Stenseth et al. 2003, Jojola et al. 2005, Pimentel et al. 2005, Khlyap and Warshavsky 2010, Capizzi et al. 2014, Witmer et al. 2014)</w:t>
      </w:r>
      <w:r w:rsidR="00115CDE" w:rsidRPr="006159FD">
        <w:rPr>
          <w:rFonts w:ascii="Times New Roman" w:eastAsia="Times New Roman" w:hAnsi="Times New Roman" w:cs="Times New Roman"/>
          <w:color w:val="000000" w:themeColor="text1"/>
        </w:rPr>
        <w:fldChar w:fldCharType="end"/>
      </w:r>
    </w:p>
    <w:p w14:paraId="139648DF" w14:textId="4E5EFDDA" w:rsidR="00AB5070" w:rsidRPr="006159FD" w:rsidRDefault="00AB5070" w:rsidP="00AB5070">
      <w:pPr>
        <w:rPr>
          <w:rFonts w:ascii="Times New Roman" w:hAnsi="Times New Roman" w:cs="Times New Roman"/>
          <w:color w:val="000000" w:themeColor="text1"/>
        </w:rPr>
      </w:pPr>
    </w:p>
    <w:p w14:paraId="2D3D64F9" w14:textId="27575EFA" w:rsidR="00AB5070" w:rsidRPr="006159FD" w:rsidRDefault="00AB5070" w:rsidP="00AB5070">
      <w:pPr>
        <w:rPr>
          <w:rFonts w:ascii="Times New Roman" w:hAnsi="Times New Roman" w:cs="Times New Roman"/>
          <w:color w:val="000000" w:themeColor="text1"/>
        </w:rPr>
      </w:pPr>
    </w:p>
    <w:p w14:paraId="5DE37157" w14:textId="797FEC3F" w:rsidR="00AB5070" w:rsidRPr="006159FD" w:rsidRDefault="00AB5070" w:rsidP="00AB5070">
      <w:pPr>
        <w:rPr>
          <w:rFonts w:ascii="Times New Roman" w:hAnsi="Times New Roman" w:cs="Times New Roman"/>
          <w:color w:val="000000" w:themeColor="text1"/>
        </w:rPr>
      </w:pPr>
    </w:p>
    <w:p w14:paraId="3B971E54" w14:textId="2F7356A8" w:rsidR="00AB5070" w:rsidRPr="006159FD" w:rsidRDefault="00AB5070" w:rsidP="00AB5070">
      <w:pPr>
        <w:rPr>
          <w:rFonts w:ascii="Times New Roman" w:hAnsi="Times New Roman" w:cs="Times New Roman"/>
          <w:color w:val="000000" w:themeColor="text1"/>
        </w:rPr>
      </w:pPr>
    </w:p>
    <w:p w14:paraId="76D03236" w14:textId="2C2330E3" w:rsidR="00AB5070" w:rsidRPr="006159FD" w:rsidRDefault="00AB5070" w:rsidP="00AB5070">
      <w:pPr>
        <w:rPr>
          <w:rFonts w:ascii="Times New Roman" w:hAnsi="Times New Roman" w:cs="Times New Roman"/>
          <w:color w:val="000000" w:themeColor="text1"/>
        </w:rPr>
      </w:pPr>
    </w:p>
    <w:p w14:paraId="5D174443" w14:textId="60A2A956" w:rsidR="00AB5070" w:rsidRPr="006159FD" w:rsidRDefault="00AB5070" w:rsidP="00AB5070">
      <w:pPr>
        <w:rPr>
          <w:rFonts w:ascii="Times New Roman" w:hAnsi="Times New Roman" w:cs="Times New Roman"/>
          <w:color w:val="000000" w:themeColor="text1"/>
        </w:rPr>
      </w:pPr>
    </w:p>
    <w:p w14:paraId="5B4730C4" w14:textId="5526B7F4" w:rsidR="00AB5070" w:rsidRPr="006159FD" w:rsidRDefault="00AB5070" w:rsidP="00AB5070">
      <w:pPr>
        <w:rPr>
          <w:rFonts w:ascii="Times New Roman" w:hAnsi="Times New Roman" w:cs="Times New Roman"/>
          <w:color w:val="000000" w:themeColor="text1"/>
        </w:rPr>
      </w:pPr>
    </w:p>
    <w:p w14:paraId="496BE2EF" w14:textId="4AEDB5C1" w:rsidR="00AB5070" w:rsidRPr="006159FD" w:rsidRDefault="00AB5070" w:rsidP="00AB5070">
      <w:pPr>
        <w:rPr>
          <w:rFonts w:ascii="Times New Roman" w:hAnsi="Times New Roman" w:cs="Times New Roman"/>
          <w:color w:val="000000" w:themeColor="text1"/>
        </w:rPr>
      </w:pPr>
    </w:p>
    <w:p w14:paraId="1C62792B" w14:textId="08CF281D" w:rsidR="00AB5070" w:rsidRPr="006159FD" w:rsidRDefault="00AB5070" w:rsidP="00AB5070">
      <w:pPr>
        <w:rPr>
          <w:rFonts w:ascii="Times New Roman" w:hAnsi="Times New Roman" w:cs="Times New Roman"/>
          <w:color w:val="000000" w:themeColor="text1"/>
        </w:rPr>
      </w:pPr>
    </w:p>
    <w:p w14:paraId="0E428A93" w14:textId="29CAD90F" w:rsidR="00AB5070" w:rsidRPr="006159FD" w:rsidRDefault="00AB5070" w:rsidP="00AB5070">
      <w:pPr>
        <w:rPr>
          <w:rFonts w:ascii="Times New Roman" w:hAnsi="Times New Roman" w:cs="Times New Roman"/>
          <w:color w:val="000000" w:themeColor="text1"/>
        </w:rPr>
      </w:pPr>
    </w:p>
    <w:p w14:paraId="65F5DC01" w14:textId="2405FE1D" w:rsidR="00AB5070" w:rsidRPr="006159FD" w:rsidRDefault="00AB5070" w:rsidP="00AB5070">
      <w:pPr>
        <w:rPr>
          <w:rFonts w:ascii="Times New Roman" w:hAnsi="Times New Roman" w:cs="Times New Roman"/>
          <w:color w:val="000000" w:themeColor="text1"/>
        </w:rPr>
      </w:pPr>
    </w:p>
    <w:p w14:paraId="14F259A8" w14:textId="30664192" w:rsidR="00AB5070" w:rsidRPr="006159FD" w:rsidRDefault="00AB5070" w:rsidP="00AB5070">
      <w:pPr>
        <w:rPr>
          <w:rFonts w:ascii="Times New Roman" w:hAnsi="Times New Roman" w:cs="Times New Roman"/>
          <w:color w:val="000000" w:themeColor="text1"/>
        </w:rPr>
      </w:pPr>
    </w:p>
    <w:p w14:paraId="189D795F" w14:textId="73826C6F" w:rsidR="00AB5070" w:rsidRPr="006159FD" w:rsidRDefault="00AB5070" w:rsidP="00AB5070">
      <w:pPr>
        <w:pStyle w:val="Heading1"/>
        <w:rPr>
          <w:rFonts w:ascii="Times New Roman" w:hAnsi="Times New Roman" w:cs="Times New Roman"/>
          <w:color w:val="000000" w:themeColor="text1"/>
          <w:sz w:val="24"/>
          <w:szCs w:val="24"/>
        </w:rPr>
      </w:pPr>
    </w:p>
    <w:p w14:paraId="011B8836" w14:textId="38A57A8D" w:rsidR="00AB5070" w:rsidRPr="006159FD" w:rsidRDefault="003E6800" w:rsidP="00AB5070">
      <w:pPr>
        <w:rPr>
          <w:rFonts w:ascii="Times New Roman" w:hAnsi="Times New Roman" w:cs="Times New Roman"/>
          <w:color w:val="000000" w:themeColor="text1"/>
        </w:rPr>
      </w:pPr>
      <w:r w:rsidRPr="006159FD">
        <w:rPr>
          <w:rFonts w:ascii="Times New Roman" w:hAnsi="Times New Roman" w:cs="Times New Roman"/>
          <w:noProof/>
          <w:color w:val="000000" w:themeColor="text1"/>
        </w:rPr>
        <w:drawing>
          <wp:inline distT="0" distB="0" distL="0" distR="0" wp14:anchorId="3F5B48B7" wp14:editId="70F9E5B8">
            <wp:extent cx="5943600" cy="4959985"/>
            <wp:effectExtent l="0" t="0" r="0" b="5715"/>
            <wp:docPr id="36" name="Picture 3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Screenshot 2019-11-28 12.05.42.png"/>
                    <pic:cNvPicPr/>
                  </pic:nvPicPr>
                  <pic:blipFill>
                    <a:blip r:embed="rId20">
                      <a:extLst>
                        <a:ext uri="{28A0092B-C50C-407E-A947-70E740481C1C}">
                          <a14:useLocalDpi xmlns:a14="http://schemas.microsoft.com/office/drawing/2010/main" val="0"/>
                        </a:ext>
                      </a:extLst>
                    </a:blip>
                    <a:stretch>
                      <a:fillRect/>
                    </a:stretch>
                  </pic:blipFill>
                  <pic:spPr>
                    <a:xfrm>
                      <a:off x="0" y="0"/>
                      <a:ext cx="5943600" cy="4959985"/>
                    </a:xfrm>
                    <a:prstGeom prst="rect">
                      <a:avLst/>
                    </a:prstGeom>
                  </pic:spPr>
                </pic:pic>
              </a:graphicData>
            </a:graphic>
          </wp:inline>
        </w:drawing>
      </w:r>
    </w:p>
    <w:p w14:paraId="34A6F9E5" w14:textId="3482D4CC" w:rsidR="00D60055" w:rsidRPr="006159FD" w:rsidRDefault="00BC1DCD" w:rsidP="00D60055">
      <w:pPr>
        <w:rPr>
          <w:rFonts w:ascii="Times New Roman" w:hAnsi="Times New Roman" w:cs="Times New Roman"/>
          <w:color w:val="000000" w:themeColor="text1"/>
        </w:rPr>
      </w:pPr>
      <w:bookmarkStart w:id="9" w:name="_Toc25838865"/>
      <w:r w:rsidRPr="006159FD">
        <w:rPr>
          <w:rStyle w:val="Heading1Char"/>
          <w:rFonts w:ascii="Times New Roman" w:hAnsi="Times New Roman" w:cs="Times New Roman"/>
          <w:color w:val="000000" w:themeColor="text1"/>
          <w:sz w:val="24"/>
          <w:szCs w:val="24"/>
        </w:rPr>
        <w:t>Goal 13.</w:t>
      </w:r>
      <w:bookmarkEnd w:id="9"/>
      <w:r w:rsidRPr="006159FD">
        <w:rPr>
          <w:rFonts w:ascii="Times New Roman" w:hAnsi="Times New Roman" w:cs="Times New Roman"/>
          <w:color w:val="000000" w:themeColor="text1"/>
        </w:rPr>
        <w:t xml:space="preserve"> </w:t>
      </w:r>
      <w:r w:rsidR="00D60055" w:rsidRPr="006159FD">
        <w:rPr>
          <w:rFonts w:ascii="Times New Roman" w:hAnsi="Times New Roman" w:cs="Times New Roman"/>
          <w:color w:val="000000" w:themeColor="text1"/>
        </w:rPr>
        <w:t>Assumptions and inclusion criteria</w:t>
      </w:r>
    </w:p>
    <w:p w14:paraId="1DA8708F" w14:textId="77777777" w:rsidR="00554B1B" w:rsidRPr="006159FD" w:rsidRDefault="00315D47" w:rsidP="00554B1B">
      <w:pPr>
        <w:pStyle w:val="ListParagraph"/>
        <w:numPr>
          <w:ilvl w:val="0"/>
          <w:numId w:val="11"/>
        </w:numPr>
        <w:rPr>
          <w:rFonts w:ascii="Times New Roman" w:hAnsi="Times New Roman" w:cs="Times New Roman"/>
          <w:color w:val="000000" w:themeColor="text1"/>
        </w:rPr>
      </w:pPr>
      <w:r w:rsidRPr="006159FD">
        <w:rPr>
          <w:rFonts w:ascii="Times New Roman" w:hAnsi="Times New Roman" w:cs="Times New Roman"/>
          <w:color w:val="000000" w:themeColor="text1"/>
        </w:rPr>
        <w:t xml:space="preserve">We assumed invasive vertebrates </w:t>
      </w:r>
      <w:r w:rsidR="003A235A" w:rsidRPr="006159FD">
        <w:rPr>
          <w:rFonts w:ascii="Times New Roman" w:hAnsi="Times New Roman" w:cs="Times New Roman"/>
          <w:color w:val="000000" w:themeColor="text1"/>
        </w:rPr>
        <w:t>can affect carbon sinks and rates of carbon sequestration</w:t>
      </w:r>
      <w:r w:rsidR="00AB5070" w:rsidRPr="006159FD">
        <w:rPr>
          <w:rFonts w:ascii="Times New Roman" w:hAnsi="Times New Roman" w:cs="Times New Roman"/>
          <w:color w:val="000000" w:themeColor="text1"/>
        </w:rPr>
        <w:t xml:space="preserve"> </w:t>
      </w:r>
      <w:r w:rsidR="00554B1B" w:rsidRPr="006159FD">
        <w:rPr>
          <w:rFonts w:ascii="Times New Roman" w:hAnsi="Times New Roman" w:cs="Times New Roman"/>
          <w:color w:val="000000" w:themeColor="text1"/>
        </w:rPr>
        <w:t>t</w:t>
      </w:r>
      <w:r w:rsidR="00AB5070" w:rsidRPr="006159FD">
        <w:rPr>
          <w:rFonts w:ascii="Times New Roman" w:hAnsi="Times New Roman" w:cs="Times New Roman"/>
          <w:color w:val="000000" w:themeColor="text1"/>
        </w:rPr>
        <w:t>hrough de</w:t>
      </w:r>
      <w:r w:rsidR="00FC238A" w:rsidRPr="006159FD">
        <w:rPr>
          <w:rFonts w:ascii="Times New Roman" w:hAnsi="Times New Roman" w:cs="Times New Roman"/>
          <w:color w:val="000000" w:themeColor="text1"/>
        </w:rPr>
        <w:t>-</w:t>
      </w:r>
      <w:r w:rsidR="00AB5070" w:rsidRPr="006159FD">
        <w:rPr>
          <w:rFonts w:ascii="Times New Roman" w:hAnsi="Times New Roman" w:cs="Times New Roman"/>
          <w:color w:val="000000" w:themeColor="text1"/>
        </w:rPr>
        <w:t xml:space="preserve">vegetation: </w:t>
      </w:r>
    </w:p>
    <w:p w14:paraId="78370DA3" w14:textId="68BD5E42" w:rsidR="00AB5070" w:rsidRPr="006159FD" w:rsidRDefault="00554B1B" w:rsidP="00554B1B">
      <w:pPr>
        <w:pStyle w:val="ListParagraph"/>
        <w:numPr>
          <w:ilvl w:val="1"/>
          <w:numId w:val="11"/>
        </w:numPr>
        <w:rPr>
          <w:rFonts w:ascii="Times New Roman" w:hAnsi="Times New Roman" w:cs="Times New Roman"/>
          <w:color w:val="000000" w:themeColor="text1"/>
        </w:rPr>
      </w:pPr>
      <w:r w:rsidRPr="006159FD">
        <w:rPr>
          <w:rFonts w:ascii="Times New Roman" w:hAnsi="Times New Roman" w:cs="Times New Roman"/>
          <w:color w:val="000000" w:themeColor="text1"/>
        </w:rPr>
        <w:t xml:space="preserve">The </w:t>
      </w:r>
      <w:r w:rsidR="00FC238A" w:rsidRPr="006159FD">
        <w:rPr>
          <w:rFonts w:ascii="Times New Roman" w:hAnsi="Times New Roman" w:cs="Times New Roman"/>
          <w:color w:val="000000" w:themeColor="text1"/>
        </w:rPr>
        <w:t>invasive vertebrate</w:t>
      </w:r>
      <w:r w:rsidR="00AB5070" w:rsidRPr="006159FD">
        <w:rPr>
          <w:rFonts w:ascii="Times New Roman" w:hAnsi="Times New Roman" w:cs="Times New Roman"/>
          <w:color w:val="000000" w:themeColor="text1"/>
        </w:rPr>
        <w:t xml:space="preserve"> must be </w:t>
      </w:r>
      <w:r w:rsidRPr="006159FD">
        <w:rPr>
          <w:rFonts w:ascii="Times New Roman" w:hAnsi="Times New Roman" w:cs="Times New Roman"/>
          <w:color w:val="000000" w:themeColor="text1"/>
        </w:rPr>
        <w:t xml:space="preserve">an </w:t>
      </w:r>
      <w:r w:rsidR="00AB5070" w:rsidRPr="006159FD">
        <w:rPr>
          <w:rFonts w:ascii="Times New Roman" w:hAnsi="Times New Roman" w:cs="Times New Roman"/>
          <w:color w:val="000000" w:themeColor="text1"/>
        </w:rPr>
        <w:t xml:space="preserve">herbivore (goat, sheep, cow, deer, rabbit) </w:t>
      </w:r>
      <w:r w:rsidR="003A235A"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{"citationItems":[{"id":"ITEM-1","itemData":{"DOI":"10.1111/j.1749-4877.2010.00193.x","ISSN":"17494877","abstract":"Two of the key drivers of biodiversity loss today are climate change and invasive species. Climate change is already having a measurable impact on species distributions, reproduction and behavior, and all evidence suggests that things will get worse even if we act tomorrow to mitigate any future increases in greenhouse gas emissions: temperature will increase, precipitation will change, sea level will rise and ocean chemistry will change. At the same time, biological invasions remain an important threat to biodiversity, causing species loss, changes in distribution and habitat degradation. Acting together, the impacts of each of these drivers of change are compounded and interactions between these two threats present even greater challenges to field conservationists as well as policy-makers. Similarly, the social and economic impacts of climate change and invasive species, already substantial, will be magnified. Awareness of the links between the two should underpin all biodiversity management planning and policy. © 2010 ISZS, Blackwell Publishing and IOZ/CAS.","author":[{"dropping-particle":"","family":"Mainka","given":"Susan A.","non-dropping-particle":"","parse-names":false,"suffix":""},{"dropping-particle":"","family":"Howard","given":"Geoffrey W.","non-dropping-particle":"","parse-names":false,"suffix":""}],"container-title":"Integrative Zoology","id":"ITEM-1","issue":"2","issued":{"date-parts":[["2010"]]},"page":"102-111","title":"Climate change and invasive species: Double jeopardy","type":"article-journal","volume":"5"},"uris":["http://www.mendeley.com/documents/?uuid=7cb7579d-2f87-4b66-b413-94e3acf7c090"]},{"id":"ITEM-2","itemData":{"DOI":"10.1007/BF02192392","ISSN":"00442887","abstract":"The introduction of invasive alien vertebrates is a major cause of the loss of native biodiversity in many regions of the world. The threats posed by them are especially severe on oceanic islands and other isolated ecosystems, in which there are many examples of extinctions or declines of native species caused by alien vertebrates. Predatory mammals are the worst offenders, but mammalian herbivores can also cause biodiversity loss and may provide the prey base to support invasive predators. There are also some notorious examples of alien birds, reptiles and fish that threaten native biodiversity. The adverse effects of invasive alien vertebrates are illustrated by specific examples from New Zealand, including the multiple impacts of Australian brushtail possums (Trichosurus vulpecula). Invasive vertebrates can sometimes be eradicated in the early phases of establishment and can be removed from islands or other isolated areas. However, given the uncertainty about the effects of alien species, the best policy is to adopt the precautionary principle and avoid making introductions without prior rigorous assessment of the risks to native biodiversity.","author":[{"dropping-particle":"","family":"Clout","given":"M. N.","non-dropping-particle":"","parse-names":false,"suffix":""}],"container-title":"Zeitschrift fur Jagdwissenschaft","id":"ITEM-2","issue":"SUPPL.","issued":{"date-parts":[["2002"]]},"page":"51-58","title":"Biodiversity loss caused by invasive alien vertebrates","type":"article-journal","volume":"48"},"uris":["http://www.mendeley.com/documents/?uuid=fca72205-8df3-4244-b2a9-8a5bae1bed6b"]},{"id":"ITEM-3","itemData":{"DOI":"10.1007/s00442-009-1523-6","ISSN":"00298549","abstract":"Invasive rats (Rattus rattus, R. norvegicus, R. exulans) have large impacts on island habitats through both direct and indirect effects on plants. Rats affect vegetation by extirpating burrowing seabirds through consumption of eggs, chicks, and adults. These seabirds serve as ecosystem engineers, affecting plant communities by burying and trampling seeds and seedlings, and by altering microclimate. Rats also directly affect plant communities by consuming seeds and seedlings. We studied the direct and indirect impacts of rats on the seedlings of woody plants on 21 islands in northern New Zealand. We compared seedling densities and richness on islands which differed in status with respect to rats: nine islands where rats never invaded, seven islands where rats were present at the time of our study, and five islands where rats were either eradicated or where populations were likely to be small as a result of repeated eradications and re-invasions. In addition, we compared plots from a subset of the 21 islands with different burrow densities to examine the effects of burrowing seabirds on plants while controlling for other factors that differ between islands. We categorized plant communities by species composition and seedling density in a cluster analysis. We found that burrow densities explained more variation in seedling communities than rat status. In areas with high seabird burrow density seedling densities were low, especially for the smallest seedlings. Species richness and diversity of seedlings, but not seedling density, were most influenced by changes in microclimate induced by seabirds. Islands where rats had been eradicated or that had low rat populations had the lowest diversity and richness of seedlings (and adults), but the highest seedling density. Seedling communities on these islands were dominated by Pseudopanax lessonii and Coprosma macrocarpa. This indicates lasting effects of rats that may prevent islands from returning to pre-invasion states. © 2009 Springer-Verlag.","author":[{"dropping-particle":"","family":"Grant-Hoffman","given":"Madeline N.","non-dropping-particle":"","parse-names":false,"suffix":""},{"dropping-particle":"","family":"Mulder","given":"Christa P.","non-dropping-particle":"","parse-names":false,"suffix":""},{"dropping-particle":"","family":"Bellingham","given":"Peter J.","non-dropping-particle":"","parse-names":false,"suffix":""}],"container-title":"Oecologia","id":"ITEM-3","issue":"2","issued":{"date-parts":[["2010"]]},"page":"449-460","title":"Invasive rats alter woody seedling composition on seabird-dominated islands in New Zealand","type":"article-journal","volume":"163"},"uris":["http://www.mendeley.com/documents/?uuid=e5e8c665-e466-49d0-bffa-47f0448dbe63"]},{"id":"ITEM-4","itemData":{"DOI":"10.1111/j.1365-2486.2009.02038.x","ISSN":"13541013","abstract":"There has been a rapidly developing literature on the effects of some of the major drivers of global change on carbon (C) sequestration, particularly carbon dioxide (CO2) enrichment, land use change, nitrogen (N) deposition and climate change. However, remarkably little attention has been given to one major global change driver, namely biological invasions. This is despite growing evidence that invasive species can dramatically alter a range of aboveground and belowground ecosystem processes, including those that affect C sequestration. In this review, we assess the evidence for the impacts of biological invaders on forest C stocks and C sequestration by biological invaders. We first present case studies that highlight a range of invader impacts on C sequestration in forest ecosystems, and draw on examples that involve invasive primary producers, decomposers, herbivores, plant pathogens, mutualists and predators. We then develop a conceptual framework for assessing the effects of invasive species on C sequestration impacts more generally, by identifying the features of biological invaders and invaded ecosystems that are thought to most strongly regulate C in forests. Finally we assess the implications of managing invasive species on C sequestration. An important principle that emerges from this review is that the direct effects of invaders on forest C are often smaller and shorter-term than their indirect effects caused by altered nutrient availability, primary productivity or species composition, all of which regulate longterm C pools and fluxes. This review provides a conceptual basis for improving our general understanding of biological invaders on ecosystem C, but also points to a paucity of primary data that are needed to determine the quantitative effects of invaders on ecosystem processes that drive C sequestration. © 2009 Blackwell Publishing Ltd.","author":[{"dropping-particle":"","family":"Peltzer","given":"D. A.","non-dropping-particle":"","parse-names":false,"suffix":""},{"dropping-particle":"","family":"Allen","given":"R. B.","non-dropping-particle":"","parse-names":false,"suffix":""},{"dropping-particle":"","family":"Lovett","given":"G. M.","non-dropping-particle":"","parse-names":false,"suffix":""},{"dropping-particle":"","family":"Whitehead","given":"D.","non-dropping-particle":"","parse-names":false,"suffix":""},{"dropping-particle":"","family":"Wardle","given":"D. A.","non-dropping-particle":"","parse-names":false,"suffix":""}],"container-title":"Global Change Biology","id":"ITEM-4","issue":"2","issued":{"date-parts":[["2010"]]},"page":"732-746","title":"Effects of biological invasions on forest carbon sequestration","type":"article-journal","volume":"16"},"uris":["http://www.mendeley.com/documents/?uuid=2054a93a-b4c5-4b62-842a-0fc612a46d9a"]},{"id":"ITEM-5","itemData":{"ISSN":"01106465","abstract":"Invasive mammalian herbivores (e.g. deer, feral goats and brushtail possums; hereafter 'herbivores') are widespread throughout New Zealand and their control is important for conservation. In addition to known biodiversity benefits, it has recently been suggested that herbivore control could lead to measureable carbon gains when aggregated across a large area of conservation land. However, a significant amount of uncertainty exists regarding the potential effects of herbivore control on carbon, and the practicalities of successfully implementing such projects. This paper provides a general basis for managers and ecologists to design scientifically robust herbivore control projects for carbon gain in New Zealand. Although there are few direct data on changes in carbon sequestration rates following herbivore control, the data that are available suggest that effect sizes are likely to be small in magnitude, variable in direction, and to occur primarily though complex indirect mechanisms. The largest positive effects of herbivore control (carbon sequestration rate of 1-2 Mg C ha-1 year-1) are likely to occur in localised areas of highly palatable early-successional vegetation and high herbivore densities where control initiates rapid development of woody vegetation. Project location is therefore critical in determining the potential for carbon gain in herbivore control projects. A power analysis reveals that the ability to monitor changes in carbon stock using plot-based methods is limited to effect sizes of &gt; 0.5 Mg C ha-1 year-1, as smaller effect sizes would require an impractically large number of plots (i.e. &gt;100), and the financial and carbon costs of implementing the control and quantifying the effects are likely to outweigh any potential carbon gains. Although more research is urgently required to quantify potential gains, and the mechanisms that underlie them, our findings suggest that with careful site selection, implementation, and monitoring, control of invasive mammalian herbivores could sometimes provide carbon gains in certain areas of New Zealand's indigenous vegetation. © New Zealand Ecological Society.","author":[{"dropping-particle":"","family":"Holdaway","given":"Robert J.","non-dropping-particle":"","parse-names":false,"suffix":""},{"dropping-particle":"","family":"Burrows","given":"Larry E.","non-dropping-particle":"","parse-names":false,"suffix":""},{"dropping-particle":"","family":"Carswell","given":"Fiona E.","non-dropping-particle":"","parse-names":false,"suffix":""},{"dropping-particle":"","family":"Marburg","given":"Anna E.","non-dropping-particle":"","parse-names":false,"suffix":""}],"container-title":"New Zealand Journal of Ecology","id":"ITEM-5","issue":"2","issued":{"date-parts":[["2012"]]},"page":"252-264","title":"Potential for invasive mammalian herbivore control to result in measurable carbon gains","type":"article-journal","volume":"36"},"uris":["http://www.mendeley.com/documents/?uuid=bfe46015-3e0c-4ca2-9a6d-b4d64a1edc82"]}],"mendeley":{"formattedCitation":"(Clout 2002, Grant-Hoffman et al. 2010, Mainka and Howard 2010, Peltzer et al. 2010, Holdaway et al. 2012)","plainTextFormattedCitation":"(Clout 2002, Grant-Hoffman et al. 2010, Mainka and Howard 2010, Peltzer et al. 2010, Holdaway et al. 2012)","previouslyFormattedCitation":"(Clout, 2002; Grant-Hoffman, Mulder, &amp; Bellingham, 2010; Holdaway, Burrows, Carswell, &amp; Marburg, 2012; Mainka &amp; Howard, 2010; Peltzer, Allen, Lovett, Whitehead, &amp; Wardle, 2010)"},"properties":{"noteIndex":0},"schema":"https://github.com/citation-style-language/schema/raw/master/csl-citation.json"}</w:instrText>
      </w:r>
      <w:r w:rsidR="003A235A"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(Clout 2002, Grant-Hoffman et al. 2010, Mainka and Howard 2010, Peltzer et al. 2010, Holdaway et al. 2012)</w:t>
      </w:r>
      <w:r w:rsidR="003A235A" w:rsidRPr="006159FD">
        <w:rPr>
          <w:rFonts w:ascii="Times New Roman" w:eastAsia="Times New Roman" w:hAnsi="Times New Roman" w:cs="Times New Roman"/>
          <w:color w:val="000000" w:themeColor="text1"/>
        </w:rPr>
        <w:fldChar w:fldCharType="end"/>
      </w:r>
      <w:r w:rsidR="003A235A" w:rsidRPr="006159FD">
        <w:rPr>
          <w:rFonts w:ascii="Times New Roman" w:eastAsia="Times New Roman" w:hAnsi="Times New Roman" w:cs="Times New Roman"/>
          <w:color w:val="000000" w:themeColor="text1"/>
        </w:rPr>
        <w:t>.</w:t>
      </w:r>
    </w:p>
    <w:p w14:paraId="73132494" w14:textId="2DAD6CC6" w:rsidR="00AB5070" w:rsidRPr="006159FD" w:rsidRDefault="00CE6664" w:rsidP="00AB5070">
      <w:pPr>
        <w:pStyle w:val="ListParagraph"/>
        <w:numPr>
          <w:ilvl w:val="0"/>
          <w:numId w:val="11"/>
        </w:numPr>
        <w:rPr>
          <w:rFonts w:ascii="Times New Roman" w:hAnsi="Times New Roman" w:cs="Times New Roman"/>
          <w:color w:val="000000" w:themeColor="text1"/>
        </w:rPr>
      </w:pPr>
      <w:r w:rsidRPr="006159FD">
        <w:rPr>
          <w:rFonts w:ascii="Times New Roman" w:hAnsi="Times New Roman" w:cs="Times New Roman"/>
          <w:color w:val="000000" w:themeColor="text1"/>
        </w:rPr>
        <w:t>We assumed</w:t>
      </w:r>
      <w:r w:rsidR="00554B1B" w:rsidRPr="006159FD">
        <w:rPr>
          <w:rFonts w:ascii="Times New Roman" w:hAnsi="Times New Roman" w:cs="Times New Roman"/>
          <w:color w:val="000000" w:themeColor="text1"/>
        </w:rPr>
        <w:t xml:space="preserve"> the</w:t>
      </w:r>
      <w:r w:rsidRPr="006159FD">
        <w:rPr>
          <w:rFonts w:ascii="Times New Roman" w:hAnsi="Times New Roman" w:cs="Times New Roman"/>
          <w:color w:val="000000" w:themeColor="text1"/>
        </w:rPr>
        <w:t xml:space="preserve"> i</w:t>
      </w:r>
      <w:r w:rsidR="00FC238A" w:rsidRPr="006159FD">
        <w:rPr>
          <w:rFonts w:ascii="Times New Roman" w:hAnsi="Times New Roman" w:cs="Times New Roman"/>
          <w:color w:val="000000" w:themeColor="text1"/>
        </w:rPr>
        <w:t>nvasive vertebrate</w:t>
      </w:r>
      <w:r w:rsidR="00AB5070" w:rsidRPr="006159FD">
        <w:rPr>
          <w:rFonts w:ascii="Times New Roman" w:hAnsi="Times New Roman" w:cs="Times New Roman"/>
          <w:color w:val="000000" w:themeColor="text1"/>
        </w:rPr>
        <w:t xml:space="preserve"> </w:t>
      </w:r>
      <w:r w:rsidRPr="006159FD">
        <w:rPr>
          <w:rFonts w:ascii="Times New Roman" w:hAnsi="Times New Roman" w:cs="Times New Roman"/>
          <w:color w:val="000000" w:themeColor="text1"/>
        </w:rPr>
        <w:t xml:space="preserve">can </w:t>
      </w:r>
      <w:r w:rsidR="00FC238A" w:rsidRPr="006159FD">
        <w:rPr>
          <w:rFonts w:ascii="Times New Roman" w:hAnsi="Times New Roman" w:cs="Times New Roman"/>
          <w:color w:val="000000" w:themeColor="text1"/>
        </w:rPr>
        <w:t>i</w:t>
      </w:r>
      <w:r w:rsidR="00AB5070" w:rsidRPr="006159FD">
        <w:rPr>
          <w:rFonts w:ascii="Times New Roman" w:hAnsi="Times New Roman" w:cs="Times New Roman"/>
          <w:color w:val="000000" w:themeColor="text1"/>
        </w:rPr>
        <w:t>mpair</w:t>
      </w:r>
      <w:r w:rsidRPr="006159FD">
        <w:rPr>
          <w:rFonts w:ascii="Times New Roman" w:hAnsi="Times New Roman" w:cs="Times New Roman"/>
          <w:color w:val="000000" w:themeColor="text1"/>
        </w:rPr>
        <w:t xml:space="preserve"> the</w:t>
      </w:r>
      <w:r w:rsidR="00AB5070" w:rsidRPr="006159FD">
        <w:rPr>
          <w:rFonts w:ascii="Times New Roman" w:hAnsi="Times New Roman" w:cs="Times New Roman"/>
          <w:color w:val="000000" w:themeColor="text1"/>
        </w:rPr>
        <w:t xml:space="preserve"> </w:t>
      </w:r>
      <w:r w:rsidR="00FC238A" w:rsidRPr="006159FD">
        <w:rPr>
          <w:rFonts w:ascii="Times New Roman" w:hAnsi="Times New Roman" w:cs="Times New Roman"/>
          <w:color w:val="000000" w:themeColor="text1"/>
        </w:rPr>
        <w:t>r</w:t>
      </w:r>
      <w:r w:rsidR="00AB5070" w:rsidRPr="006159FD">
        <w:rPr>
          <w:rFonts w:ascii="Times New Roman" w:hAnsi="Times New Roman" w:cs="Times New Roman"/>
          <w:color w:val="000000" w:themeColor="text1"/>
        </w:rPr>
        <w:t xml:space="preserve">esilience of </w:t>
      </w:r>
      <w:r w:rsidR="00FC238A" w:rsidRPr="006159FD">
        <w:rPr>
          <w:rFonts w:ascii="Times New Roman" w:hAnsi="Times New Roman" w:cs="Times New Roman"/>
          <w:color w:val="000000" w:themeColor="text1"/>
        </w:rPr>
        <w:t>n</w:t>
      </w:r>
      <w:r w:rsidR="00AB5070" w:rsidRPr="006159FD">
        <w:rPr>
          <w:rFonts w:ascii="Times New Roman" w:hAnsi="Times New Roman" w:cs="Times New Roman"/>
          <w:color w:val="000000" w:themeColor="text1"/>
        </w:rPr>
        <w:t xml:space="preserve">ative </w:t>
      </w:r>
      <w:r w:rsidR="00FC238A" w:rsidRPr="006159FD">
        <w:rPr>
          <w:rFonts w:ascii="Times New Roman" w:hAnsi="Times New Roman" w:cs="Times New Roman"/>
          <w:color w:val="000000" w:themeColor="text1"/>
        </w:rPr>
        <w:t>e</w:t>
      </w:r>
      <w:r w:rsidR="00AB5070" w:rsidRPr="006159FD">
        <w:rPr>
          <w:rFonts w:ascii="Times New Roman" w:hAnsi="Times New Roman" w:cs="Times New Roman"/>
          <w:color w:val="000000" w:themeColor="text1"/>
        </w:rPr>
        <w:t xml:space="preserve">cosystems to </w:t>
      </w:r>
      <w:r w:rsidR="00FC238A" w:rsidRPr="006159FD">
        <w:rPr>
          <w:rFonts w:ascii="Times New Roman" w:hAnsi="Times New Roman" w:cs="Times New Roman"/>
          <w:color w:val="000000" w:themeColor="text1"/>
        </w:rPr>
        <w:t>c</w:t>
      </w:r>
      <w:r w:rsidR="00AB5070" w:rsidRPr="006159FD">
        <w:rPr>
          <w:rFonts w:ascii="Times New Roman" w:hAnsi="Times New Roman" w:cs="Times New Roman"/>
          <w:color w:val="000000" w:themeColor="text1"/>
        </w:rPr>
        <w:t xml:space="preserve">limate </w:t>
      </w:r>
      <w:r w:rsidR="00FC238A" w:rsidRPr="006159FD">
        <w:rPr>
          <w:rFonts w:ascii="Times New Roman" w:hAnsi="Times New Roman" w:cs="Times New Roman"/>
          <w:color w:val="000000" w:themeColor="text1"/>
        </w:rPr>
        <w:t>c</w:t>
      </w:r>
      <w:r w:rsidR="00AB5070" w:rsidRPr="006159FD">
        <w:rPr>
          <w:rFonts w:ascii="Times New Roman" w:hAnsi="Times New Roman" w:cs="Times New Roman"/>
          <w:color w:val="000000" w:themeColor="text1"/>
        </w:rPr>
        <w:t xml:space="preserve">hange through </w:t>
      </w:r>
      <w:r w:rsidR="00FC238A" w:rsidRPr="006159FD">
        <w:rPr>
          <w:rFonts w:ascii="Times New Roman" w:hAnsi="Times New Roman" w:cs="Times New Roman"/>
          <w:color w:val="000000" w:themeColor="text1"/>
        </w:rPr>
        <w:t>n</w:t>
      </w:r>
      <w:r w:rsidR="00AB5070" w:rsidRPr="006159FD">
        <w:rPr>
          <w:rFonts w:ascii="Times New Roman" w:hAnsi="Times New Roman" w:cs="Times New Roman"/>
          <w:color w:val="000000" w:themeColor="text1"/>
        </w:rPr>
        <w:t xml:space="preserve">atural </w:t>
      </w:r>
      <w:r w:rsidR="00FC238A" w:rsidRPr="006159FD">
        <w:rPr>
          <w:rFonts w:ascii="Times New Roman" w:hAnsi="Times New Roman" w:cs="Times New Roman"/>
          <w:color w:val="000000" w:themeColor="text1"/>
        </w:rPr>
        <w:t>r</w:t>
      </w:r>
      <w:r w:rsidR="00AB5070" w:rsidRPr="006159FD">
        <w:rPr>
          <w:rFonts w:ascii="Times New Roman" w:hAnsi="Times New Roman" w:cs="Times New Roman"/>
          <w:color w:val="000000" w:themeColor="text1"/>
        </w:rPr>
        <w:t xml:space="preserve">esource </w:t>
      </w:r>
      <w:r w:rsidR="00FC238A" w:rsidRPr="006159FD">
        <w:rPr>
          <w:rFonts w:ascii="Times New Roman" w:hAnsi="Times New Roman" w:cs="Times New Roman"/>
          <w:color w:val="000000" w:themeColor="text1"/>
        </w:rPr>
        <w:t>d</w:t>
      </w:r>
      <w:r w:rsidR="00AB5070" w:rsidRPr="006159FD">
        <w:rPr>
          <w:rFonts w:ascii="Times New Roman" w:hAnsi="Times New Roman" w:cs="Times New Roman"/>
          <w:color w:val="000000" w:themeColor="text1"/>
        </w:rPr>
        <w:t xml:space="preserve">egradation or </w:t>
      </w:r>
      <w:r w:rsidR="00FC238A" w:rsidRPr="006159FD">
        <w:rPr>
          <w:rFonts w:ascii="Times New Roman" w:hAnsi="Times New Roman" w:cs="Times New Roman"/>
          <w:color w:val="000000" w:themeColor="text1"/>
        </w:rPr>
        <w:t>d</w:t>
      </w:r>
      <w:r w:rsidR="00AB5070" w:rsidRPr="006159FD">
        <w:rPr>
          <w:rFonts w:ascii="Times New Roman" w:hAnsi="Times New Roman" w:cs="Times New Roman"/>
          <w:color w:val="000000" w:themeColor="text1"/>
        </w:rPr>
        <w:t xml:space="preserve">e-vegetation: </w:t>
      </w:r>
    </w:p>
    <w:p w14:paraId="406F3BD3" w14:textId="4D380D90" w:rsidR="00AB5070" w:rsidRPr="006159FD" w:rsidRDefault="00554B1B" w:rsidP="00AB5070">
      <w:pPr>
        <w:numPr>
          <w:ilvl w:val="1"/>
          <w:numId w:val="11"/>
        </w:numPr>
        <w:rPr>
          <w:rFonts w:ascii="Times New Roman" w:hAnsi="Times New Roman" w:cs="Times New Roman"/>
          <w:color w:val="000000" w:themeColor="text1"/>
        </w:rPr>
      </w:pPr>
      <w:r w:rsidRPr="006159FD">
        <w:rPr>
          <w:rFonts w:ascii="Times New Roman" w:hAnsi="Times New Roman" w:cs="Times New Roman"/>
          <w:color w:val="000000" w:themeColor="text1"/>
        </w:rPr>
        <w:t>The i</w:t>
      </w:r>
      <w:r w:rsidR="00FC238A" w:rsidRPr="006159FD">
        <w:rPr>
          <w:rFonts w:ascii="Times New Roman" w:hAnsi="Times New Roman" w:cs="Times New Roman"/>
          <w:color w:val="000000" w:themeColor="text1"/>
        </w:rPr>
        <w:t>nvasive vertebrate</w:t>
      </w:r>
      <w:r w:rsidR="00AB5070" w:rsidRPr="006159FD">
        <w:rPr>
          <w:rFonts w:ascii="Times New Roman" w:hAnsi="Times New Roman" w:cs="Times New Roman"/>
          <w:color w:val="000000" w:themeColor="text1"/>
        </w:rPr>
        <w:t xml:space="preserve"> must be </w:t>
      </w:r>
      <w:r w:rsidRPr="006159FD">
        <w:rPr>
          <w:rFonts w:ascii="Times New Roman" w:hAnsi="Times New Roman" w:cs="Times New Roman"/>
          <w:color w:val="000000" w:themeColor="text1"/>
        </w:rPr>
        <w:t xml:space="preserve">an </w:t>
      </w:r>
      <w:r w:rsidR="00AB5070" w:rsidRPr="006159FD">
        <w:rPr>
          <w:rFonts w:ascii="Times New Roman" w:hAnsi="Times New Roman" w:cs="Times New Roman"/>
          <w:color w:val="000000" w:themeColor="text1"/>
        </w:rPr>
        <w:t>herbivore (goat, sheep, cow, deer, rabbit)</w:t>
      </w:r>
      <w:r w:rsidR="008950FD" w:rsidRPr="006159FD">
        <w:rPr>
          <w:rFonts w:ascii="Times New Roman" w:hAnsi="Times New Roman" w:cs="Times New Roman"/>
          <w:color w:val="000000" w:themeColor="text1"/>
        </w:rPr>
        <w:t>,</w:t>
      </w:r>
      <w:r w:rsidR="00CE6664" w:rsidRPr="006159FD">
        <w:rPr>
          <w:rFonts w:ascii="Times New Roman" w:hAnsi="Times New Roman" w:cs="Times New Roman"/>
          <w:color w:val="000000" w:themeColor="text1"/>
        </w:rPr>
        <w:t xml:space="preserve"> </w:t>
      </w:r>
      <w:r w:rsidR="00AB5070" w:rsidRPr="006159FD">
        <w:rPr>
          <w:rFonts w:ascii="Times New Roman" w:hAnsi="Times New Roman" w:cs="Times New Roman"/>
          <w:color w:val="000000" w:themeColor="text1"/>
        </w:rPr>
        <w:t>rodent</w:t>
      </w:r>
      <w:r w:rsidRPr="006159FD">
        <w:rPr>
          <w:rFonts w:ascii="Times New Roman" w:hAnsi="Times New Roman" w:cs="Times New Roman"/>
          <w:color w:val="000000" w:themeColor="text1"/>
        </w:rPr>
        <w:t>,</w:t>
      </w:r>
      <w:r w:rsidR="008950FD" w:rsidRPr="006159FD">
        <w:rPr>
          <w:rFonts w:ascii="Times New Roman" w:hAnsi="Times New Roman" w:cs="Times New Roman"/>
          <w:color w:val="000000" w:themeColor="text1"/>
        </w:rPr>
        <w:t xml:space="preserve"> or</w:t>
      </w:r>
      <w:r w:rsidR="00AB5070" w:rsidRPr="006159FD">
        <w:rPr>
          <w:rFonts w:ascii="Times New Roman" w:hAnsi="Times New Roman" w:cs="Times New Roman"/>
          <w:color w:val="000000" w:themeColor="text1"/>
        </w:rPr>
        <w:t xml:space="preserve"> pig</w:t>
      </w:r>
      <w:r w:rsidR="003A235A" w:rsidRPr="006159FD">
        <w:rPr>
          <w:rFonts w:ascii="Times New Roman" w:hAnsi="Times New Roman" w:cs="Times New Roman"/>
          <w:color w:val="000000" w:themeColor="text1"/>
        </w:rPr>
        <w:t xml:space="preserve"> </w:t>
      </w:r>
      <w:r w:rsidR="003A235A"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{"citationItems":[{"id":"ITEM-1","itemData":{"DOI":"10.1002/eap.1642","ISSN":"19395582","abstract":"The considerable threats of invasive rodents to island biodiversity are likely to be compounded by climate change. Forecasts for such interactions have been most pronounced for the Southern Ocean islands where ameliorating conditions are expected to decrease thermal and resource restrictions on rodents. Firm evidence for changing rodent populations in response to climate change, and demonstrations of associated impacts on the terrestrial environment, are nonetheless entirely absent for the region. Using data collected over three decades on sub-Antarctic Marion Island, we tested empirically whether mouse populations have changed through time and whether these changes can be associated significantly with changing abiotic conditions. Changes in invertebrate populations, which have previously been attributed to mouse predation, but with little explicit demographic analysis, were also examined to determine whether they can be associated with changing mouse populations. The total number of mice on the island at annual peak density increased by 430.0% between 1979-1980 and 2008-2011. This increase was due to an advanced breeding season, which was robustly related to the number of precipitation-free days during the non-breeding season. Mice directly reduced invertebrate densities, with biomass losses of up to two orders of magnitude in some habitats. Such invertebrate declines are expected to have significant consequences for ecosystem processes over the long term. Our results demonstrate that as climate change continues to create ameliorating conditions for invasive rodents on sub-Antarctic islands, the severity of their impacts will increase. They also emphasize the importance of rodent eradication for the restoration of invaded islands.","author":[{"dropping-particle":"","family":"McClelland","given":"Gregory T.W.","non-dropping-particle":"","parse-names":false,"suffix":""},{"dropping-particle":"","family":"Altwegg","given":"Res","non-dropping-particle":"","parse-names":false,"suffix":""},{"dropping-particle":"","family":"Aarde","given":"Rudi J.","non-dropping-particle":"Van","parse-names":false,"suffix":""},{"dropping-particle":"","family":"Ferreira","given":"Sam","non-dropping-particle":"","parse-names":false,"suffix":""},{"dropping-particle":"","family":"Burger","given":"Alan E.","non-dropping-particle":"","parse-names":false,"suffix":""},{"dropping-particle":"","family":"Chown","given":"Steven L.","non-dropping-particle":"","parse-names":false,"suffix":""}],"container-title":"Ecological Applications","id":"ITEM-1","issue":"1","issued":{"date-parts":[["2018"]]},"page":"212-224","title":"Climate change leads to increasing population density and impacts of a key island invader:","type":"article-journal","volume":"28"},"uris":["http://www.mendeley.com/documents/?uuid=ef8cd7ae-9235-449b-b303-6944aff057d1"]},{"id":"ITEM-2","itemData":{"DOI":"10.1111/j.1523-1739.2008.00956.x","ISSN":"08888892","abstract":"Climate change and invasive species are often treated as important, but independent, issues. Nevertheless, they have strong connections: changes in climate and societal responses to climate change may exacerbate the impacts of invasive species, whereas invasive species may affect the magnitude, rate, and impact of climate change. We argue that the design and implementation of climate-change policy in the United States should specifically consider the implications for invasive species; conversely, invasive-species policy should address consequences for climate change. The development of such policies should be based on (1) characterization of interactions between invasive species and climate change, (2) identification of areas where climate-change policies could negatively affect invasive-species management, and (3) identification of areas where policies could benefit from synergies between climate change and invasive-species management. © 2008 Society for Conservation Biology.","author":[{"dropping-particle":"","family":"Pyke","given":"Christopher R.","non-dropping-particle":"","parse-names":false,"suffix":""},{"dropping-particle":"","family":"Thomas","given":"Roxanne","non-dropping-particle":"","parse-names":false,"suffix":""},{"dropping-particle":"","family":"Porter","given":"Read D.","non-dropping-particle":"","parse-names":false,"suffix":""},{"dropping-particle":"","family":"Hellmann","given":"Jessica J.","non-dropping-particle":"","parse-names":false,"suffix":""},{"dropping-particle":"","family":"Dukes","given":"Jeffrey S.","non-dropping-particle":"","parse-names":false,"suffix":""},{"dropping-particle":"","family":"Lodge","given":"David M.","non-dropping-particle":"","parse-names":false,"suffix":""},{"dropping-particle":"","family":"Chavarria","given":"Gabriela","non-dropping-particle":"","parse-names":false,"suffix":""}],"container-title":"Conservation Biology","id":"ITEM-2","issue":"3","issued":{"date-parts":[["2008"]]},"page":"585-592","title":"Current practices and future opportunities for policy on climate change and invasive species","type":"article-journal","volume":"22"},"uris":["http://www.mendeley.com/documents/?uuid=ea13d2ce-8c21-45f0-b9f6-99b156a295e2"]},{"id":"ITEM-3","itemData":{"DOI":"10.1017/S0376892917000297","ISBN":"0376892917000","ISSN":"14694387","abstract":"Invasive alien species (IASs) on islands have broad impacts across biodiversity, agriculture, economy, health and culture, which tend to be stronger than on continents. Across small-island developing states (SIDSs), although only a small number of IASs are widely distributed, many more, including those with greatest impact, are found on only a small number of islands. Patterns of island invasion are not consistent across SIDS geographic regions, with differences attributable to correlated patterns in island biogeography and human development. We identify 15 of the most globally prevalent IASs on islands. IAS impacts on islands are exacerbated through interactions with a number of other global change threats, including over-exploitation, agricultural intensification, urban development and climate change. Biosecurity is critical in preventing IAS invasion of islands. Eradication of IASs on islands is possible at early stages of invasion, but otherwise is largely restricted to invasive mammals, or otherwise control is the only option. Future directions in IAS management and research on islands must consider IASs within a broader portfolio of threats to species, ecosystems and people's livelihoods on islands. We advocate for stronger collaborations among island countries and territories faced with the same IASs in similar socio-ecological environments.","author":[{"dropping-particle":"","family":"Russell","given":"James C.","non-dropping-particle":"","parse-names":false,"suffix":""},{"dropping-particle":"","family":"Meyer","given":"Jean Yves","non-dropping-particle":"","parse-names":false,"suffix":""},{"dropping-particle":"","family":"Holmes","given":"Nick D.","non-dropping-particle":"","parse-names":false,"suffix":""},{"dropping-particle":"","family":"Pagad","given":"Shyama","non-dropping-particle":"","parse-names":false,"suffix":""}],"container-title":"Environmental Conservation","id":"ITEM-3","issue":"4","issued":{"date-parts":[["2017"]]},"page":"359-370","title":"Invasive alien species on islands: Impacts, distribution, interactions and management","type":"article-journal","volume":"44"},"uris":["http://www.mendeley.com/documents/?uuid=c7ba5b4d-8b25-4315-b14d-edff8566d6f2"]},{"id":"ITEM-4","itemData":{"DOI":"10.1111/conl.12373","ISBN":"4158106222","ISSN":"1755263X","abstract":"Invasive mammals are an ongoing threat at many seabird breeding locations, while impacts from climate change can occur over broad time scales. Combin- ingmanagement strategies for invasive mammal and climate change impacts is important for mitigating current threats and maximizing seabird survival into the future. We assessed all 713 islands with threatened seabirds for conserva- tion importance, immediate benefits of three invasive mammal management actions, and risk of climate-change related flooding. Preventing invasions on the 397 islands without invasive mammals could benefit 72 seabird species. Invasive mammal eradication or localized action on 249 and 67 islands could benefit 71 and 46 seabird species, respectively. The long-term risk of flood- ing on the 713 islands was low (69%). Low-risk islands were concentrated where eradications or localized action were highlighted (75% and 100% of is- lands, respectively). These results inform management feasibility assessments and highlight rare opportunities to make significant contributions to seabird conservation.","author":[{"dropping-particle":"","family":"Spatz","given":"Dena R.","non-dropping-particle":"","parse-names":false,"suffix":""},{"dropping-particle":"","family":"Holmes","given":"Nick D.","non-dropping-particle":"","parse-names":false,"suffix":""},{"dropping-particle":"","family":"Reguero","given":"Borja G.","non-dropping-particle":"","parse-names":false,"suffix":""},{"dropping-particle":"","family":"Butchart","given":"Stuart H.M.","non-dropping-particle":"","parse-names":false,"suffix":""},{"dropping-particle":"","family":"Tershy","given":"Bernie R.","non-dropping-particle":"","parse-names":false,"suffix":""},{"dropping-particle":"","family":"Croll","given":"Donald A.","non-dropping-particle":"","parse-names":false,"suffix":""}],"container-title":"Conservation Letters","id":"ITEM-4","issue":"6","issued":{"date-parts":[["2017"]]},"title":"Managing Invasive Mammals to Conserve Globally Threatened Seabirds in a Changing Climate","type":"article","volume":"10"},"uris":["http://www.mendeley.com/documents/?uuid=d780125e-3919-3319-9289-c5915152ab16"]},{"id":"ITEM-5","itemData":{"DOI":"10.1071/WR07116","ISSN":"10353712","abstract":"There is mounting evidence for the direct ecological impacts of recent climate change, and for amplifying feedbacks, in both directions, with other drivers of biodiversity loss, such as habitat fragmentation and overexploitation. Surprisingly, however, empirical and experimental data on the links between climate change and species introductions are scant, especially for invasive vertebrates. Because the theoretical basis for their mutually reinforced impact is strong, this dearth of evidence likely reflects the difficulty in studying such interactions, and insufficient attention to this topic, rather than a genuine lack of association. Given the unprecedented rate of recent and predicted future climate change, and the continued exponential rise in species invasions worldwide, it is imperative that we sharpen our scientific focus so as to best equip wildlife managers with the knowledge to tackle this inevitable synergy of threats. © CSIRO 2008.","author":[{"dropping-particle":"","family":"Brook","given":"Barry W.","non-dropping-particle":"","parse-names":false,"suffix":""}],"container-title":"Wildlife Research","id":"ITEM-5","issue":"3","issued":{"date-parts":[["2008"]]},"page":"249-252","title":"Synergies between climate change, extinctions and invasive vertebrates","type":"article-journal","volume":"35"},"uris":["http://www.mendeley.com/documents/?uuid=94d7bb2d-328f-4b2b-abeb-0ff8ca994626"]},{"id":"ITEM-6","itemData":{"DOI":"10.1111/j.1749-4877.2010.00193.x","ISSN":"17494877","abstract":"Two of the key drivers of biodiversity loss today are climate change and invasive species. Climate change is already having a measurable impact on species distributions, reproduction and behavior, and all evidence suggests that things will get worse even if we act tomorrow to mitigate any future increases in greenhouse gas emissions: temperature will increase, precipitation will change, sea level will rise and ocean chemistry will change. At the same time, biological invasions remain an important threat to biodiversity, causing species loss, changes in distribution and habitat degradation. Acting together, the impacts of each of these drivers of change are compounded and interactions between these two threats present even greater challenges to field conservationists as well as policy-makers. Similarly, the social and economic impacts of climate change and invasive species, already substantial, will be magnified. Awareness of the links between the two should underpin all biodiversity management planning and policy. © 2010 ISZS, Blackwell Publishing and IOZ/CAS.","author":[{"dropping-particle":"","family":"Mainka","given":"Susan A.","non-dropping-particle":"","parse-names":false,"suffix":""},{"dropping-particle":"","family":"Howard","given":"Geoffrey W.","non-dropping-particle":"","parse-names":false,"suffix":""}],"container-title":"Integrative Zoology","id":"ITEM-6","issue":"2","issued":{"date-parts":[["2010"]]},"page":"102-111","title":"Climate change and invasive species: Double jeopardy","type":"article-journal","volume":"5"},"uris":["http://www.mendeley.com/documents/?uuid=7cb7579d-2f87-4b66-b413-94e3acf7c090"]},{"id":"ITEM-7","itemData":{"DOI":"10.1007/BF02192392","ISSN":"00442887","abstract":"The introduction of invasive alien vertebrates is a major cause of the loss of native biodiversity in many regions of the world. The threats posed by them are especially severe on oceanic islands and other isolated ecosystems, in which there are many examples of extinctions or declines of native species caused by alien vertebrates. Predatory mammals are the worst offenders, but mammalian herbivores can also cause biodiversity loss and may provide the prey base to support invasive predators. There are also some notorious examples of alien birds, reptiles and fish that threaten native biodiversity. The adverse effects of invasive alien vertebrates are illustrated by specific examples from New Zealand, including the multiple impacts of Australian brushtail possums (Trichosurus vulpecula). Invasive vertebrates can sometimes be eradicated in the early phases of establishment and can be removed from islands or other isolated areas. However, given the uncertainty about the effects of alien species, the best policy is to adopt the precautionary principle and avoid making introductions without prior rigorous assessment of the risks to native biodiversity.","author":[{"dropping-particle":"","family":"Clout","given":"M. N.","non-dropping-particle":"","parse-names":false,"suffix":""}],"container-title":"Zeitschrift fur Jagdwissenschaft","id":"ITEM-7","issue":"SUPPL.","issued":{"date-parts":[["2002"]]},"page":"51-58","title":"Biodiversity loss caused by invasive alien vertebrates","type":"article-journal","volume":"48"},"uris":["http://www.mendeley.com/documents/?uuid=fca72205-8df3-4244-b2a9-8a5bae1bed6b"]},{"id":"ITEM-8","itemData":{"DOI":"10.1007/s00442-009-1523-6","ISSN":"00298549","abstract":"Invasive rats (Rattus rattus, R. norvegicus, R. exulans) have large impacts on island habitats through both direct and indirect effects on plants. Rats affect vegetation by extirpating burrowing seabirds through consumption of eggs, chicks, and adults. These seabirds serve as ecosystem engineers, affecting plant communities by burying and trampling seeds and seedlings, and by altering microclimate. Rats also directly affect plant communities by consuming seeds and seedlings. We studied the direct and indirect impacts of rats on the seedlings of woody plants on 21 islands in northern New Zealand. We compared seedling densities and richness on islands which differed in status with respect to rats: nine islands where rats never invaded, seven islands where rats were present at the time of our study, and five islands where rats were either eradicated or where populations were likely to be small as a result of repeated eradications and re-invasions. In addition, we compared plots from a subset of the 21 islands with different burrow densities to examine the effects of burrowing seabirds on plants while controlling for other factors that differ between islands. We categorized plant communities by species composition and seedling density in a cluster analysis. We found that burrow densities explained more variation in seedling communities than rat status. In areas with high seabird burrow density seedling densities were low, especially for the smallest seedlings. Species richness and diversity of seedlings, but not seedling density, were most influenced by changes in microclimate induced by seabirds. Islands where rats had been eradicated or that had low rat populations had the lowest diversity and richness of seedlings (and adults), but the highest seedling density. Seedling communities on these islands were dominated by Pseudopanax lessonii and Coprosma macrocarpa. This indicates lasting effects of rats that may prevent islands from returning to pre-invasion states. © 2009 Springer-Verlag.","author":[{"dropping-particle":"","family":"Grant-Hoffman","given":"Madeline N.","non-dropping-particle":"","parse-names":false,"suffix":""},{"dropping-particle":"","family":"Mulder","given":"Christa P.","non-dropping-particle":"","parse-names":false,"suffix":""},{"dropping-particle":"","family":"Bellingham","given":"Peter J.","non-dropping-particle":"","parse-names":false,"suffix":""}],"container-title":"Oecologia","id":"ITEM-8","issue":"2","issued":{"date-parts":[["2010"]]},"page":"449-460","title":"Invasive rats alter woody seedling composition on seabird-dominated islands in New Zealand","type":"article-journal","volume":"163"},"uris":["http://www.mendeley.com/documents/?uuid=e5e8c665-e466-49d0-bffa-47f0448dbe63"]},{"id":"ITEM-9","itemData":{"DOI":"10.1111/j.1365-2486.2009.02038.x","ISSN":"13541013","abstract":"There has been a rapidly developing literature on the effects of some of the major drivers of global change on carbon (C) sequestration, particularly carbon dioxide (CO2) enrichment, land use change, nitrogen (N) deposition and climate change. However, remarkably little attention has been given to one major global change driver, namely biological invasions. This is despite growing evidence that invasive species can dramatically alter a range of aboveground and belowground ecosystem processes, including those that affect C sequestration. In this review, we assess the evidence for the impacts of biological invaders on forest C stocks and C sequestration by biological invaders. We first present case studies that highlight a range of invader impacts on C sequestration in forest ecosystems, and draw on examples that involve invasive primary producers, decomposers, herbivores, plant pathogens, mutualists and predators. We then develop a conceptual framework for assessing the effects of invasive species on C sequestration impacts more generally, by identifying the features of biological invaders and invaded ecosystems that are thought to most strongly regulate C in forests. Finally we assess the implications of managing invasive species on C sequestration. An important principle that emerges from this review is that the direct effects of invaders on forest C are often smaller and shorter-term than their indirect effects caused by altered nutrient availability, primary productivity or species composition, all of which regulate longterm C pools and fluxes. This review provides a conceptual basis for improving our general understanding of biological invaders on ecosystem C, but also points to a paucity of primary data that are needed to determine the quantitative effects of invaders on ecosystem processes that drive C sequestration. © 2009 Blackwell Publishing Ltd.","author":[{"dropping-particle":"","family":"Peltzer","given":"D. A.","non-dropping-particle":"","parse-names":false,"suffix":""},{"dropping-particle":"","family":"Allen","given":"R. B.","non-dropping-particle":"","parse-names":false,"suffix":""},{"dropping-particle":"","family":"Lovett","given":"G. M.","non-dropping-particle":"","parse-names":false,"suffix":""},{"dropping-particle":"","family":"Whitehead","given":"D.","non-dropping-particle":"","parse-names":false,"suffix":""},{"dropping-particle":"","family":"Wardle","given":"D. A.","non-dropping-particle":"","parse-names":false,"suffix":""}],"container-title":"Global Change Biology","id":"ITEM-9","issue":"2","issued":{"date-parts":[["2010"]]},"page":"732-746","title":"Effects of biological invasions on forest carbon sequestration","type":"article-journal","volume":"16"},"uris":["http://www.mendeley.com/documents/?uuid=2054a93a-b4c5-4b62-842a-0fc612a46d9a"]},{"id":"ITEM-10","itemData":{"ISSN":"01106465","abstract":"Invasive mammalian herbivores (e.g. deer, feral goats and brushtail possums; hereafter 'herbivores') are widespread throughout New Zealand and their control is important for conservation. In addition to known biodiversity benefits, it has recently been suggested that herbivore control could lead to measureable carbon gains when aggregated across a large area of conservation land. However, a significant amount of uncertainty exists regarding the potential effects of herbivore control on carbon, and the practicalities of successfully implementing such projects. This paper provides a general basis for managers and ecologists to design scientifically robust herbivore control projects for carbon gain in New Zealand. Although there are few direct data on changes in carbon sequestration rates following herbivore control, the data that are available suggest that effect sizes are likely to be small in magnitude, variable in direction, and to occur primarily though complex indirect mechanisms. The largest positive effects of herbivore control (carbon sequestration rate of 1-2 Mg C ha-1 year-1) are likely to occur in localised areas of highly palatable early-successional vegetation and high herbivore densities where control initiates rapid development of woody vegetation. Project location is therefore critical in determining the potential for carbon gain in herbivore control projects. A power analysis reveals that the ability to monitor changes in carbon stock using plot-based methods is limited to effect sizes of &gt; 0.5 Mg C ha-1 year-1, as smaller effect sizes would require an impractically large number of plots (i.e. &gt;100), and the financial and carbon costs of implementing the control and quantifying the effects are likely to outweigh any potential carbon gains. Although more research is urgently required to quantify potential gains, and the mechanisms that underlie them, our findings suggest that with careful site selection, implementation, and monitoring, control of invasive mammalian herbivores could sometimes provide carbon gains in certain areas of New Zealand's indigenous vegetation. © New Zealand Ecological Society.","author":[{"dropping-particle":"","family":"Holdaway","given":"Robert J.","non-dropping-particle":"","parse-names":false,"suffix":""},{"dropping-particle":"","family":"Burrows","given":"Larry E.","non-dropping-particle":"","parse-names":false,"suffix":""},{"dropping-particle":"","family":"Carswell","given":"Fiona E.","non-dropping-particle":"","parse-names":false,"suffix":""},{"dropping-particle":"","family":"Marburg","given":"Anna E.","non-dropping-particle":"","parse-names":false,"suffix":""}],"container-title":"New Zealand Journal of Ecology","id":"ITEM-10","issue":"2","issued":{"date-parts":[["2012"]]},"page":"252-264","title":"Potential for invasive mammalian herbivore control to result in measurable carbon gains","type":"article-journal","volume":"36"},"uris":["http://www.mendeley.com/documents/?uuid=bfe46015-3e0c-4ca2-9a6d-b4d64a1edc82"]}],"mendeley":{"formattedCitation":"(Clout 2002, Brook 2008, Pyke et al. 2008, Grant-Hoffman et al. 2010, Mainka and Howard 2010, Peltzer et al. 2010, Holdaway et al. 2012, Russell et al. 2017, Spatz et al. 2017, McClelland et al. 2018)","plainTextFormattedCitation":"(Clout 2002, Brook 2008, Pyke et al. 2008, Grant-Hoffman et al. 2010, Mainka and Howard 2010, Peltzer et al. 2010, Holdaway et al. 2012, Russell et al. 2017, Spatz et al. 2017, McClelland et al. 2018)","previouslyFormattedCitation":"(Brook, 2008; Clout, 2002; Grant-Hoffman et al., 2010; Holdaway et al., 2012; Mainka &amp; Howard, 2010; McClelland et al., 2018; Peltzer et al., 2010; Pyke et al., 2008; Russell et al., 2017; Spatz et al., 2017)"},"properties":{"noteIndex":0},"schema":"https://github.com/citation-style-language/schema/raw/master/csl-citation.json"}</w:instrText>
      </w:r>
      <w:r w:rsidR="003A235A"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(Clout 2002, Brook 2008, Pyke et al. 2008, Grant-Hoffman et al. 2010, Mainka and Howard 2010, Peltzer et al. 2010, Holdaway et al. 2012, Russell et al. 2017, Spatz et al. 2017, McClelland et al. 2018)</w:t>
      </w:r>
      <w:r w:rsidR="003A235A" w:rsidRPr="006159FD">
        <w:rPr>
          <w:rFonts w:ascii="Times New Roman" w:eastAsia="Times New Roman" w:hAnsi="Times New Roman" w:cs="Times New Roman"/>
          <w:color w:val="000000" w:themeColor="text1"/>
        </w:rPr>
        <w:fldChar w:fldCharType="end"/>
      </w:r>
      <w:r w:rsidR="00AB5070" w:rsidRPr="006159FD">
        <w:rPr>
          <w:rFonts w:ascii="Times New Roman" w:hAnsi="Times New Roman" w:cs="Times New Roman"/>
          <w:color w:val="000000" w:themeColor="text1"/>
        </w:rPr>
        <w:t xml:space="preserve">. </w:t>
      </w:r>
    </w:p>
    <w:p w14:paraId="523DBBDB" w14:textId="4AB7B966" w:rsidR="00AB5070" w:rsidRPr="006159FD" w:rsidRDefault="00AB5070" w:rsidP="00AB5070">
      <w:pPr>
        <w:pStyle w:val="Heading1"/>
        <w:rPr>
          <w:rFonts w:ascii="Times New Roman" w:hAnsi="Times New Roman" w:cs="Times New Roman"/>
          <w:color w:val="000000" w:themeColor="text1"/>
          <w:sz w:val="24"/>
          <w:szCs w:val="24"/>
        </w:rPr>
      </w:pPr>
    </w:p>
    <w:p w14:paraId="365BA70A" w14:textId="3850B2CB" w:rsidR="00AB5070" w:rsidRPr="006159FD" w:rsidRDefault="00E67F11" w:rsidP="00AB5070">
      <w:pPr>
        <w:rPr>
          <w:rFonts w:ascii="Times New Roman" w:hAnsi="Times New Roman" w:cs="Times New Roman"/>
          <w:color w:val="000000" w:themeColor="text1"/>
        </w:rPr>
      </w:pPr>
      <w:r w:rsidRPr="006159FD">
        <w:rPr>
          <w:rFonts w:ascii="Times New Roman" w:hAnsi="Times New Roman" w:cs="Times New Roman"/>
          <w:noProof/>
          <w:color w:val="000000" w:themeColor="text1"/>
        </w:rPr>
        <w:drawing>
          <wp:inline distT="0" distB="0" distL="0" distR="0" wp14:anchorId="0AE7DB95" wp14:editId="5805850F">
            <wp:extent cx="5943600" cy="4491355"/>
            <wp:effectExtent l="0" t="0" r="0" b="4445"/>
            <wp:docPr id="42" name="Picture 42" descr="A screenshot of a social media po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Screenshot 2019-11-28 13.06.15.png"/>
                    <pic:cNvPicPr/>
                  </pic:nvPicPr>
                  <pic:blipFill>
                    <a:blip r:embed="rId21">
                      <a:extLst>
                        <a:ext uri="{28A0092B-C50C-407E-A947-70E740481C1C}">
                          <a14:useLocalDpi xmlns:a14="http://schemas.microsoft.com/office/drawing/2010/main" val="0"/>
                        </a:ext>
                      </a:extLst>
                    </a:blip>
                    <a:stretch>
                      <a:fillRect/>
                    </a:stretch>
                  </pic:blipFill>
                  <pic:spPr>
                    <a:xfrm>
                      <a:off x="0" y="0"/>
                      <a:ext cx="5943600" cy="4491355"/>
                    </a:xfrm>
                    <a:prstGeom prst="rect">
                      <a:avLst/>
                    </a:prstGeom>
                  </pic:spPr>
                </pic:pic>
              </a:graphicData>
            </a:graphic>
          </wp:inline>
        </w:drawing>
      </w:r>
    </w:p>
    <w:p w14:paraId="7523F170" w14:textId="77777777" w:rsidR="00AB5070" w:rsidRPr="006159FD" w:rsidRDefault="00AB5070" w:rsidP="00AB5070">
      <w:pPr>
        <w:rPr>
          <w:rFonts w:ascii="Times New Roman" w:hAnsi="Times New Roman" w:cs="Times New Roman"/>
          <w:color w:val="000000" w:themeColor="text1"/>
        </w:rPr>
      </w:pPr>
    </w:p>
    <w:p w14:paraId="5B3CD5B8" w14:textId="2055EC00" w:rsidR="00D60055" w:rsidRPr="006159FD" w:rsidRDefault="00BC1DCD" w:rsidP="00D60055">
      <w:pPr>
        <w:rPr>
          <w:rFonts w:ascii="Times New Roman" w:hAnsi="Times New Roman" w:cs="Times New Roman"/>
          <w:color w:val="000000" w:themeColor="text1"/>
        </w:rPr>
      </w:pPr>
      <w:bookmarkStart w:id="10" w:name="_Toc25838866"/>
      <w:r w:rsidRPr="006159FD">
        <w:rPr>
          <w:rStyle w:val="Heading1Char"/>
          <w:rFonts w:ascii="Times New Roman" w:hAnsi="Times New Roman" w:cs="Times New Roman"/>
          <w:color w:val="000000" w:themeColor="text1"/>
          <w:sz w:val="24"/>
          <w:szCs w:val="24"/>
        </w:rPr>
        <w:t>Goal 14.</w:t>
      </w:r>
      <w:bookmarkEnd w:id="10"/>
      <w:r w:rsidRPr="006159FD">
        <w:rPr>
          <w:rFonts w:ascii="Times New Roman" w:hAnsi="Times New Roman" w:cs="Times New Roman"/>
          <w:color w:val="000000" w:themeColor="text1"/>
        </w:rPr>
        <w:t xml:space="preserve"> </w:t>
      </w:r>
      <w:r w:rsidR="00D60055" w:rsidRPr="006159FD">
        <w:rPr>
          <w:rFonts w:ascii="Times New Roman" w:hAnsi="Times New Roman" w:cs="Times New Roman"/>
          <w:color w:val="000000" w:themeColor="text1"/>
        </w:rPr>
        <w:t>Assumptions and inclusion criteria</w:t>
      </w:r>
    </w:p>
    <w:p w14:paraId="1B4B7E2A" w14:textId="77777777" w:rsidR="00554B1B" w:rsidRPr="006159FD" w:rsidRDefault="00554B1B" w:rsidP="00D60055">
      <w:pPr>
        <w:rPr>
          <w:rFonts w:ascii="Times New Roman" w:hAnsi="Times New Roman" w:cs="Times New Roman"/>
          <w:color w:val="000000" w:themeColor="text1"/>
        </w:rPr>
      </w:pPr>
    </w:p>
    <w:p w14:paraId="4887B796" w14:textId="2093849B" w:rsidR="006D119C" w:rsidRPr="006159FD" w:rsidRDefault="00AB5070" w:rsidP="006D119C">
      <w:pPr>
        <w:pStyle w:val="ListParagraph"/>
        <w:numPr>
          <w:ilvl w:val="0"/>
          <w:numId w:val="20"/>
        </w:numPr>
        <w:rPr>
          <w:rFonts w:ascii="Times New Roman" w:hAnsi="Times New Roman" w:cs="Times New Roman"/>
          <w:color w:val="000000" w:themeColor="text1"/>
        </w:rPr>
      </w:pPr>
      <w:r w:rsidRPr="006159FD">
        <w:rPr>
          <w:rFonts w:ascii="Times New Roman" w:hAnsi="Times New Roman" w:cs="Times New Roman"/>
          <w:color w:val="000000" w:themeColor="text1"/>
        </w:rPr>
        <w:t xml:space="preserve">We assume all </w:t>
      </w:r>
      <w:r w:rsidR="00FC238A" w:rsidRPr="006159FD">
        <w:rPr>
          <w:rFonts w:ascii="Times New Roman" w:hAnsi="Times New Roman" w:cs="Times New Roman"/>
          <w:color w:val="000000" w:themeColor="text1"/>
        </w:rPr>
        <w:t>invasive vertebrates</w:t>
      </w:r>
      <w:r w:rsidRPr="006159FD">
        <w:rPr>
          <w:rFonts w:ascii="Times New Roman" w:hAnsi="Times New Roman" w:cs="Times New Roman"/>
          <w:color w:val="000000" w:themeColor="text1"/>
        </w:rPr>
        <w:t xml:space="preserve"> impact coast</w:t>
      </w:r>
      <w:r w:rsidR="008950FD" w:rsidRPr="006159FD">
        <w:rPr>
          <w:rFonts w:ascii="Times New Roman" w:hAnsi="Times New Roman" w:cs="Times New Roman"/>
          <w:color w:val="000000" w:themeColor="text1"/>
        </w:rPr>
        <w:t>al</w:t>
      </w:r>
      <w:r w:rsidRPr="006159FD">
        <w:rPr>
          <w:rFonts w:ascii="Times New Roman" w:hAnsi="Times New Roman" w:cs="Times New Roman"/>
          <w:color w:val="000000" w:themeColor="text1"/>
        </w:rPr>
        <w:t xml:space="preserve"> ecosystems</w:t>
      </w:r>
      <w:r w:rsidR="003A235A" w:rsidRPr="006159FD">
        <w:rPr>
          <w:rFonts w:ascii="Times New Roman" w:hAnsi="Times New Roman" w:cs="Times New Roman"/>
          <w:color w:val="000000" w:themeColor="text1"/>
        </w:rPr>
        <w:t xml:space="preserve"> </w:t>
      </w:r>
      <w:r w:rsidR="003A235A"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{"citationItems":[{"id":"ITEM-1","itemData":{"DOI":"10.1890/15-0027.1","ISSN":"00129658","abstract":"Species composition is expected to alter ecological function in assemblages if species traits differ strongly. Such effects are often large and persistent for nonnative carnivores invading islands. Alternatively, high similarity in traits within assemblages creates a degree of functional redundancy in ecosystems. Here we tested whether species turnover results in functional ecological equivalence or complementarity, and whether invasive carnivores on islands significantly alter such ecological function. The model system consisted of vertebrate scavengers (dominated by raptors) foraging on animal carcasses on ocean beaches on two Australian islands, one with and one without invasive red foxes (Vulpes vulpes). Partitioning of scavenging events among species, carcass removal rates, and detection speeds were quantified using camera traps baited with fish carcasses at the dune-beach interface. Complete segregation of temporal foraging niches between mammals (nocturnal) and birds (diurnal) reflects complementarity in carrion utilization. Conversely, functional redundancy exists within the bird guild where several species of raptors dominate carrion removal in a broadly similar way. As predicted, effects of red foxes were large. They substantially changed the nature and rate of the scavenging process in the system: (1) foxes consumed over half (55%) of all carrion available at night, compared with negligible mammalian foraging at night on the fox-free island, and (2) significant shifts in the composition of the scavenger assemblages consuming beach-cast carrion are the consequence of fox invasion at one island. Arguably, in the absence of other mammalian apex predators, the addition of red foxes creates a new dimension of functional complementarity in beach food webs. However, this functional complementarity added by foxes is neither benign nor neutral, as marine carrion subsidies to coastal red fox populations are likely to facilitate their persistence as exotic carnivores.","author":[{"dropping-particle":"","family":"Brown","given":"Marion B.","non-dropping-particle":"","parse-names":false,"suffix":""},{"dropping-particle":"","family":"Schlacher","given":"Thomas A.","non-dropping-particle":"","parse-names":false,"suffix":""},{"dropping-particle":"","family":"Schoeman","given":"David S.","non-dropping-particle":"","parse-names":false,"suffix":""},{"dropping-particle":"","family":"Weston","given":"Michael A.","non-dropping-particle":"","parse-names":false,"suffix":""},{"dropping-particle":"","family":"Huijbers","given":"Chantal M.","non-dropping-particle":"","parse-names":false,"suffix":""},{"dropping-particle":"","family":"Olds","given":"Andrew D.","non-dropping-particle":"","parse-names":false,"suffix":""},{"dropping-particle":"","family":"Connolly","given":"Rod M.","non-dropping-particle":"","parse-names":false,"suffix":""}],"container-title":"Ecology","id":"ITEM-1","issue":"10","issued":{"date-parts":[["2015"]]},"page":"2715-2725","title":"Invasive carnivores alter ecological function and enhance complementarity in scavenger assemblages on ocean beaches","type":"article-journal","volume":"96"},"uris":["http://www.mendeley.com/documents/?uuid=815d2cfb-a2b2-4d53-828c-dd20bc10c84c"]},{"id":"ITEM-2","itemData":{"DOI":"10.1007/s00300-010-0826-8","ISSN":"07224060","abstract":"In coasts bordering highly productive seas, there can be a flux of resources to the terrestrial ecosystem, and terrestrial carnivores can use marine prey extensively. Two native, endangered species (otter Lontra provocax and culpeo fox Pseudalopex culpaeus lycoides) and two exotic species (mink Neovison vison and grey fox Pseudalopex griseus) inhabit the Beagle coast. The objectives of this paper are: (1) to describe the diet, habitat use and distribution of otters, mink and foxes on the coast of the Beagle channel and (2) to discuss the role of marine resources in the ecological interactions among these species. Diet was determined from the analysis of 245 faeces, and distribution was established from sign surveys. Marine prey occurred in the scats of 98.3, 70.4, 35.5 and 18.2% of otters, mink, culpeo and grey foxes, respectively. Other terrestrial species also use marine resources in Southern Patagonia. All this evidence suggests that the Fueguian coastal channels provide an illuminating example of allochthonous food subsidies from the sea. In the community of four sympatric predators, two native (and endangered) and two exotic, coexistence appears to be facilitated by a renewing marine food subsidy. © 2010 Springer-Verlag.","author":[{"dropping-particle":"","family":"Gomez","given":"Jonatan J.","non-dropping-particle":"","parse-names":false,"suffix":""},{"dropping-particle":"","family":"Gozzi","given":"Ana C.","non-dropping-particle":"","parse-names":false,"suffix":""},{"dropping-particle":"","family":"Macdonald","given":"David W.","non-dropping-particle":"","parse-names":false,"suffix":""},{"dropping-particle":"","family":"Gallo","given":"Emilce","non-dropping-particle":"","parse-names":false,"suffix":""},{"dropping-particle":"","family":"Centrón","given":"Daniela","non-dropping-particle":"","parse-names":false,"suffix":""},{"dropping-particle":"","family":"Cassini","given":"Marcelo H.","non-dropping-particle":"","parse-names":false,"suffix":""}],"container-title":"Polar Biology","id":"ITEM-2","issue":"10","issued":{"date-parts":[["2010"]]},"page":"1371-1378","title":"Interactions of exotic and native carnivores in an ecotone, the coast of the Beagle Channel, Argentina","type":"article-journal","volume":"33"},"uris":["http://www.mendeley.com/documents/?uuid=6ca45890-4112-4385-be4e-ed32345b2312"]},{"id":"ITEM-3","itemData":{"DOI":"10.1034/j.1600-0706.2002.970201.x","ISSN":"00301299","abstract":"Invasions by exotic species represent both threats to ecosystems as well as opportunities to learn more about them. Among the invaders that will have the largest impacts are those that directly modify ecosystems and thus have cascading effects for resident biota. Exotics can affect ecosystems by altering system-level flows, availability, or quality of nutrients, food, and physical resources (e.g. living space, water, heat or light). The invader-mediated control of physical resources, typically achieved through the modification of habitats, has received limited attention in invasion biology. This reflects a general trend in ecology, and only recently has the concept of ecosystem engineering been developed to account for the role of species that shape habitats. Plants and animals in terrestrial and aquatic systems can both create and destroy structure. When introduced into ecosystems, these exotic engineers cause physical state changes with effects that ramify throughout the system. Although the consequences of these modifications are varied and complex, insight gained from general ecological principles offers an opportunity to predict what invaders will do upon their integration into systems. Examples from the literature suggest that introduced ecosystem engineers that increase habitat complexity or heterogeneity tend to cause abundances and/or species richness to rise, while those that decrease complexity tend to have the reverse effect. In assessing such patterns, however, it is critical to also consider spatial scales and the life habits of resident organisms. In addition to providing predictive power, recognition of engineering as a major means by which invasive species affect ecosystems provides a unifying theme for invasion biology and offers a chance to consider more fully the general role of species in ecosystems.","author":[{"dropping-particle":"","family":"Crooks","given":"Jeffrey A.","non-dropping-particle":"","parse-names":false,"suffix":""}],"container-title":"Oikos","id":"ITEM-3","issue":"2","issued":{"date-parts":[["2002"]]},"page":"153-166","title":"Characterizing ecosystem-level consequences of biological invasions: The role of ecosystem engineers","type":"article-journal","volume":"97"},"uris":["http://www.mendeley.com/documents/?uuid=86c08d36-81fc-4671-9923-bc4373803107"]},{"id":"ITEM-4","itemData":{"DOI":"10.1890/08-0417.1","ISSN":"00129658","abstract":"Secondary succession is impacted by both biotic and abiotic forces, but their relative importance varies due to environmental drivers. Across estuarine salinity gradients, physical stress increases with salinity, and biotic stresses are greater at lower salinities. In southern New England tidal marshes spanning a landscape-scale salinity gradient, we experimentally examined the effects of physical stress and consumer pressure by mammalian herbivores on secondary succession in artificially created bare patches. Recovery was slower in marshes exposed to full-strength seawater, where physical stress is high. Compared to fullstrength salt marshes, recovery in low-salinity marshes was much faster and was influenced by small-mammal consumers. At lower salinities, small mammals selectively ate and prevented the establishment of several native and two invasive, nuisance species (Typha angustifolia and Phragmites aus tralis) but were unable to control the expansion of established P. australis stands. By controlling the establishment of competitively dominant species and the trajectory of secondary succession in low-salinity marshes, small mammals may play a cryptic keystone role in estuarine plant communities and are a critical, overlooked consideration in the conservation and management of estuarine marshes. © 2009 by the Ecological Society of America.","author":[{"dropping-particle":"","family":"Gedan","given":"Keryn Bromberg","non-dropping-particle":"","parse-names":false,"suffix":""},{"dropping-particle":"","family":"Crain","given":"Caitlin M.","non-dropping-particle":"","parse-names":false,"suffix":""},{"dropping-particle":"","family":"Bertness","given":"Mark D.","non-dropping-particle":"","parse-names":false,"suffix":""}],"container-title":"Ecology","id":"ITEM-4","issue":"2","issued":{"date-parts":[["2009"]]},"page":"430-440","title":"Small-mammal herbivore control of secondary succession in New England tidal marshes","type":"article-journal","volume":"90"},"uris":["http://www.mendeley.com/documents/?uuid=e9bb6280-ffdc-4d2c-839d-3e79b8a188d7"]},{"id":"ITEM-5","itemData":{"abstract":"Nutria or coypu (Myocastor coypus), semi-aquatic rodents native to southern South America, are an invasive species having detrimental impacts mainly in the southern and eastern United States. Nutria were introduced into the U.S. in 1899 for fur farming and became established in several states. Nutria dispersals resulted primarily from releases by fur farmers, escapes during hurricanes or rising floodwaters, or as translocations in an attempt to control nuisance aquatic vegetation. The ravenous appetite of these herbivores can cause damage to agricultural crops and aquatic vegetation, and can alter aquatic ecosystems. Their burrowing habits can weaken irrigation structures and they are a host for some diseases. Eradication is desired in areas such as national wildlife refuges, but can be difficult due to the nutria’s extensive suitable range of habitat, the logistical challenges posed to land managers associated with these habitats, their efficiency in dispersal, and their high, year-round reproductive ability. Control is more practical in some areas and is facilitated by periods of cold temperatures and sustained lethal control. An example of an eradication strategy was implemented by USDA/Wildlife Services at Blackwater National Wildlife Refuge, Maryland, during 2002-2004 where systematic intensive control depopulated nutria from the Refuge. An example of long-term management of nutria was implemented by the Louisiana Department of Wildlife and Fisheries where an incentive payment is distributed to registered trappers and hunters on a per nutria basis. Louisiana continues to recognize nutria as a beneficial natural resource, such as fur and food, and manages for a low population. To offset negative attributy Blackwater National Wildlife Refuge recognizes only the negative impacts of this invasive species and has implemented an eradication strategy. Research efforts continue to develop efficient methods for nutria control, including detection and monitoring techniques, attractants for bait delivery of toxicants or fertility control materials, lures for improved capture rates, and improved capture devices.","author":[{"dropping-particle":"","family":"Jojola","given":"Susan","non-dropping-particle":"","parse-names":false,"suffix":""},{"dropping-particle":"","family":"Witmer","given":"Gary","non-dropping-particle":"","parse-names":false,"suffix":""},{"dropping-particle":"","family":"Nolte","given":"Dale","non-dropping-particle":"","parse-names":false,"suffix":""}],"container-title":"Proceedings of the 11th Wildlife Damage Management Conference","id":"ITEM-5","issued":{"date-parts":[["2005"]]},"page":"120-126","title":"Nutria: An Invasive Rodent Pest or Valued Resource?","type":"article-journal"},"uris":["http://www.mendeley.com/documents/?uuid=e5151de9-11e5-4d88-8b89-77814c900dc6"]},{"id":"ITEM-6","itemData":{"DOI":"10.1111/j.1365-2486.2009.02038.x","ISSN":"13541013","abstract":"There has been a rapidly developing literature on the effects of some of the major drivers of global change on carbon (C) sequestration, particularly carbon dioxide (CO2) enrichment, land use change, nitrogen (N) deposition and climate change. However, remarkably little attention has been given to one major global change driver, namely biological invasions. This is despite growing evidence that invasive species can dramatically alter a range of aboveground and belowground ecosystem processes, including those that affect C sequestration. In this review, we assess the evidence for the impacts of biological invaders on forest C stocks and C sequestration by biological invaders. We first present case studies that highlight a range of invader impacts on C sequestration in forest ecosystems, and draw on examples that involve invasive primary producers, decomposers, herbivores, plant pathogens, mutualists and predators. We then develop a conceptual framework for assessing the effects of invasive species on C sequestration impacts more generally, by identifying the features of biological invaders and invaded ecosystems that are thought to most strongly regulate C in forests. Finally we assess the implications of managing invasive species on C sequestration. An important principle that emerges from this review is that the direct effects of invaders on forest C are often smaller and shorter-term than their indirect effects caused by altered nutrient availability, primary productivity or species composition, all of which regulate longterm C pools and fluxes. This review provides a conceptual basis for improving our general understanding of biological invaders on ecosystem C, but also points to a paucity of primary data that are needed to determine the quantitative effects of invaders on ecosystem processes that drive C sequestration. © 2009 Blackwell Publishing Ltd.","author":[{"dropping-particle":"","family":"Peltzer","given":"D. A.","non-dropping-particle":"","parse-names":false,"suffix":""},{"dropping-particle":"","family":"Allen","given":"R. B.","non-dropping-particle":"","parse-names":false,"suffix":""},{"dropping-particle":"","family":"Lovett","given":"G. M.","non-dropping-particle":"","parse-names":false,"suffix":""},{"dropping-particle":"","family":"Whitehead","given":"D.","non-dropping-particle":"","parse-names":false,"suffix":""},{"dropping-particle":"","family":"Wardle","given":"D. A.","non-dropping-particle":"","parse-names":false,"suffix":""}],"container-title":"Global Change Biology","id":"ITEM-6","issue":"2","issued":{"date-parts":[["2010"]]},"page":"732-746","title":"Effects of biological invasions on forest carbon sequestration","type":"article-journal","volume":"16"},"uris":["http://www.mendeley.com/documents/?uuid=2054a93a-b4c5-4b62-842a-0fc612a46d9a"]},{"id":"ITEM-7","itemData":{"DOI":"10.1371/journal.pone.0018835","ISSN":"19326203","abstract":"Invasive alien mammals are the major driver of biodiversity loss and ecosystem degradation on islands. Over the past three decades, invasive mammal eradication from islands has become one of society's most powerful tools for preventing extinction of insular endemics and restoring insular ecosystems. As practitioners tackle larger islands for restoration, three factors will heavily influence success and outcomes: the degree of local support, the ability to mitigate for non-target impacts, and the ability to eradicate non-native species more cost-effectively. Investments in removing invasive species, however, must be weighed against the risk of reintroduction. One way to reduce reintroduction risks is to eradicate the target invasive species from an entire archipelago, and thus eliminate readily available sources. We illustrate the costs and benefits of this approach with the efforts to remove invasive goats from the Galápagos Islands. Project Isabela, the world's largest island restoration effort to date, removed &gt;140,000 goats from &gt;500,000 ha for a cost of US$10.5 million. Leveraging the capacity built during Project Isabela, and given that goat reintroductions have been common over the past decade, we implemented an archipelago-wide goat eradication strategy. Feral goats remain on three islands in the archipelago, and removal efforts are underway. Efforts on the Galápagos Islands demonstrate that for some species, island size is no longer the limiting factor with respect to eradication. Rather, bureaucratic processes, financing, political will, and stakeholder approval appear to be the new challenges. Eradication efforts have delivered a suite of biodiversity benefits that are in the process of revealing themselves. The costs of rectifying intentional reintroductions are high in terms of financial and human resources. Reducing the archipelago-wide goat density to low levels is a technical approach to reducing reintroduction risk in the short-term, and is being complemented with a longer-term social approach focused on education and governance. © 2011 Carrion et al.","author":[{"dropping-particle":"","family":"Carrion","given":"Victor","non-dropping-particle":"","parse-names":false,"suffix":""},{"dropping-particle":"","family":"Donlan","given":"C. Josh","non-dropping-particle":"","parse-names":false,"suffix":""},{"dropping-particle":"","family":"Campbell","given":"Karl J.","non-dropping-particle":"","parse-names":false,"suffix":""},{"dropping-particle":"","family":"Lavoie","given":"Christian","non-dropping-particle":"","parse-names":false,"suffix":""},{"dropping-particle":"","family":"Cruz","given":"Felipe","non-dropping-particle":"","parse-names":false,"suffix":""}],"container-title":"PLoS ONE","id":"ITEM-7","issue":"5","issued":{"date-parts":[["2011"]]},"title":"Archipelago-wide island restoration in the galápagos islands: Reducing costs of invasive mammal eradication programs and reinvasion risk","type":"article-journal","volume":"6"},"uris":["http://www.mendeley.com/documents/?uuid=95f6cc97-7c7b-435a-bffc-124495d6793e"]}],"mendeley":{"formattedCitation":"(Crooks 2002, Jojola et al. 2005, Gedan et al. 2009, Gomez et al. 2010, Peltzer et al. 2010, Carrion et al. 2011, Brown et al. 2015)","plainTextFormattedCitation":"(Crooks 2002, Jojola et al. 2005, Gedan et al. 2009, Gomez et al. 2010, Peltzer et al. 2010, Carrion et al. 2011, Brown et al. 2015)","previouslyFormattedCitation":"(Brown et al., 2015; Carrion et al., 2011; Crooks, 2002; Gedan, Crain, &amp; Bertness, 2009; Gomez et al., 2010; Jojola et al., 2005; Peltzer et al., 2010)"},"properties":{"noteIndex":0},"schema":"https://github.com/citation-style-language/schema/raw/master/csl-citation.json"}</w:instrText>
      </w:r>
      <w:r w:rsidR="003A235A"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(Crooks 2002, Jojola et al. 2005, Gedan et al. 2009, Gomez et al. 2010, Peltzer et al. 2010, Carrion et al. 2011, Brown et al. 2015)</w:t>
      </w:r>
      <w:r w:rsidR="003A235A" w:rsidRPr="006159FD">
        <w:rPr>
          <w:rFonts w:ascii="Times New Roman" w:eastAsia="Times New Roman" w:hAnsi="Times New Roman" w:cs="Times New Roman"/>
          <w:color w:val="000000" w:themeColor="text1"/>
        </w:rPr>
        <w:fldChar w:fldCharType="end"/>
      </w:r>
      <w:r w:rsidRPr="006159FD">
        <w:rPr>
          <w:rFonts w:ascii="Times New Roman" w:hAnsi="Times New Roman" w:cs="Times New Roman"/>
          <w:color w:val="000000" w:themeColor="text1"/>
        </w:rPr>
        <w:t>.</w:t>
      </w:r>
    </w:p>
    <w:p w14:paraId="59634689" w14:textId="7D2A7315" w:rsidR="00AB5070" w:rsidRPr="006159FD" w:rsidRDefault="00FC238A" w:rsidP="006D119C">
      <w:pPr>
        <w:pStyle w:val="ListParagraph"/>
        <w:numPr>
          <w:ilvl w:val="0"/>
          <w:numId w:val="20"/>
        </w:numPr>
        <w:rPr>
          <w:rFonts w:ascii="Times New Roman" w:hAnsi="Times New Roman" w:cs="Times New Roman"/>
          <w:color w:val="000000" w:themeColor="text1"/>
        </w:rPr>
      </w:pPr>
      <w:r w:rsidRPr="006159FD">
        <w:rPr>
          <w:rFonts w:ascii="Times New Roman" w:hAnsi="Times New Roman" w:cs="Times New Roman"/>
          <w:color w:val="000000" w:themeColor="text1"/>
        </w:rPr>
        <w:t xml:space="preserve">For </w:t>
      </w:r>
      <w:r w:rsidR="002C459A" w:rsidRPr="006159FD">
        <w:rPr>
          <w:rFonts w:ascii="Times New Roman" w:hAnsi="Times New Roman" w:cs="Times New Roman"/>
          <w:color w:val="000000" w:themeColor="text1"/>
        </w:rPr>
        <w:t xml:space="preserve">the </w:t>
      </w:r>
      <w:r w:rsidRPr="006159FD">
        <w:rPr>
          <w:rFonts w:ascii="Times New Roman" w:hAnsi="Times New Roman" w:cs="Times New Roman"/>
          <w:color w:val="000000" w:themeColor="text1"/>
        </w:rPr>
        <w:t>invasive vertebrate</w:t>
      </w:r>
      <w:r w:rsidR="008950FD" w:rsidRPr="006159FD">
        <w:rPr>
          <w:rFonts w:ascii="Times New Roman" w:hAnsi="Times New Roman" w:cs="Times New Roman"/>
          <w:color w:val="000000" w:themeColor="text1"/>
        </w:rPr>
        <w:t xml:space="preserve"> eradication to mitigate </w:t>
      </w:r>
      <w:r w:rsidR="003A235A" w:rsidRPr="006159FD">
        <w:rPr>
          <w:rFonts w:ascii="Times New Roman" w:hAnsi="Times New Roman" w:cs="Times New Roman"/>
          <w:color w:val="000000" w:themeColor="text1"/>
        </w:rPr>
        <w:t xml:space="preserve">bycatch </w:t>
      </w:r>
      <w:r w:rsidR="008950FD" w:rsidRPr="006159FD">
        <w:rPr>
          <w:rFonts w:ascii="Times New Roman" w:hAnsi="Times New Roman" w:cs="Times New Roman"/>
          <w:color w:val="000000" w:themeColor="text1"/>
        </w:rPr>
        <w:t xml:space="preserve">impact of </w:t>
      </w:r>
      <w:r w:rsidR="003A235A" w:rsidRPr="006159FD">
        <w:rPr>
          <w:rFonts w:ascii="Times New Roman" w:hAnsi="Times New Roman" w:cs="Times New Roman"/>
          <w:color w:val="000000" w:themeColor="text1"/>
        </w:rPr>
        <w:t xml:space="preserve">the </w:t>
      </w:r>
      <w:r w:rsidR="008950FD" w:rsidRPr="006159FD">
        <w:rPr>
          <w:rFonts w:ascii="Times New Roman" w:hAnsi="Times New Roman" w:cs="Times New Roman"/>
          <w:color w:val="000000" w:themeColor="text1"/>
        </w:rPr>
        <w:t>fisheries</w:t>
      </w:r>
      <w:r w:rsidR="003A235A" w:rsidRPr="006159FD">
        <w:rPr>
          <w:rFonts w:ascii="Times New Roman" w:hAnsi="Times New Roman" w:cs="Times New Roman"/>
          <w:color w:val="000000" w:themeColor="text1"/>
        </w:rPr>
        <w:t xml:space="preserve"> industry </w:t>
      </w:r>
      <w:r w:rsidR="003A235A"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{"citationItems":[{"id":"ITEM-1","itemData":{"DOI":"10.1371/journal.pone.0025762","ISSN":"19326203","abstract":"The concept of biodiversity offsets is well established as an approach to environmental management. The concept has been suggested for environmental management in fisheries, particularly in relation to the substantial numbers of non-target species-seabirds in particular-caught and killed as incidental bycatch during fishing activities. Substantial areas of fisheries are being closed to protect these species at great cost to the fishing industry. However, other actions may be taken to offset the impact of fishing on these populations at lower cost to the fishing industry. This idea, however, has attracted severe criticism largely as it does not address the underlying externality problems created by the fishing sector, namely seabird fishing mortality. In this paper, we re-examine the potential role of compensatory mitigation as a fisheries management tool, although from the perspective of being an interim management measure while more long-lasting solutions to the problem are found. We re-model an example previously examined by both proponents and opponents of the approach, namely the cost effectiveness of rodent control relative to fishery area closures for the conservation of a seabird population adversely affected by an Australian tuna fishery. We find that, in the example being examined, invasive rodent eradication is at least 10 times more cost effective than area closures. We conclude that, while this does not solve the actual bycatch problem, it may provide breathing space for both the seabird species and the industry to find longer term means of reducing bycatch. © 2011 Pascoe et al.","author":[{"dropping-particle":"","family":"Pascoe","given":"Sean","non-dropping-particle":"","parse-names":false,"suffix":""},{"dropping-particle":"","family":"Wilcox","given":"Chris","non-dropping-particle":"","parse-names":false,"suffix":""},{"dropping-particle":"","family":"Donlan","given":"C. Josh","non-dropping-particle":"","parse-names":false,"suffix":""}],"container-title":"PLoS ONE","id":"ITEM-1","issue":"10","issued":{"date-parts":[["2011"]]},"title":"Biodiversity offsets: A cost-effective interim solution to seabird bycatch in fisheries?","type":"article-journal","volume":"6"},"uris":["http://www.mendeley.com/documents/?uuid=11f58a82-e7a1-4b0d-b657-46c0da1a9424"]},{"id":"ITEM-2","itemData":{"DOI":"10.1890/1540-9295(2007)5[325:CMAAST]2.0.CO;2","ISSN":"15409295","abstract":"Globally, fisheries catch of non-target species has major environmental impacts, resulting in social con- flict, litigation, and fisheries closures. We use a bio-economic approach to demonstrate that compensatory mitigation – an innovative, market-influenced approach to fishery–conservation conflicts – can facilitate high-value uses of biological resources and cost-effective conservation gains for species of concern. We illustrate the strategy with a seabird example: levying fishers for their bycatch and using the funds to remove invasive mammals from breeding islands. Removal of invasive predators is 23 times more effective from a return-on-investment perspective (ie percent increase in population growth per dollar invested) in comparison to fisheries closures, and is more socio-politically feasible. A bycatch levy, which would increase with endangerment, provides an individual incentive for avoiding bycatch, the most effective mechanism for sustainable management of fisheries. Compensatory mitigation provides an opportunity to address a global concern, optimize conservation interventions, and forge an alliance between conservation and fisheries organizations.","author":[{"dropping-particle":"","family":"Wilcox","given":"Chris","non-dropping-particle":"","parse-names":false,"suffix":""},{"dropping-particle":"","family":"Donlan","given":"C. Josh","non-dropping-particle":"","parse-names":false,"suffix":""}],"container-title":"Frontiers in Ecology and the Environment","id":"ITEM-2","issue":"6","issued":{"date-parts":[["2007"]]},"page":"325-331","title":"Compensatory mitigation as a solution to fisheries bycatch-biodiversity conservation conflicts","type":"article-journal","volume":"5"},"uris":["http://www.mendeley.com/documents/?uuid=2576676e-2f75-458c-86ec-d694f948cdf7"]},{"id":"ITEM-3","itemData":{"DOI":"10.1007/s10530-007-9183-0","ISSN":"13873547","abstract":"The removal of invasive mammals from islands is one of society’s most powerful tools for preventing extinctions and restoring ecosystems. Given the demonstrable high conservation impact and return on investment of eradications, new networks are needed to fully leverage invasive mammal eradications programs for biodiversity con- servation at-large. There have been over 800 invasive mammal eradications from islands, and emerging innovations in technology and techniques suggest that island area will soon no longer be the limiting factor for removing invasive mammals from islands. Rather, securing the necessary social and economic capital will be one main challenge as practitioners target larger and more biologically complex islands. With a new alliance between conservation practitioners and the fisheries sector, biodiversity offsets may be a promising source of capital. A suite of incentives exists for fisheries, NGOs, and governments to embrace a framework that includes fishery bycatch C. J. Donlan (&amp;) Advanced Conservation Strategies, P.O. Box 8254, Santa Cruz, CA, USA e-mail: jdonlan@advancedconservation.org C. J. Donlan Department of Ecology and Evolutionary Biology, Cornell University, Corson Hall, Ithaca, NY 14853, USA C. Wilcox CSIRO Marine and Atmospheric Research, Hobart 7001, TAS, Australia offsets for seabirds and sea turtles. A bycatch management framework based on the hierarchy of ‘‘avoid, minimize, and offset’’ from the Convention on Biological Diversity would result in cost-effective conservation gains for many threatened seabirds and sea turtles affected by fisheries. Those involved with island conservation and fisheries management are presented with unprecedented opportunities and challenges to operationalize a scheme that will allow for the verifiable offset of fisheries impacts to seabirds and sea turtles, which would likely result in unparalleled marine conservation gains and novel cross-sector alliances. Keywords","author":[{"dropping-particle":"","family":"Donlan","given":"C. Josh","non-dropping-particle":"","parse-names":false,"suffix":""},{"dropping-particle":"","family":"Wilcox","given":"Chris","non-dropping-particle":"","parse-names":false,"suffix":""}],"container-title":"Biological Invasions","id":"ITEM-3","issue":"7","issued":{"date-parts":[["2008"]]},"page":"1053-1060","title":"Integrating invasive mammal eradications and biodiversity offsets for fisheries bycatch: Conservation opportunities and challenges for seabirds and sea turtles","type":"article-journal","volume":"10"},"uris":["http://www.mendeley.com/documents/?uuid=03dcc0f6-ad64-47f0-ada4-e1919a698d54"]},{"id":"ITEM-4","itemData":{"DOI":"10.1371/journal.pone.0018835","ISSN":"19326203","abstract":"Invasive alien mammals are the major driver of biodiversity loss and ecosystem degradation on islands. Over the past three decades, invasive mammal eradication from islands has become one of society's most powerful tools for preventing extinction of insular endemics and restoring insular ecosystems. As practitioners tackle larger islands for restoration, three factors will heavily influence success and outcomes: the degree of local support, the ability to mitigate for non-target impacts, and the ability to eradicate non-native species more cost-effectively. Investments in removing invasive species, however, must be weighed against the risk of reintroduction. One way to reduce reintroduction risks is to eradicate the target invasive species from an entire archipelago, and thus eliminate readily available sources. We illustrate the costs and benefits of this approach with the efforts to remove invasive goats from the Galápagos Islands. Project Isabela, the world's largest island restoration effort to date, removed &gt;140,000 goats from &gt;500,000 ha for a cost of US$10.5 million. Leveraging the capacity built during Project Isabela, and given that goat reintroductions have been common over the past decade, we implemented an archipelago-wide goat eradication strategy. Feral goats remain on three islands in the archipelago, and removal efforts are underway. Efforts on the Galápagos Islands demonstrate that for some species, island size is no longer the limiting factor with respect to eradication. Rather, bureaucratic processes, financing, political will, and stakeholder approval appear to be the new challenges. Eradication efforts have delivered a suite of biodiversity benefits that are in the process of revealing themselves. The costs of rectifying intentional reintroductions are high in terms of financial and human resources. Reducing the archipelago-wide goat density to low levels is a technical approach to reducing reintroduction risk in the short-term, and is being complemented with a longer-term social approach focused on education and governance. © 2011 Carrion et al.","author":[{"dropping-particle":"","family":"Carrion","given":"Victor","non-dropping-particle":"","parse-names":false,"suffix":""},{"dropping-particle":"","family":"Donlan","given":"C. Josh","non-dropping-particle":"","parse-names":false,"suffix":""},{"dropping-particle":"","family":"Campbell","given":"Karl J.","non-dropping-particle":"","parse-names":false,"suffix":""},{"dropping-particle":"","family":"Lavoie","given":"Christian","non-dropping-particle":"","parse-names":false,"suffix":""},{"dropping-particle":"","family":"Cruz","given":"Felipe","non-dropping-particle":"","parse-names":false,"suffix":""}],"container-title":"PLoS ONE","id":"ITEM-4","issue":"5","issued":{"date-parts":[["2011"]]},"title":"Archipelago-wide island restoration in the galápagos islands: Reducing costs of invasive mammal eradication programs and reinvasion risk","type":"article-journal","volume":"6"},"uris":["http://www.mendeley.com/documents/?uuid=95f6cc97-7c7b-435a-bffc-124495d6793e"]}],"mendeley":{"formattedCitation":"(Wilcox and Donlan 2007, Donlan and Wilcox 2008, Carrion et al. 2011, Pascoe et al. 2011)","plainTextFormattedCitation":"(Wilcox and Donlan 2007, Donlan and Wilcox 2008, Carrion et al. 2011, Pascoe et al. 2011)","previouslyFormattedCitation":"(Carrion et al., 2011; Donlan &amp; Wilcox, 2008; Pascoe et al., 2011; Wilcox &amp; Donlan, 2007)"},"properties":{"noteIndex":0},"schema":"https://github.com/citation-style-language/schema/raw/master/csl-citation.json"}</w:instrText>
      </w:r>
      <w:r w:rsidR="003A235A"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(Wilcox and Donlan 2007, Donlan and Wilcox 2008, Carrion et al. 2011, Pascoe et al. 2011)</w:t>
      </w:r>
      <w:r w:rsidR="003A235A" w:rsidRPr="006159FD">
        <w:rPr>
          <w:rFonts w:ascii="Times New Roman" w:eastAsia="Times New Roman" w:hAnsi="Times New Roman" w:cs="Times New Roman"/>
          <w:color w:val="000000" w:themeColor="text1"/>
        </w:rPr>
        <w:fldChar w:fldCharType="end"/>
      </w:r>
      <w:r w:rsidR="008950FD" w:rsidRPr="006159FD">
        <w:rPr>
          <w:rFonts w:ascii="Times New Roman" w:hAnsi="Times New Roman" w:cs="Times New Roman"/>
          <w:color w:val="000000" w:themeColor="text1"/>
        </w:rPr>
        <w:t xml:space="preserve">, </w:t>
      </w:r>
      <w:r w:rsidR="002C459A" w:rsidRPr="006159FD">
        <w:rPr>
          <w:rFonts w:ascii="Times New Roman" w:hAnsi="Times New Roman" w:cs="Times New Roman"/>
          <w:color w:val="000000" w:themeColor="text1"/>
        </w:rPr>
        <w:t xml:space="preserve">the </w:t>
      </w:r>
      <w:r w:rsidR="008950FD" w:rsidRPr="006159FD">
        <w:rPr>
          <w:rFonts w:ascii="Times New Roman" w:hAnsi="Times New Roman" w:cs="Times New Roman"/>
          <w:color w:val="000000" w:themeColor="text1"/>
        </w:rPr>
        <w:t>island must</w:t>
      </w:r>
      <w:r w:rsidR="00AB5070" w:rsidRPr="006159FD">
        <w:rPr>
          <w:rFonts w:ascii="Times New Roman" w:hAnsi="Times New Roman" w:cs="Times New Roman"/>
          <w:color w:val="000000" w:themeColor="text1"/>
        </w:rPr>
        <w:t>:</w:t>
      </w:r>
    </w:p>
    <w:p w14:paraId="5095D4A1" w14:textId="258B2B2B" w:rsidR="00AB5070" w:rsidRPr="006159FD" w:rsidRDefault="008950FD" w:rsidP="00AB5070">
      <w:pPr>
        <w:numPr>
          <w:ilvl w:val="1"/>
          <w:numId w:val="12"/>
        </w:numPr>
        <w:rPr>
          <w:rFonts w:ascii="Times New Roman" w:hAnsi="Times New Roman" w:cs="Times New Roman"/>
          <w:color w:val="000000" w:themeColor="text1"/>
        </w:rPr>
      </w:pPr>
      <w:r w:rsidRPr="006159FD">
        <w:rPr>
          <w:rFonts w:ascii="Times New Roman" w:hAnsi="Times New Roman" w:cs="Times New Roman"/>
          <w:color w:val="000000" w:themeColor="text1"/>
        </w:rPr>
        <w:t>C</w:t>
      </w:r>
      <w:r w:rsidR="00AB5070" w:rsidRPr="006159FD">
        <w:rPr>
          <w:rFonts w:ascii="Times New Roman" w:hAnsi="Times New Roman" w:cs="Times New Roman"/>
          <w:color w:val="000000" w:themeColor="text1"/>
        </w:rPr>
        <w:t>ontain breeding seabirds documented as fisheries bycatch (e</w:t>
      </w:r>
      <w:r w:rsidR="00FC238A" w:rsidRPr="006159FD">
        <w:rPr>
          <w:rFonts w:ascii="Times New Roman" w:hAnsi="Times New Roman" w:cs="Times New Roman"/>
          <w:color w:val="000000" w:themeColor="text1"/>
        </w:rPr>
        <w:t>.g.</w:t>
      </w:r>
      <w:r w:rsidR="00AB5070" w:rsidRPr="006159FD">
        <w:rPr>
          <w:rFonts w:ascii="Times New Roman" w:hAnsi="Times New Roman" w:cs="Times New Roman"/>
          <w:color w:val="000000" w:themeColor="text1"/>
        </w:rPr>
        <w:t xml:space="preserve"> albatross or petrels) </w:t>
      </w:r>
      <w:r w:rsidR="00FC238A" w:rsidRPr="006159FD">
        <w:rPr>
          <w:rFonts w:ascii="Times New Roman" w:hAnsi="Times New Roman" w:cs="Times New Roman"/>
          <w:color w:val="000000" w:themeColor="text1"/>
        </w:rPr>
        <w:fldChar w:fldCharType="begin" w:fldLock="1"/>
      </w:r>
      <w:r w:rsidR="00A6678D">
        <w:rPr>
          <w:rFonts w:ascii="Times New Roman" w:hAnsi="Times New Roman" w:cs="Times New Roman"/>
          <w:color w:val="000000" w:themeColor="text1"/>
        </w:rPr>
        <w:instrText>ADDIN CSL_CITATION {"citationItems":[{"id":"ITEM-1","itemData":{"author":[{"dropping-particle":"","family":"BirdLife International","given":"","non-dropping-particle":"","parse-names":false,"suffix":""}],"id":"ITEM-1","issued":{"date-parts":[["2019"]]},"title":"Unintentional effects of fishing &amp; harvesting aquatic resources.","type":"webpage"},"uris":["http://www.mendeley.com/documents/?uuid=0da16963-56eb-4ff3-9205-d86b4971cda6"]}],"mendeley":{"formattedCitation":"(BirdLife International 2019)","plainTextFormattedCitation":"(BirdLife International 2019)","previouslyFormattedCitation":"(BirdLife International, 2019)"},"properties":{"noteIndex":0},"schema":"https://github.com/citation-style-language/schema/raw/master/csl-citation.json"}</w:instrText>
      </w:r>
      <w:r w:rsidR="00FC238A" w:rsidRPr="006159FD">
        <w:rPr>
          <w:rFonts w:ascii="Times New Roman" w:hAnsi="Times New Roman" w:cs="Times New Roman"/>
          <w:color w:val="000000" w:themeColor="text1"/>
        </w:rPr>
        <w:fldChar w:fldCharType="separate"/>
      </w:r>
      <w:r w:rsidR="00A6678D" w:rsidRPr="00A6678D">
        <w:rPr>
          <w:rFonts w:ascii="Times New Roman" w:hAnsi="Times New Roman" w:cs="Times New Roman"/>
          <w:noProof/>
          <w:color w:val="000000" w:themeColor="text1"/>
        </w:rPr>
        <w:t>(BirdLife International 2019)</w:t>
      </w:r>
      <w:r w:rsidR="00FC238A" w:rsidRPr="006159FD">
        <w:rPr>
          <w:rFonts w:ascii="Times New Roman" w:hAnsi="Times New Roman" w:cs="Times New Roman"/>
          <w:color w:val="000000" w:themeColor="text1"/>
        </w:rPr>
        <w:fldChar w:fldCharType="end"/>
      </w:r>
      <w:r w:rsidR="00FC238A" w:rsidRPr="006159FD">
        <w:rPr>
          <w:rFonts w:ascii="Times New Roman" w:hAnsi="Times New Roman" w:cs="Times New Roman"/>
          <w:color w:val="000000" w:themeColor="text1"/>
        </w:rPr>
        <w:t>.</w:t>
      </w:r>
    </w:p>
    <w:p w14:paraId="4A1B52DB" w14:textId="601E8A11" w:rsidR="006D119C" w:rsidRPr="006159FD" w:rsidRDefault="002C459A" w:rsidP="00AB5070">
      <w:pPr>
        <w:numPr>
          <w:ilvl w:val="1"/>
          <w:numId w:val="12"/>
        </w:numPr>
        <w:rPr>
          <w:rFonts w:ascii="Times New Roman" w:hAnsi="Times New Roman" w:cs="Times New Roman"/>
          <w:color w:val="000000" w:themeColor="text1"/>
        </w:rPr>
      </w:pPr>
      <w:r w:rsidRPr="006159FD">
        <w:rPr>
          <w:rFonts w:ascii="Times New Roman" w:hAnsi="Times New Roman" w:cs="Times New Roman"/>
          <w:color w:val="000000" w:themeColor="text1"/>
        </w:rPr>
        <w:t>The i</w:t>
      </w:r>
      <w:r w:rsidR="00FC238A" w:rsidRPr="006159FD">
        <w:rPr>
          <w:rFonts w:ascii="Times New Roman" w:hAnsi="Times New Roman" w:cs="Times New Roman"/>
          <w:color w:val="000000" w:themeColor="text1"/>
        </w:rPr>
        <w:t>nvasive vertebrate</w:t>
      </w:r>
      <w:r w:rsidR="00AB5070" w:rsidRPr="006159FD">
        <w:rPr>
          <w:rFonts w:ascii="Times New Roman" w:hAnsi="Times New Roman" w:cs="Times New Roman"/>
          <w:color w:val="000000" w:themeColor="text1"/>
        </w:rPr>
        <w:t xml:space="preserve"> must be </w:t>
      </w:r>
      <w:r w:rsidRPr="006159FD">
        <w:rPr>
          <w:rFonts w:ascii="Times New Roman" w:hAnsi="Times New Roman" w:cs="Times New Roman"/>
          <w:color w:val="000000" w:themeColor="text1"/>
        </w:rPr>
        <w:t xml:space="preserve">a </w:t>
      </w:r>
      <w:r w:rsidR="00AB5070" w:rsidRPr="006159FD">
        <w:rPr>
          <w:rFonts w:ascii="Times New Roman" w:hAnsi="Times New Roman" w:cs="Times New Roman"/>
          <w:color w:val="000000" w:themeColor="text1"/>
        </w:rPr>
        <w:t>carnivore (dog, cat, mongoose)</w:t>
      </w:r>
      <w:r w:rsidRPr="006159FD">
        <w:rPr>
          <w:rFonts w:ascii="Times New Roman" w:hAnsi="Times New Roman" w:cs="Times New Roman"/>
          <w:color w:val="000000" w:themeColor="text1"/>
        </w:rPr>
        <w:t>,</w:t>
      </w:r>
      <w:r w:rsidR="00AB5070" w:rsidRPr="006159FD">
        <w:rPr>
          <w:rFonts w:ascii="Times New Roman" w:hAnsi="Times New Roman" w:cs="Times New Roman"/>
          <w:color w:val="000000" w:themeColor="text1"/>
        </w:rPr>
        <w:t xml:space="preserve"> </w:t>
      </w:r>
      <w:r w:rsidR="008950FD" w:rsidRPr="006159FD">
        <w:rPr>
          <w:rFonts w:ascii="Times New Roman" w:hAnsi="Times New Roman" w:cs="Times New Roman"/>
          <w:color w:val="000000" w:themeColor="text1"/>
        </w:rPr>
        <w:t>rodent</w:t>
      </w:r>
      <w:r w:rsidRPr="006159FD">
        <w:rPr>
          <w:rFonts w:ascii="Times New Roman" w:hAnsi="Times New Roman" w:cs="Times New Roman"/>
          <w:color w:val="000000" w:themeColor="text1"/>
        </w:rPr>
        <w:t>,</w:t>
      </w:r>
      <w:r w:rsidR="008950FD" w:rsidRPr="006159FD">
        <w:rPr>
          <w:rFonts w:ascii="Times New Roman" w:hAnsi="Times New Roman" w:cs="Times New Roman"/>
          <w:color w:val="000000" w:themeColor="text1"/>
        </w:rPr>
        <w:t xml:space="preserve"> or p</w:t>
      </w:r>
      <w:r w:rsidR="00AB5070" w:rsidRPr="006159FD">
        <w:rPr>
          <w:rFonts w:ascii="Times New Roman" w:hAnsi="Times New Roman" w:cs="Times New Roman"/>
          <w:color w:val="000000" w:themeColor="text1"/>
        </w:rPr>
        <w:t xml:space="preserve">ig that impacts seabird populations on islands </w:t>
      </w:r>
      <w:r w:rsidR="00AB5070" w:rsidRPr="006159FD">
        <w:rPr>
          <w:rFonts w:ascii="Times New Roman" w:hAnsi="Times New Roman" w:cs="Times New Roman"/>
          <w:color w:val="000000" w:themeColor="text1"/>
        </w:rPr>
        <w:fldChar w:fldCharType="begin" w:fldLock="1"/>
      </w:r>
      <w:r w:rsidR="00A6678D">
        <w:rPr>
          <w:rFonts w:ascii="Times New Roman" w:hAnsi="Times New Roman" w:cs="Times New Roman"/>
          <w:color w:val="000000" w:themeColor="text1"/>
        </w:rPr>
        <w:instrText>ADDIN CSL_CITATION {"citationItems":[{"id":"ITEM-1","itemData":{"author":[{"dropping-particle":"","family":"BirdLife International","given":"","non-dropping-particle":"","parse-names":false,"suffix":""}],"id":"ITEM-1","issued":{"date-parts":[["2019"]]},"title":"Unintentional effects of fishing &amp; harvesting aquatic resources.","type":"webpage"},"uris":["http://www.mendeley.com/documents/?uuid=0da16963-56eb-4ff3-9205-d86b4971cda6"]}],"mendeley":{"formattedCitation":"(BirdLife International 2019)","plainTextFormattedCitation":"(BirdLife International 2019)","previouslyFormattedCitation":"(BirdLife International, 2019)"},"properties":{"noteIndex":0},"schema":"https://github.com/citation-style-language/schema/raw/master/csl-citation.json"}</w:instrText>
      </w:r>
      <w:r w:rsidR="00AB5070" w:rsidRPr="006159FD">
        <w:rPr>
          <w:rFonts w:ascii="Times New Roman" w:hAnsi="Times New Roman" w:cs="Times New Roman"/>
          <w:color w:val="000000" w:themeColor="text1"/>
        </w:rPr>
        <w:fldChar w:fldCharType="separate"/>
      </w:r>
      <w:r w:rsidR="00A6678D" w:rsidRPr="00A6678D">
        <w:rPr>
          <w:rFonts w:ascii="Times New Roman" w:hAnsi="Times New Roman" w:cs="Times New Roman"/>
          <w:noProof/>
          <w:color w:val="000000" w:themeColor="text1"/>
        </w:rPr>
        <w:t>(BirdLife International 2019)</w:t>
      </w:r>
      <w:r w:rsidR="00AB5070" w:rsidRPr="006159FD">
        <w:rPr>
          <w:rFonts w:ascii="Times New Roman" w:hAnsi="Times New Roman" w:cs="Times New Roman"/>
          <w:color w:val="000000" w:themeColor="text1"/>
        </w:rPr>
        <w:fldChar w:fldCharType="end"/>
      </w:r>
      <w:r w:rsidR="00AB5070" w:rsidRPr="006159FD">
        <w:rPr>
          <w:rFonts w:ascii="Times New Roman" w:hAnsi="Times New Roman" w:cs="Times New Roman"/>
          <w:color w:val="000000" w:themeColor="text1"/>
        </w:rPr>
        <w:t>.</w:t>
      </w:r>
      <w:r w:rsidR="006D119C" w:rsidRPr="006159FD">
        <w:rPr>
          <w:rFonts w:ascii="Times New Roman" w:hAnsi="Times New Roman" w:cs="Times New Roman"/>
          <w:color w:val="000000" w:themeColor="text1"/>
        </w:rPr>
        <w:t xml:space="preserve"> </w:t>
      </w:r>
    </w:p>
    <w:p w14:paraId="038C7109" w14:textId="40852F34" w:rsidR="00AB5070" w:rsidRPr="006159FD" w:rsidRDefault="00FC238A" w:rsidP="00241652">
      <w:pPr>
        <w:numPr>
          <w:ilvl w:val="0"/>
          <w:numId w:val="12"/>
        </w:numPr>
        <w:rPr>
          <w:rFonts w:ascii="Times New Roman" w:hAnsi="Times New Roman" w:cs="Times New Roman"/>
          <w:color w:val="000000" w:themeColor="text1"/>
        </w:rPr>
      </w:pPr>
      <w:r w:rsidRPr="006159FD">
        <w:rPr>
          <w:rFonts w:ascii="Times New Roman" w:hAnsi="Times New Roman" w:cs="Times New Roman"/>
          <w:color w:val="000000" w:themeColor="text1"/>
        </w:rPr>
        <w:t xml:space="preserve">For </w:t>
      </w:r>
      <w:r w:rsidR="002C459A" w:rsidRPr="006159FD">
        <w:rPr>
          <w:rFonts w:ascii="Times New Roman" w:hAnsi="Times New Roman" w:cs="Times New Roman"/>
          <w:color w:val="000000" w:themeColor="text1"/>
        </w:rPr>
        <w:t xml:space="preserve">the </w:t>
      </w:r>
      <w:r w:rsidRPr="006159FD">
        <w:rPr>
          <w:rFonts w:ascii="Times New Roman" w:hAnsi="Times New Roman" w:cs="Times New Roman"/>
          <w:color w:val="000000" w:themeColor="text1"/>
        </w:rPr>
        <w:t>invasive vertebrate to</w:t>
      </w:r>
      <w:r w:rsidR="00AB5070" w:rsidRPr="006159FD">
        <w:rPr>
          <w:rFonts w:ascii="Times New Roman" w:hAnsi="Times New Roman" w:cs="Times New Roman"/>
          <w:color w:val="000000" w:themeColor="text1"/>
        </w:rPr>
        <w:t xml:space="preserve"> </w:t>
      </w:r>
      <w:r w:rsidRPr="006159FD">
        <w:rPr>
          <w:rFonts w:ascii="Times New Roman" w:hAnsi="Times New Roman" w:cs="Times New Roman"/>
          <w:color w:val="000000" w:themeColor="text1"/>
        </w:rPr>
        <w:t>i</w:t>
      </w:r>
      <w:r w:rsidR="00AB5070" w:rsidRPr="006159FD">
        <w:rPr>
          <w:rFonts w:ascii="Times New Roman" w:hAnsi="Times New Roman" w:cs="Times New Roman"/>
          <w:color w:val="000000" w:themeColor="text1"/>
        </w:rPr>
        <w:t xml:space="preserve">mpact </w:t>
      </w:r>
      <w:r w:rsidRPr="006159FD">
        <w:rPr>
          <w:rFonts w:ascii="Times New Roman" w:hAnsi="Times New Roman" w:cs="Times New Roman"/>
          <w:color w:val="000000" w:themeColor="text1"/>
        </w:rPr>
        <w:t>m</w:t>
      </w:r>
      <w:r w:rsidR="00AB5070" w:rsidRPr="006159FD">
        <w:rPr>
          <w:rFonts w:ascii="Times New Roman" w:hAnsi="Times New Roman" w:cs="Times New Roman"/>
          <w:color w:val="000000" w:themeColor="text1"/>
        </w:rPr>
        <w:t xml:space="preserve">arine </w:t>
      </w:r>
      <w:r w:rsidRPr="006159FD">
        <w:rPr>
          <w:rFonts w:ascii="Times New Roman" w:hAnsi="Times New Roman" w:cs="Times New Roman"/>
          <w:color w:val="000000" w:themeColor="text1"/>
        </w:rPr>
        <w:t>n</w:t>
      </w:r>
      <w:r w:rsidR="00AB5070" w:rsidRPr="006159FD">
        <w:rPr>
          <w:rFonts w:ascii="Times New Roman" w:hAnsi="Times New Roman" w:cs="Times New Roman"/>
          <w:color w:val="000000" w:themeColor="text1"/>
        </w:rPr>
        <w:t xml:space="preserve">utrient </w:t>
      </w:r>
      <w:r w:rsidRPr="006159FD">
        <w:rPr>
          <w:rFonts w:ascii="Times New Roman" w:hAnsi="Times New Roman" w:cs="Times New Roman"/>
          <w:color w:val="000000" w:themeColor="text1"/>
        </w:rPr>
        <w:t>i</w:t>
      </w:r>
      <w:r w:rsidR="00AB5070" w:rsidRPr="006159FD">
        <w:rPr>
          <w:rFonts w:ascii="Times New Roman" w:hAnsi="Times New Roman" w:cs="Times New Roman"/>
          <w:color w:val="000000" w:themeColor="text1"/>
        </w:rPr>
        <w:t xml:space="preserve">nput: </w:t>
      </w:r>
    </w:p>
    <w:p w14:paraId="4EC2EEC8" w14:textId="1A0B6926" w:rsidR="00AB5070" w:rsidRPr="006159FD" w:rsidRDefault="002C459A" w:rsidP="008950FD">
      <w:pPr>
        <w:numPr>
          <w:ilvl w:val="1"/>
          <w:numId w:val="12"/>
        </w:numPr>
        <w:rPr>
          <w:rFonts w:ascii="Times New Roman" w:hAnsi="Times New Roman" w:cs="Times New Roman"/>
          <w:color w:val="000000" w:themeColor="text1"/>
        </w:rPr>
      </w:pPr>
      <w:r w:rsidRPr="006159FD">
        <w:rPr>
          <w:rFonts w:ascii="Times New Roman" w:hAnsi="Times New Roman" w:cs="Times New Roman"/>
          <w:color w:val="000000" w:themeColor="text1"/>
        </w:rPr>
        <w:t>The i</w:t>
      </w:r>
      <w:r w:rsidR="00FC238A" w:rsidRPr="006159FD">
        <w:rPr>
          <w:rFonts w:ascii="Times New Roman" w:hAnsi="Times New Roman" w:cs="Times New Roman"/>
          <w:color w:val="000000" w:themeColor="text1"/>
        </w:rPr>
        <w:t>nvasive vertebrate</w:t>
      </w:r>
      <w:r w:rsidR="00AB5070" w:rsidRPr="006159FD">
        <w:rPr>
          <w:rFonts w:ascii="Times New Roman" w:hAnsi="Times New Roman" w:cs="Times New Roman"/>
          <w:color w:val="000000" w:themeColor="text1"/>
        </w:rPr>
        <w:t xml:space="preserve"> must be </w:t>
      </w:r>
      <w:r w:rsidR="00241652" w:rsidRPr="006159FD">
        <w:rPr>
          <w:rFonts w:ascii="Times New Roman" w:hAnsi="Times New Roman" w:cs="Times New Roman"/>
          <w:color w:val="000000" w:themeColor="text1"/>
        </w:rPr>
        <w:t>a pig or herbivore</w:t>
      </w:r>
      <w:r w:rsidR="00AB5070" w:rsidRPr="006159FD">
        <w:rPr>
          <w:rFonts w:ascii="Times New Roman" w:hAnsi="Times New Roman" w:cs="Times New Roman"/>
          <w:color w:val="000000" w:themeColor="text1"/>
        </w:rPr>
        <w:t xml:space="preserve"> that increases sedimentation and sediment input into ocean</w:t>
      </w:r>
      <w:r w:rsidR="003A235A" w:rsidRPr="006159FD">
        <w:rPr>
          <w:rFonts w:ascii="Times New Roman" w:hAnsi="Times New Roman" w:cs="Times New Roman"/>
          <w:color w:val="000000" w:themeColor="text1"/>
        </w:rPr>
        <w:t xml:space="preserve"> </w:t>
      </w:r>
      <w:r w:rsidR="003A235A"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{"citationItems":[{"id":"ITEM-1","itemData":{"DOI":"10.1007/978-3-319-02769-2_12","ISBN":"978-3-319-02769-2","abstract":"The Galapagos Marine Reserve (GMR) is one of the most fragile marine ecoregions to be preserved to benefit global biodiversity. Ongoing continentalization and increasing human population diminish the degree of isolation of the Galapagos, jeopardizing its socio-ecological system. While tourism and fisheries activities stand by the islands' economy, several anthropogenic stressors threaten the marine ecosystem. An environmental assessment and literature survey were conducted to characterize the coastal marine pollution impacts caused by human-made activities. The assessment revealed that municipal waste incineration of organic waste and plastics in open dump areas is a potential source of unintentionally produced persistent organic pollutants such as dioxins and furans. Plastic is one of the most abundant solid wastes at sea and shorelines, representing 25 % of the total marine debris. More than 50 % of current-use pesticides applied in the agriculture zone of the inhabited islands were identified as endocrine-disrupting chemicals, underlying potential health effects in the endemic fauna. Oil spills and traces of hydrocarbons threaten the long-term survival of marine species due to the current reliance on fuel transported from Ecuador's mainland coast. Concerted local and global management strategies are strongly needed into the decision-making processes to protect the GMR from chemical and biological assaults.","author":[{"dropping-particle":"","family":"Alava","given":"Juan José","non-dropping-particle":"","parse-names":false,"suffix":""},{"dropping-particle":"","family":"Palomera","given":"Carlos","non-dropping-particle":"","parse-names":false,"suffix":""},{"dropping-particle":"","family":"Bendell","given":"Leah","non-dropping-particle":"","parse-names":false,"suffix":""},{"dropping-particle":"","family":"Ross","given":"Peter S","non-dropping-particle":"","parse-names":false,"suffix":""}],"container-title":"The Galapagos Marine Reserve: A Dynamic Social-Ecological System","editor":[{"dropping-particle":"","family":"Denkinger","given":"Judith","non-dropping-particle":"","parse-names":false,"suffix":""},{"dropping-particle":"","family":"Vinueza","given":"Luis","non-dropping-particle":"","parse-names":false,"suffix":""}],"id":"ITEM-1","issued":{"date-parts":[["2014"]]},"page":"247-283","publisher":"Springer International Publishing","publisher-place":"Cham","title":"Pollution as an Emerging Threat for the Conservation of the Galapagos Marine Reserve: Environmental Impacts and Management Perspectives","type":"chapter"},"uris":["http://www.mendeley.com/documents/?uuid=297e15e6-2f1b-4a2f-aa5a-4ae12ecec012"]},{"id":"ITEM-2","itemData":{"DOI":"10.1034/j.1600-0706.2002.970201.x","ISSN":"00301299","abstract":"Invasions by exotic species represent both threats to ecosystems as well as opportunities to learn more about them. Among the invaders that will have the largest impacts are those that directly modify ecosystems and thus have cascading effects for resident biota. Exotics can affect ecosystems by altering system-level flows, availability, or quality of nutrients, food, and physical resources (e.g. living space, water, heat or light). The invader-mediated control of physical resources, typically achieved through the modification of habitats, has received limited attention in invasion biology. This reflects a general trend in ecology, and only recently has the concept of ecosystem engineering been developed to account for the role of species that shape habitats. Plants and animals in terrestrial and aquatic systems can both create and destroy structure. When introduced into ecosystems, these exotic engineers cause physical state changes with effects that ramify throughout the system. Although the consequences of these modifications are varied and complex, insight gained from general ecological principles offers an opportunity to predict what invaders will do upon their integration into systems. Examples from the literature suggest that introduced ecosystem engineers that increase habitat complexity or heterogeneity tend to cause abundances and/or species richness to rise, while those that decrease complexity tend to have the reverse effect. In assessing such patterns, however, it is critical to also consider spatial scales and the life habits of resident organisms. In addition to providing predictive power, recognition of engineering as a major means by which invasive species affect ecosystems provides a unifying theme for invasion biology and offers a chance to consider more fully the general role of species in ecosystems.","author":[{"dropping-particle":"","family":"Crooks","given":"Jeffrey A.","non-dropping-particle":"","parse-names":false,"suffix":""}],"container-title":"Oikos","id":"ITEM-2","issue":"2","issued":{"date-parts":[["2002"]]},"page":"153-166","title":"Characterizing ecosystem-level consequences of biological invasions: The role of ecosystem engineers","type":"article-journal","volume":"97"},"uris":["http://www.mendeley.com/documents/?uuid=86c08d36-81fc-4671-9923-bc4373803107"]}],"mendeley":{"formattedCitation":"(Crooks 2002, Alava et al. 2014)","plainTextFormattedCitation":"(Crooks 2002, Alava et al. 2014)","previouslyFormattedCitation":"(Alava, Palomera, Bendell, &amp; Ross, 2014; Crooks, 2002)"},"properties":{"noteIndex":0},"schema":"https://github.com/citation-style-language/schema/raw/master/csl-citation.json"}</w:instrText>
      </w:r>
      <w:r w:rsidR="003A235A"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(Crooks 2002, Alava et al. 2014)</w:t>
      </w:r>
      <w:r w:rsidR="003A235A" w:rsidRPr="006159FD">
        <w:rPr>
          <w:rFonts w:ascii="Times New Roman" w:eastAsia="Times New Roman" w:hAnsi="Times New Roman" w:cs="Times New Roman"/>
          <w:color w:val="000000" w:themeColor="text1"/>
        </w:rPr>
        <w:fldChar w:fldCharType="end"/>
      </w:r>
      <w:r w:rsidR="00AB5070" w:rsidRPr="006159FD">
        <w:rPr>
          <w:rFonts w:ascii="Times New Roman" w:hAnsi="Times New Roman" w:cs="Times New Roman"/>
          <w:color w:val="000000" w:themeColor="text1"/>
        </w:rPr>
        <w:t xml:space="preserve"> </w:t>
      </w:r>
    </w:p>
    <w:p w14:paraId="274F3B29" w14:textId="439A9878" w:rsidR="00AB5070" w:rsidRPr="006159FD" w:rsidRDefault="00AB5070" w:rsidP="00AB5070">
      <w:pPr>
        <w:pStyle w:val="ListParagraph"/>
        <w:numPr>
          <w:ilvl w:val="0"/>
          <w:numId w:val="12"/>
        </w:numPr>
        <w:rPr>
          <w:rFonts w:ascii="Times New Roman" w:hAnsi="Times New Roman" w:cs="Times New Roman"/>
          <w:color w:val="000000" w:themeColor="text1"/>
        </w:rPr>
      </w:pPr>
      <w:r w:rsidRPr="006159FD">
        <w:rPr>
          <w:rFonts w:ascii="Times New Roman" w:hAnsi="Times New Roman" w:cs="Times New Roman"/>
          <w:color w:val="000000" w:themeColor="text1"/>
        </w:rPr>
        <w:t>Small Island Developing States as defined by UN</w:t>
      </w:r>
    </w:p>
    <w:p w14:paraId="2936D14F" w14:textId="071D8064" w:rsidR="00AB5070" w:rsidRPr="006159FD" w:rsidRDefault="00AB5070" w:rsidP="00AB5070">
      <w:pPr>
        <w:rPr>
          <w:rFonts w:ascii="Times New Roman" w:hAnsi="Times New Roman" w:cs="Times New Roman"/>
          <w:color w:val="000000" w:themeColor="text1"/>
        </w:rPr>
      </w:pPr>
    </w:p>
    <w:p w14:paraId="11D330EE" w14:textId="3E1DE0C6" w:rsidR="00AB5070" w:rsidRPr="006159FD" w:rsidRDefault="00AB5070" w:rsidP="00AB5070">
      <w:pPr>
        <w:pStyle w:val="Heading1"/>
        <w:rPr>
          <w:rFonts w:ascii="Times New Roman" w:hAnsi="Times New Roman" w:cs="Times New Roman"/>
          <w:color w:val="000000" w:themeColor="text1"/>
          <w:sz w:val="24"/>
          <w:szCs w:val="24"/>
        </w:rPr>
      </w:pPr>
    </w:p>
    <w:p w14:paraId="3F96A4CE" w14:textId="77777777" w:rsidR="00AB5070" w:rsidRPr="006159FD" w:rsidRDefault="00AB5070" w:rsidP="00AB5070">
      <w:pPr>
        <w:rPr>
          <w:rFonts w:ascii="Times New Roman" w:hAnsi="Times New Roman" w:cs="Times New Roman"/>
          <w:color w:val="000000" w:themeColor="text1"/>
        </w:rPr>
      </w:pPr>
    </w:p>
    <w:p w14:paraId="113D506D" w14:textId="0675A246" w:rsidR="00AB5070" w:rsidRPr="006159FD" w:rsidRDefault="003E6800" w:rsidP="00AB5070">
      <w:pPr>
        <w:rPr>
          <w:rFonts w:ascii="Times New Roman" w:hAnsi="Times New Roman" w:cs="Times New Roman"/>
          <w:color w:val="000000" w:themeColor="text1"/>
        </w:rPr>
      </w:pPr>
      <w:r w:rsidRPr="006159FD">
        <w:rPr>
          <w:rFonts w:ascii="Times New Roman" w:hAnsi="Times New Roman" w:cs="Times New Roman"/>
          <w:noProof/>
          <w:color w:val="000000" w:themeColor="text1"/>
        </w:rPr>
        <w:drawing>
          <wp:inline distT="0" distB="0" distL="0" distR="0" wp14:anchorId="69DF0090" wp14:editId="6CD00396">
            <wp:extent cx="5943600" cy="4404360"/>
            <wp:effectExtent l="0" t="0" r="0" b="2540"/>
            <wp:docPr id="38" name="Picture 38" descr="A picture containing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Screenshot 2019-11-28 12.06.14.png"/>
                    <pic:cNvPicPr/>
                  </pic:nvPicPr>
                  <pic:blipFill>
                    <a:blip r:embed="rId22">
                      <a:extLst>
                        <a:ext uri="{28A0092B-C50C-407E-A947-70E740481C1C}">
                          <a14:useLocalDpi xmlns:a14="http://schemas.microsoft.com/office/drawing/2010/main" val="0"/>
                        </a:ext>
                      </a:extLst>
                    </a:blip>
                    <a:stretch>
                      <a:fillRect/>
                    </a:stretch>
                  </pic:blipFill>
                  <pic:spPr>
                    <a:xfrm>
                      <a:off x="0" y="0"/>
                      <a:ext cx="5943600" cy="4404360"/>
                    </a:xfrm>
                    <a:prstGeom prst="rect">
                      <a:avLst/>
                    </a:prstGeom>
                  </pic:spPr>
                </pic:pic>
              </a:graphicData>
            </a:graphic>
          </wp:inline>
        </w:drawing>
      </w:r>
    </w:p>
    <w:p w14:paraId="74888EB4" w14:textId="12E70ED2" w:rsidR="00D60055" w:rsidRPr="006159FD" w:rsidRDefault="00BC1DCD" w:rsidP="00D60055">
      <w:pPr>
        <w:rPr>
          <w:rFonts w:ascii="Times New Roman" w:hAnsi="Times New Roman" w:cs="Times New Roman"/>
          <w:color w:val="000000" w:themeColor="text1"/>
        </w:rPr>
      </w:pPr>
      <w:bookmarkStart w:id="11" w:name="_Toc25838867"/>
      <w:r w:rsidRPr="006159FD">
        <w:rPr>
          <w:rStyle w:val="Heading1Char"/>
          <w:rFonts w:ascii="Times New Roman" w:hAnsi="Times New Roman" w:cs="Times New Roman"/>
          <w:color w:val="000000" w:themeColor="text1"/>
          <w:sz w:val="24"/>
          <w:szCs w:val="24"/>
        </w:rPr>
        <w:t>Goal 15</w:t>
      </w:r>
      <w:r w:rsidR="00E67F11" w:rsidRPr="006159FD">
        <w:rPr>
          <w:rStyle w:val="Heading1Char"/>
          <w:rFonts w:ascii="Times New Roman" w:hAnsi="Times New Roman" w:cs="Times New Roman"/>
          <w:color w:val="000000" w:themeColor="text1"/>
          <w:sz w:val="24"/>
          <w:szCs w:val="24"/>
        </w:rPr>
        <w:t>.</w:t>
      </w:r>
      <w:bookmarkEnd w:id="11"/>
      <w:r w:rsidR="00E67F11" w:rsidRPr="006159FD">
        <w:rPr>
          <w:rFonts w:ascii="Times New Roman" w:hAnsi="Times New Roman" w:cs="Times New Roman"/>
          <w:color w:val="000000" w:themeColor="text1"/>
        </w:rPr>
        <w:t xml:space="preserve"> </w:t>
      </w:r>
      <w:r w:rsidR="00D60055" w:rsidRPr="006159FD">
        <w:rPr>
          <w:rFonts w:ascii="Times New Roman" w:hAnsi="Times New Roman" w:cs="Times New Roman"/>
          <w:color w:val="000000" w:themeColor="text1"/>
        </w:rPr>
        <w:t>Assumptions and inclusion criteria</w:t>
      </w:r>
    </w:p>
    <w:p w14:paraId="4065283D" w14:textId="1DCDE1F1" w:rsidR="00AB5070" w:rsidRPr="006159FD" w:rsidRDefault="00D60055" w:rsidP="00AB5070">
      <w:pPr>
        <w:pStyle w:val="ListParagraph"/>
        <w:numPr>
          <w:ilvl w:val="0"/>
          <w:numId w:val="13"/>
        </w:numPr>
        <w:rPr>
          <w:rFonts w:ascii="Times New Roman" w:hAnsi="Times New Roman" w:cs="Times New Roman"/>
          <w:color w:val="000000" w:themeColor="text1"/>
        </w:rPr>
      </w:pPr>
      <w:r w:rsidRPr="006159FD">
        <w:rPr>
          <w:rFonts w:ascii="Times New Roman" w:hAnsi="Times New Roman" w:cs="Times New Roman"/>
          <w:color w:val="000000" w:themeColor="text1"/>
        </w:rPr>
        <w:t>We assume</w:t>
      </w:r>
      <w:r w:rsidR="008950FD" w:rsidRPr="006159FD">
        <w:rPr>
          <w:rFonts w:ascii="Times New Roman" w:hAnsi="Times New Roman" w:cs="Times New Roman"/>
          <w:color w:val="000000" w:themeColor="text1"/>
        </w:rPr>
        <w:t>d</w:t>
      </w:r>
      <w:r w:rsidR="002C459A" w:rsidRPr="006159FD">
        <w:rPr>
          <w:rFonts w:ascii="Times New Roman" w:hAnsi="Times New Roman" w:cs="Times New Roman"/>
          <w:color w:val="000000" w:themeColor="text1"/>
        </w:rPr>
        <w:t xml:space="preserve"> </w:t>
      </w:r>
      <w:r w:rsidRPr="006159FD">
        <w:rPr>
          <w:rFonts w:ascii="Times New Roman" w:hAnsi="Times New Roman" w:cs="Times New Roman"/>
          <w:color w:val="000000" w:themeColor="text1"/>
        </w:rPr>
        <w:t>i</w:t>
      </w:r>
      <w:r w:rsidR="00FC238A" w:rsidRPr="006159FD">
        <w:rPr>
          <w:rFonts w:ascii="Times New Roman" w:hAnsi="Times New Roman" w:cs="Times New Roman"/>
          <w:color w:val="000000" w:themeColor="text1"/>
        </w:rPr>
        <w:t>nvasive vertebrate</w:t>
      </w:r>
      <w:r w:rsidR="00AB5070" w:rsidRPr="006159FD">
        <w:rPr>
          <w:rFonts w:ascii="Times New Roman" w:hAnsi="Times New Roman" w:cs="Times New Roman"/>
          <w:color w:val="000000" w:themeColor="text1"/>
        </w:rPr>
        <w:t xml:space="preserve"> management </w:t>
      </w:r>
      <w:r w:rsidRPr="006159FD">
        <w:rPr>
          <w:rFonts w:ascii="Times New Roman" w:hAnsi="Times New Roman" w:cs="Times New Roman"/>
          <w:color w:val="000000" w:themeColor="text1"/>
        </w:rPr>
        <w:t>has and will be</w:t>
      </w:r>
      <w:r w:rsidR="00AB5070" w:rsidRPr="006159FD">
        <w:rPr>
          <w:rFonts w:ascii="Times New Roman" w:hAnsi="Times New Roman" w:cs="Times New Roman"/>
          <w:color w:val="000000" w:themeColor="text1"/>
        </w:rPr>
        <w:t xml:space="preserve"> inclusive of local (</w:t>
      </w:r>
      <w:r w:rsidR="002C459A" w:rsidRPr="006159FD">
        <w:rPr>
          <w:rFonts w:ascii="Times New Roman" w:hAnsi="Times New Roman" w:cs="Times New Roman"/>
          <w:color w:val="000000" w:themeColor="text1"/>
        </w:rPr>
        <w:t>c</w:t>
      </w:r>
      <w:r w:rsidR="00AB5070" w:rsidRPr="006159FD">
        <w:rPr>
          <w:rFonts w:ascii="Times New Roman" w:hAnsi="Times New Roman" w:cs="Times New Roman"/>
          <w:color w:val="000000" w:themeColor="text1"/>
        </w:rPr>
        <w:t>ountry) communities</w:t>
      </w:r>
      <w:r w:rsidR="00DD5935" w:rsidRPr="006159FD">
        <w:rPr>
          <w:rFonts w:ascii="Times New Roman" w:hAnsi="Times New Roman" w:cs="Times New Roman"/>
          <w:color w:val="000000" w:themeColor="text1"/>
        </w:rPr>
        <w:t xml:space="preserve"> </w:t>
      </w:r>
      <w:r w:rsidR="00DD5935"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{"citationItems":[{"id":"ITEM-1","itemData":{"DOI":"10.1111/j.1523-1739.2007.00755.x","ISBN":"1523-1739 (Electronic)\\n0888-8892 (Linking)","ISSN":"1523-1739","PMID":"17883491","abstract":"Invasive mammals are the greatest threat to island biodiversity and invasive rodents are likely responsible for the greatest number of extinctions and ecosystem changes. Techniques for eradicating rodents from islands were developed over 2 decades ago. Since that time there has been a significant development and application of this conservation tool. We reviewed the literature on invasive rodent eradications to assess its current state and identify actions to make it more effective. Worldwide, 332 successful rodent eradications have been undertaken; we identified 35 failed eradications and 20 campaigns of unknown result. Invasive rodents have been eradicated from 284 islands (47,628 ha). With the exception of two small islands, rodenticides were used in all eradication campaigns. Brodifacoum was used in 71% of campaigns and 91% of the total area treated. The most frequent rodenticide distribution methods (from most to least) are bait stations, hand broadcasting, and aerial broadcasting. Nevertheless, campaigns using aerial broadcast made up 76% of the total area treated. Mortality of native vertebrates due to nontarget poisoning has been documented, but affected species quickly recover to pre-eradication population levels or higher. A variety of methods have been developed to mitigate nontarget impacts, and applied research can further aid in minimizing impacts. Land managers should routinely remove invasive rodents from islands &lt;100 ha that lack vertebrates susceptible to nontarget poisoning. For larger islands and those that require nontarget mitigation, expert consultation and greater planning effort are needed. With the exception of house mice (Mus musculus), island size may no longer be the limiting factor for rodent eradications; rather, social acceptance and funding may be the main challenges. To be successful, large-scale rodent campaigns should be integrated with programs to improve the livelihoods of residents, island biosecurity, and reinvasion response programs.","author":[{"dropping-particle":"","family":"Howald","given":"Gregg","non-dropping-particle":"","parse-names":false,"suffix":""},{"dropping-particle":"","family":"Donlan","given":"C. Josh","non-dropping-particle":"","parse-names":false,"suffix":""},{"dropping-particle":"","family":"Galván","given":"Juan Pablo","non-dropping-particle":"","parse-names":false,"suffix":""},{"dropping-particle":"","family":"Russell","given":"James C.","non-dropping-particle":"","parse-names":false,"suffix":""},{"dropping-particle":"","family":"Parkes","given":"John","non-dropping-particle":"","parse-names":false,"suffix":""},{"dropping-particle":"","family":"Samaniego","given":"Araceli","non-dropping-particle":"","parse-names":false,"suffix":""},{"dropping-particle":"","family":"Wang","given":"Yiwei","non-dropping-particle":"","parse-names":false,"suffix":""},{"dropping-particle":"","family":"Veitch","given":"Dick","non-dropping-particle":"","parse-names":false,"suffix":""},{"dropping-particle":"","family":"Genovesi","given":"Piero","non-dropping-particle":"","parse-names":false,"suffix":""},{"dropping-particle":"","family":"Pascal","given":"Michel","non-dropping-particle":"","parse-names":false,"suffix":""},{"dropping-particle":"","family":"Saunders","given":"Alan","non-dropping-particle":"","parse-names":false,"suffix":""},{"dropping-particle":"","family":"Tershy","given":"Bernie","non-dropping-particle":"","parse-names":false,"suffix":""}],"container-title":"Conservation biology : the journal of the Society for Conservation Biology","id":"ITEM-1","issue":"5","issued":{"date-parts":[["2007","10"]]},"page":"1258-68","title":"Invasive rodent eradication on islands","type":"article-journal","volume":"21"},"uris":["http://www.mendeley.com/documents/?uuid=989fd7cb-89ae-410e-a9d0-e34eac278a23"]},{"id":"ITEM-2","itemData":{"abstract":"Invasive vertebrate species can cause substantial damage to natural resources, property, crops, livestock, and pose a disease hazard to humans, native wildlife and domestic animals. Numerous island species have become extinct or are threatened with extinction from invasive species. The high rate of invasive species introductions continues because of the large volumes of world trade and international travel. Humans are often responsible for introductions, but are also the key to their prevention, management, and eradication. However, many of the values and perceptions of invasive species vary among humans. Hence, the prevention and control of invasive vertebrates often requires adjusting human behaviors, values, and beliefs, along with changing the way decisions are made. Most people have little idea of which species are invasive, what their impacts are, and what control methods might be appropriate for their management. A wide variety of education, outreach, and training programs are needed to help motivate people to take action and raise awareness of the causes of establishment, consequences of invasive species, and the need for prevention, control, and eradication programs. Key messages should target diverse audiences through appropriate media outlets and methods. Surveys to better understand how different stakeholder groups view invasive species, the threats they pose, and the potential methods of control are also needed. We review several programs in place to help achieve the critical need for an informed and active public with regard to invasive vertebrate species. The programs help create an informed public, generate public and financial support for invasive species management, train the public to recognize and report sightings of invasives, and encourage sustainable ecosystems.","author":[{"dropping-particle":"","family":"Witmer","given":"Gary","non-dropping-particle":"","parse-names":false,"suffix":""},{"dropping-particle":"","family":"Keirn","given":"G. M.","non-dropping-particle":"","parse-names":false,"suffix":""},{"dropping-particle":"","family":"Hawley","given":"N","non-dropping-particle":"","parse-names":false,"suffix":""},{"dropping-particle":"","family":"Martin","given":"C","non-dropping-particle":"","parse-names":false,"suffix":""},{"dropping-particle":"","family":"Reaser","given":"J. K","non-dropping-particle":"","parse-names":false,"suffix":""}],"container-title":"Wildlife Damage Management Conferences - Proceedings - Paper 141","id":"ITEM-2","issued":{"date-parts":[["2009"]]},"title":"Human Dimensions of Invasive Vertebrate Species Management","type":"article-journal"},"uris":["http://www.mendeley.com/documents/?uuid=1e2f48f6-2cd5-43bb-a10c-93a0628c5b89"]},{"id":"ITEM-3","itemData":{"DOI":"10.1007/s10530-017-1388-2","ISSN":"15731464","abstract":"For effective and efficient pest management it is essential to understand the ecology of the target species and recipient ecosystems. The use of rodent eradication as a restoration tool is well established in temperate regions, but less common in the tropics, presenting an opportunity to undertake scientific learning in tandem with rodent eradications. On a dry tropical archipelago, we used a Before-After-Control-Impact framework to document (1) fluctuations in the abundance and demography of invasive Rattus rattus and Mus musculus on three different islands, (2) the trophic niche of all three invasive rodent populations, and (3) changes in the invertebrate community before and after rodent eradication, also comparing with two rodent free islands. While rat density was high and relatively stable throughout the year, the two mouse populations greatly differed in body size and seasonal dynamics, despite their proximity. The rodents in all three populations were generalist and opportunistic feeders, although stable isotope analyses results indicated major differences among them, driven by food availability and rodent species. Seasonal fluctuations in invertebrate communities depended on rodent invasion status, but recovery in the invertebrate communities one year after rodent removal was limited for all islands. Predictions for other tropical ecosystem biomes require long-term research on more tropical islands. Improving our understanding of island and species-specific contexts of rodent eradications can advance island restoration projects and assist the selection of indicator species for ecosystem recovery.","author":[{"dropping-particle":"","family":"Samaniego-Herrera","given":"Araceli","non-dropping-particle":"","parse-names":false,"suffix":""},{"dropping-particle":"","family":"Clout","given":"Mick N.","non-dropping-particle":"","parse-names":false,"suffix":""},{"dropping-particle":"","family":"Aguirre-Muñoz","given":"Alfonso","non-dropping-particle":"","parse-names":false,"suffix":""},{"dropping-particle":"","family":"Russell","given":"James C.","non-dropping-particle":"","parse-names":false,"suffix":""}],"container-title":"Biological Invasions","id":"ITEM-3","issue":"6","issued":{"date-parts":[["2017"]]},"page":"1761-1779","title":"Rodent eradications as ecosystem experiments: a case study from the Mexican tropics","type":"article-journal","volume":"19"},"uris":["http://www.mendeley.com/documents/?uuid=660ce70b-809b-4547-89d6-0ae2ebb4f473"]},{"id":"ITEM-4","itemData":{"abstract":"Eradications of invasive mammals have over the last decade been a key element in the restoration of Mexican islands. To date, 48 eradications have been completed on 30 islands. This work has provided the climate for a wider movement towards the protection and restoration of Mexican islands involving many players and institutions. Perceptions of islands have changed from earlier abuse and abandonment to current realisation of their importance for sovereignty, their rich biodiversity, and their potential as sites for sustainable development. This increased awareness was followed by social acceptance of the importance of islands, organisational development of advocates for them, scientific research, secure funding for projects on them, and institutional support for this work. A collaborative network now includes federal government agencies such as the Mexican Navy alongside academic institutes and universities, local communities, artisanal fishermen co-operatives, non-government organisations (NGOs), and national and international donors. A crucial NGO component of this network has been the Grupo de Ecología y Conservación de Islas, A.C. (GECI). This private organisation now has a field staff of 24 scientists and technicians who work closely with personnel from government agencies. Soon all Mexican islands will be legally protected under federal categories. Permanent government staff are being recruited, and activities on islands are starting to be supported with federal budgets. These public budgets may also soon supplement funds provided by private donors. During the last decade, most funds have been provided by American private foundations; comparatively Mexican private and public funding is still limited. There have been positive outcomes from international collaboration and exchange. If the current pace is sustained a strategic goal could be met: to eradicate all invasive mammals from the remaining Mexican islands by the year 2025.","author":[{"dropping-particle":"","family":"Aguirre-Muñoz","given":"A.","non-dropping-particle":"","parse-names":false,"suffix":""},{"dropping-particle":"","family":"Samaniego-Herrera","given":"A.","non-dropping-particle":"","parse-names":false,"suffix":""},{"dropping-particle":"","family":"Luna-Mendoza","given":"L.","non-dropping-particle":"","parse-names":false,"suffix":""},{"dropping-particle":"","family":"Ortiz-Alcaraz","given":"A.","non-dropping-particle":"","parse-names":false,"suffix":""},{"dropping-particle":"","family":"Rodríguez-Malagón","given":"M.","non-dropping-particle":"","parse-names":false,"suffix":""},{"dropping-particle":"","family":"Félix-Lizárraga","given":"M.","non-dropping-particle":"","parse-names":false,"suffix":""},{"dropping-particle":"","family":"Méndez-Sánchez","given":"F.","non-dropping-particle":"","parse-names":false,"suffix":""},{"dropping-particle":"","family":"González-Gómez","given":"R.","non-dropping-particle":"","parse-names":false,"suffix":""},{"dropping-particle":"","family":"Torres-García","given":"F.","non-dropping-particle":"","parse-names":false,"suffix":""},{"dropping-particle":"","family":"Hernández-Montoya","given":"J.C.","non-dropping-particle":"","parse-names":false,"suffix":""},{"dropping-particle":"","family":"Barredo-Barberena","given":"J.M.","non-dropping-particle":"","parse-names":false,"suffix":""},{"dropping-particle":"","family":"Latofski-Robles","given":"M.","non-dropping-particle":"","parse-names":false,"suffix":""}],"container-title":"Island invasives: eradication and managemen","id":"ITEM-4","issued":{"date-parts":[["2011"]]},"page":"386-394","title":"Eradications of invasive mammals on islands in Mexico: the roles of history and the collaboration between government agencies, local communities and a non-government organisation.","type":"article-journal"},"uris":["http://www.mendeley.com/documents/?uuid=fab3fbc8-85d5-4870-a9af-1693db5af79f"]},{"id":"ITEM-5","itemData":{"abstract":"The 250+ islands of north-west Mexico support 50 taxa (species and subspecies) of breeding seabirds and over 180 taxa of endemic terrestrial vertebrates. Isolation and aridity have historically protected these islands from many human perturbations and consequently their biotas are relatively intact. However, invasive alien mammals have been introduced to at least 44 islands and are responsible for the ecological extinction of 22 endemic vertebrate species and subspecies, and the local extinction of one or more seabird taxa on 10 islands. The Island Conservation and Ecology Group, the National Autonomous University of Mexico, Center for Biological Investigations, and National Protected Areas Department collaborated with local people and other NGOs to remove one or more introduced mam- mals from 23 islands and will soon complete eradication on one more. This work has protected habitat for 27 seabird taxa, seven of which are endemic to the region, and 38 endemic taxa of terrestrial vertebrates. Our regional, science- based, collaborative approach to island conservation has eradicated invasive alien mammals from most islands under 40 km2 in this biologically important region. We are building on this experience to conduct eradications on larger, more-difficult islands.","author":[{"dropping-particle":"","family":"Tershy","given":"B R","non-dropping-particle":"","parse-names":false,"suffix":""},{"dropping-particle":"","family":"Donlan","given":"C J","non-dropping-particle":"","parse-names":false,"suffix":""},{"dropping-particle":"","family":"Keitt","given":"B S","non-dropping-particle":"","parse-names":false,"suffix":""},{"dropping-particle":"","family":"Croll","given":"D a","non-dropping-particle":"","parse-names":false,"suffix":""},{"dropping-particle":"","family":"Sanchez","given":"J a","non-dropping-particle":"","parse-names":false,"suffix":""},{"dropping-particle":"","family":"Wood","given":"B","non-dropping-particle":"","parse-names":false,"suffix":""},{"dropping-particle":"","family":"Hermosillo","given":"M a","non-dropping-particle":"","parse-names":false,"suffix":""},{"dropping-particle":"","family":"Howald","given":"G R","non-dropping-particle":"","parse-names":false,"suffix":""},{"dropping-particle":"","family":"Biavaschi","given":"N","non-dropping-particle":"","parse-names":false,"suffix":""}],"container-title":"Turning the Tide: the eradication of invasive species.","id":"ITEM-5","issue":"1","issued":{"date-parts":[["2002"]]},"page":"293-300","title":"Island conservation in north-west Mexico: a conservation model integrating research, education and exotic mammal eradication","type":"article-journal"},"uris":["http://www.mendeley.com/documents/?uuid=40043496-f8b0-4fde-8e85-0f52f9b23dd5"]},{"id":"ITEM-6","itemData":{"DOI":"10.4067/s0716-078x2005000100010","ISSN":"0716078X","abstract":"We provide an overview of the current status of vertebrate invasive species throughout Chile, updating information on terrestrial exotics and reporting for the first time the situation of exotic freshwater fishes. In addition, we document the legislation and programs that the Chilean government has implemented to limit the entry of exotics to the country or minimize their impact on native wild flora and fauna and on natural ecosystems. We document what is known about the introduction of 26 exotic fish species to continental waters of the country, discussing the distribution and putative effects of those 11 species that may be considered invasive. From a previous list of 24 terrestrial vertebrate invaders, we withdraw the Argentine tortoise (Chelonoidis chilensis), reindeer (Rangifer tarandus) and mouflon (Ovis ammon) because there are no data on their subsistence in the wild. On the other hand, we add three new species: red-eared freshwater turtle (Trachemys scripta), monk parakeet (Myiopsitta rnonachus), and red-crested cardinal (Paroaria coronata), thus keeping the total number of terrestrial invaders unchanged at 24 species. The chief agency in charge of existing laws and regulations regarding the import of exotic freshwater species is the National Fisheries Service (SERNAPESCA, in Spanish), a dependency of the Ministry of Economy. The main agency in charge of enforcing existing laws and regulations regarding the import of exotic terrestrial species to Chile is the Agriculture and Livestock Service (SAG, in Spanish), a dependency of the Ministry of Agriculture. Currently, SAG is not only controlling major border passes, seaports and airports, but also is funding studies to monitor and control already existing invaders. In addition, the Chilean Forest Service (CONAF, in Spanish) is also concerned about invasive species, but only if they enter national parks and reserves within the National System of Protected Wildlife Areas (SNASPE, in Spanish).","author":[{"dropping-particle":"","family":"Iriarte","given":"J. Agustín","non-dropping-particle":"","parse-names":false,"suffix":""},{"dropping-particle":"","family":"Lobos","given":"Gabriel A.","non-dropping-particle":"","parse-names":false,"suffix":""},{"dropping-particle":"","family":"Jaksic","given":"Fabián M.","non-dropping-particle":"","parse-names":false,"suffix":""}],"container-title":"Revista Chilena de Historia Natural","id":"ITEM-6","issue":"1","issued":{"date-parts":[["2005"]]},"page":"143-154","title":"Invasive vertebrate species in Chile and their control and monitoring by governmental agencies","type":"article-journal","volume":"78"},"uris":["http://www.mendeley.com/documents/?uuid=dc17a9b1-c0d6-4edb-b10d-3cee9c0b5bc0"]},{"id":"ITEM-7","itemData":{"DOI":"10.1371/journal.pone.0018835","ISSN":"19326203","abstract":"Invasive alien mammals are the major driver of biodiversity loss and ecosystem degradation on islands. Over the past three decades, invasive mammal eradication from islands has become one of society's most powerful tools for preventing extinction of insular endemics and restoring insular ecosystems. As practitioners tackle larger islands for restoration, three factors will heavily influence success and outcomes: the degree of local support, the ability to mitigate for non-target impacts, and the ability to eradicate non-native species more cost-effectively. Investments in removing invasive species, however, must be weighed against the risk of reintroduction. One way to reduce reintroduction risks is to eradicate the target invasive species from an entire archipelago, and thus eliminate readily available sources. We illustrate the costs and benefits of this approach with the efforts to remove invasive goats from the Galápagos Islands. Project Isabela, the world's largest island restoration effort to date, removed &gt;140,000 goats from &gt;500,000 ha for a cost of US$10.5 million. Leveraging the capacity built during Project Isabela, and given that goat reintroductions have been common over the past decade, we implemented an archipelago-wide goat eradication strategy. Feral goats remain on three islands in the archipelago, and removal efforts are underway. Efforts on the Galápagos Islands demonstrate that for some species, island size is no longer the limiting factor with respect to eradication. Rather, bureaucratic processes, financing, political will, and stakeholder approval appear to be the new challenges. Eradication efforts have delivered a suite of biodiversity benefits that are in the process of revealing themselves. The costs of rectifying intentional reintroductions are high in terms of financial and human resources. Reducing the archipelago-wide goat density to low levels is a technical approach to reducing reintroduction risk in the short-term, and is being complemented with a longer-term social approach focused on education and governance. © 2011 Carrion et al.","author":[{"dropping-particle":"","family":"Carrion","given":"Victor","non-dropping-particle":"","parse-names":false,"suffix":""},{"dropping-particle":"","family":"Donlan","given":"C. Josh","non-dropping-particle":"","parse-names":false,"suffix":""},{"dropping-particle":"","family":"Campbell","given":"Karl J.","non-dropping-particle":"","parse-names":false,"suffix":""},{"dropping-particle":"","family":"Lavoie","given":"Christian","non-dropping-particle":"","parse-names":false,"suffix":""},{"dropping-particle":"","family":"Cruz","given":"Felipe","non-dropping-particle":"","parse-names":false,"suffix":""}],"container-title":"PLoS ONE","id":"ITEM-7","issue":"5","issued":{"date-parts":[["2011"]]},"title":"Archipelago-wide island restoration in the galápagos islands: Reducing costs of invasive mammal eradication programs and reinvasion risk","type":"article-journal","volume":"6"},"uris":["http://www.mendeley.com/documents/?uuid=95f6cc97-7c7b-435a-bffc-124495d6793e"]}],"mendeley":{"formattedCitation":"(Tershy et al. 2002, Iriarte et al. 2005, Howald et al. 2007, Witmer et al. 2009, Aguirre-Muñoz et al. 2011, Carrion et al. 2011, Samaniego-Herrera et al. 2017)","plainTextFormattedCitation":"(Tershy et al. 2002, Iriarte et al. 2005, Howald et al. 2007, Witmer et al. 2009, Aguirre-Muñoz et al. 2011, Carrion et al. 2011, Samaniego-Herrera et al. 2017)","previouslyFormattedCitation":"(A. Aguirre-Muñoz et al., 2011; Carrion et al., 2011; Howald et al., 2007; Iriarte et al., 2005; Araceli Samaniego-Herrera et al., 2017; Tershy et al., 2002; G. Witmer et al., 2009)"},"properties":{"noteIndex":0},"schema":"https://github.com/citation-style-language/schema/raw/master/csl-citation.json"}</w:instrText>
      </w:r>
      <w:r w:rsidR="00DD5935"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(Tershy et al. 2002, Iriarte et al. 2005, Howald et al. 2007, Witmer et al. 2009, Aguirre-Muñoz et al. 2011, Carrion et al. 2011, Samaniego-Herrera et al. 2017)</w:t>
      </w:r>
      <w:r w:rsidR="00DD5935" w:rsidRPr="006159FD">
        <w:rPr>
          <w:rFonts w:ascii="Times New Roman" w:eastAsia="Times New Roman" w:hAnsi="Times New Roman" w:cs="Times New Roman"/>
          <w:color w:val="000000" w:themeColor="text1"/>
        </w:rPr>
        <w:fldChar w:fldCharType="end"/>
      </w:r>
      <w:r w:rsidR="00AB5070" w:rsidRPr="006159FD">
        <w:rPr>
          <w:rFonts w:ascii="Times New Roman" w:hAnsi="Times New Roman" w:cs="Times New Roman"/>
          <w:color w:val="000000" w:themeColor="text1"/>
        </w:rPr>
        <w:t xml:space="preserve">: </w:t>
      </w:r>
    </w:p>
    <w:p w14:paraId="03C58D32" w14:textId="149B96B8" w:rsidR="00AB5070" w:rsidRPr="006159FD" w:rsidRDefault="00FC238A" w:rsidP="00AB5070">
      <w:pPr>
        <w:numPr>
          <w:ilvl w:val="1"/>
          <w:numId w:val="13"/>
        </w:numPr>
        <w:rPr>
          <w:rFonts w:ascii="Times New Roman" w:hAnsi="Times New Roman" w:cs="Times New Roman"/>
          <w:color w:val="000000" w:themeColor="text1"/>
        </w:rPr>
      </w:pPr>
      <w:r w:rsidRPr="006159FD">
        <w:rPr>
          <w:rFonts w:ascii="Times New Roman" w:hAnsi="Times New Roman" w:cs="Times New Roman"/>
          <w:color w:val="000000" w:themeColor="text1"/>
        </w:rPr>
        <w:t>We assumed a</w:t>
      </w:r>
      <w:r w:rsidR="00AB5070" w:rsidRPr="006159FD">
        <w:rPr>
          <w:rFonts w:ascii="Times New Roman" w:hAnsi="Times New Roman" w:cs="Times New Roman"/>
          <w:color w:val="000000" w:themeColor="text1"/>
        </w:rPr>
        <w:t>ll past (and future) eradications have involved (or will involve) at least local government officials</w:t>
      </w:r>
      <w:r w:rsidRPr="006159FD">
        <w:rPr>
          <w:rFonts w:ascii="Times New Roman" w:hAnsi="Times New Roman" w:cs="Times New Roman"/>
          <w:color w:val="000000" w:themeColor="text1"/>
        </w:rPr>
        <w:t xml:space="preserve"> </w:t>
      </w:r>
    </w:p>
    <w:p w14:paraId="4CC67342" w14:textId="0C46C21D" w:rsidR="00AB5070" w:rsidRPr="006159FD" w:rsidRDefault="002C459A" w:rsidP="00AB5070">
      <w:pPr>
        <w:pStyle w:val="ListParagraph"/>
        <w:numPr>
          <w:ilvl w:val="0"/>
          <w:numId w:val="13"/>
        </w:numPr>
        <w:rPr>
          <w:rFonts w:ascii="Times New Roman" w:hAnsi="Times New Roman" w:cs="Times New Roman"/>
          <w:color w:val="000000" w:themeColor="text1"/>
        </w:rPr>
      </w:pPr>
      <w:r w:rsidRPr="006159FD">
        <w:rPr>
          <w:rFonts w:ascii="Times New Roman" w:hAnsi="Times New Roman" w:cs="Times New Roman"/>
          <w:color w:val="000000" w:themeColor="text1"/>
        </w:rPr>
        <w:t>All i</w:t>
      </w:r>
      <w:r w:rsidR="00FC238A" w:rsidRPr="006159FD">
        <w:rPr>
          <w:rFonts w:ascii="Times New Roman" w:hAnsi="Times New Roman" w:cs="Times New Roman"/>
          <w:color w:val="000000" w:themeColor="text1"/>
        </w:rPr>
        <w:t>nvasive vertebrate</w:t>
      </w:r>
      <w:r w:rsidRPr="006159FD">
        <w:rPr>
          <w:rFonts w:ascii="Times New Roman" w:hAnsi="Times New Roman" w:cs="Times New Roman"/>
          <w:color w:val="000000" w:themeColor="text1"/>
        </w:rPr>
        <w:t>s</w:t>
      </w:r>
      <w:r w:rsidR="00AB5070" w:rsidRPr="006159FD">
        <w:rPr>
          <w:rFonts w:ascii="Times New Roman" w:hAnsi="Times New Roman" w:cs="Times New Roman"/>
          <w:color w:val="000000" w:themeColor="text1"/>
        </w:rPr>
        <w:t xml:space="preserve"> directly impact terrestrial ecosystems and native species </w:t>
      </w:r>
      <w:r w:rsidR="00DD5935"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{"citationItems":[{"id":"ITEM-1","itemData":{"DOI":"10.1073/pnas.1602480113","ISSN":"10916490","abstract":"Invasive species threaten biodiversity globally, and invasive mammalian predators are particularly damaging, having contributed to considerable species decline and extinction. We provide a global metaanalysis of these impacts and reveal their full extent. Invasive predators are implicated in 87 bird, 45 mammal, and 10 reptile species extinctions - 58% of these groups' contemporary extinctions worldwide. These figures are likely underestimated because 23 critically endangered species that we assessed are classed as \"possibly extinct.\" Invasive mammalian predators endanger a further 596 species at risk of extinction, with cats, rodents, dogs, and pigs threatening the most species overall. Species most at risk from predators have high evolutionary distinctiveness and inhabit insular environments. Invasive mammalian predators are therefore important drivers of irreversible loss of phylogenetic diversity worldwide. That most impacted species are insular indicates that management of invasive predators on islands should be a global conservation priority. Understanding and mitigating the impact of invasive mammalian predators is essential for reducing the rate of global biodiversity loss.","author":[{"dropping-particle":"","family":"Doherty","given":"Tim S.","non-dropping-particle":"","parse-names":false,"suffix":""},{"dropping-particle":"","family":"Glen","given":"Alistair S.","non-dropping-particle":"","parse-names":false,"suffix":""},{"dropping-particle":"","family":"Nimmo","given":"Dale G.","non-dropping-particle":"","parse-names":false,"suffix":""},{"dropping-particle":"","family":"Ritchie","given":"Euan G.","non-dropping-particle":"","parse-names":false,"suffix":""},{"dropping-particle":"","family":"Dickman","given":"Chris R.","non-dropping-particle":"","parse-names":false,"suffix":""}],"container-title":"Proceedings of the National Academy of Sciences of the United States of America","id":"ITEM-1","issue":"40","issued":{"date-parts":[["2016"]]},"page":"11261-11265","title":"Invasive predators and global biodiversity loss","type":"article-journal","volume":"113"},"uris":["http://www.mendeley.com/documents/?uuid=7bafede2-7b5a-4645-8278-c16f52a1d83c"]},{"id":"ITEM-2","itemData":{"DOI":"10.1111/j.1523-1739.2007.00755.x","ISBN":"1523-1739 (Electronic)\\n0888-8892 (Linking)","ISSN":"1523-1739","PMID":"17883491","abstract":"Invasive mammals are the greatest threat to island biodiversity and invasive rodents are likely responsible for the greatest number of extinctions and ecosystem changes. Techniques for eradicating rodents from islands were developed over 2 decades ago. Since that time there has been a significant development and application of this conservation tool. We reviewed the literature on invasive rodent eradications to assess its current state and identify actions to make it more effective. Worldwide, 332 successful rodent eradications have been undertaken; we identified 35 failed eradications and 20 campaigns of unknown result. Invasive rodents have been eradicated from 284 islands (47,628 ha). With the exception of two small islands, rodenticides were used in all eradication campaigns. Brodifacoum was used in 71% of campaigns and 91% of the total area treated. The most frequent rodenticide distribution methods (from most to least) are bait stations, hand broadcasting, and aerial broadcasting. Nevertheless, campaigns using aerial broadcast made up 76% of the total area treated. Mortality of native vertebrates due to nontarget poisoning has been documented, but affected species quickly recover to pre-eradication population levels or higher. A variety of methods have been developed to mitigate nontarget impacts, and applied research can further aid in minimizing impacts. Land managers should routinely remove invasive rodents from islands &lt;100 ha that lack vertebrates susceptible to nontarget poisoning. For larger islands and those that require nontarget mitigation, expert consultation and greater planning effort are needed. With the exception of house mice (Mus musculus), island size may no longer be the limiting factor for rodent eradications; rather, social acceptance and funding may be the main challenges. To be successful, large-scale rodent campaigns should be integrated with programs to improve the livelihoods of residents, island biosecurity, and reinvasion response programs.","author":[{"dropping-particle":"","family":"Howald","given":"Gregg","non-dropping-particle":"","parse-names":false,"suffix":""},{"dropping-particle":"","family":"Donlan","given":"C. Josh","non-dropping-particle":"","parse-names":false,"suffix":""},{"dropping-particle":"","family":"Galván","given":"Juan Pablo","non-dropping-particle":"","parse-names":false,"suffix":""},{"dropping-particle":"","family":"Russell","given":"James C.","non-dropping-particle":"","parse-names":false,"suffix":""},{"dropping-particle":"","family":"Parkes","given":"John","non-dropping-particle":"","parse-names":false,"suffix":""},{"dropping-particle":"","family":"Samaniego","given":"Araceli","non-dropping-particle":"","parse-names":false,"suffix":""},{"dropping-particle":"","family":"Wang","given":"Yiwei","non-dropping-particle":"","parse-names":false,"suffix":""},{"dropping-particle":"","family":"Veitch","given":"Dick","non-dropping-particle":"","parse-names":false,"suffix":""},{"dropping-particle":"","family":"Genovesi","given":"Piero","non-dropping-particle":"","parse-names":false,"suffix":""},{"dropping-particle":"","family":"Pascal","given":"Michel","non-dropping-particle":"","parse-names":false,"suffix":""},{"dropping-particle":"","family":"Saunders","given":"Alan","non-dropping-particle":"","parse-names":false,"suffix":""},{"dropping-particle":"","family":"Tershy","given":"Bernie","non-dropping-particle":"","parse-names":false,"suffix":""}],"container-title":"Conservation biology : the journal of the Society for Conservation Biology","id":"ITEM-2","issue":"5","issued":{"date-parts":[["2007","10"]]},"page":"1258-68","title":"Invasive rodent eradication on islands","type":"article-journal","volume":"21"},"uris":["http://www.mendeley.com/documents/?uuid=989fd7cb-89ae-410e-a9d0-e34eac278a23"]},{"id":"ITEM-3","itemData":{"DOI":"10.1080/14888386.2009.9712840","ISSN":"21600651","abstract":"New Zealand, an archipelago of more than 2000 islands, has a terrestrial fauna especially depauperate in native land mammals. Kiore (Rattus exulans) was the first of four rodent species introduced by people. A project to eradicate invasive rats from Kapiti Island in 1996, represented a turning point in the technology, complexity and scale at which managers of natural heritage on New Zealand islands could operate. This paper includes case studies of some significant projects targeting rodents, sometimes with other introduced mammals, undertaken in the 12 years following Kapiti. Details of the methods, costs, results and outcomes are provided for Kapiti, Whenua Hou, Tuhua, Campbell, Raoul, Hauturu, Taukihepa, and Pomona islands, collectively representing a total of over 23,000 ha of habitat cleared of introduced mammals. Research and trials undertaken in the Kapiti project provided the basis for future environmental risk assessments, allowing other projects to focus on knowledge gaps. New trends in invasive species eradication in New Zealand include more challenging multi-species eradication projects, some of which are undertaken by self- funded community groups. To summarise the lessons of the New Zealand experience: a programmatic approach is recommended which will fit each eradication within a context or framework of goals for those islands; address biosecurity issues at the outset; build capability to attempt the most challenging and rewarding projects; facilitate investment in monitoring and manage expectations of stakeholders to ensure their ongoing support. Success breeds success but is never guaranteed. © 2009 Taylor &amp; Francis Group, LLC.","author":[{"dropping-particle":"","family":"Broome","given":"Keith","non-dropping-particle":"","parse-names":false,"suffix":""}],"container-title":"Biodiversity","id":"ITEM-3","issue":"2-3","issued":{"date-parts":[["2009"]]},"page":"14-24","title":"Beyond kapiti - a decade of invasive rodent eradications from new zealand islands","type":"article-journal","volume":"10"},"uris":["http://www.mendeley.com/documents/?uuid=561972a0-52ee-422b-85c8-5c89ac52c12a"]},{"id":"ITEM-4","itemData":{"abstract":"The evidence to date is undeniable. Not only are the total numbers of alien species established in Europe increasing but, for many taxa, the rate at which they have become successfully introduced is higher now than at any time in the past (Hulme et al. 2009). Alien species may impact on the populations of specific native species through hybridisation, by facilitating the spread of pathogens or parasites, via grazing or predation or via competition for resources. As the examples in the forthcoming sections of this chapter illustrate, once established within Europe’s borders, the progressive spread across the continent of invasive species such as giant hogweed Heracleum mantegazzianum, the Asian ladybug Harmonia axyridis, and the horse chestnut leafminer Camararia ohridella appears inevitable and unhindered by current management response. But while we may have quantified numbers and distributions, what do we know of their impacts? Alien species may impact on specific native species through hybridisation, by facilitating the spread of pathogens or parasites, via grazing, predation or competition. Furthermore, when dominant, they can change nutrient and water cycling of ecosystems, and even disturbance regimes such as increasing soil disturbance, sedimentation, or fire risk. Existing knowledge of impacts in Europe is much less than on other continents. For example, from a total of 10,317 species alien in Europe the ecological and economic impacts are only documented for 1094 and 1347 species, respectively (Vilà et al. 2009). Thus the number and impact of harmful invasive alien species in Europe is chronically underestimated, especially for species that do not damage agriculture or human health. Hybridisation between alien and native species is a potentially serious threat to biodiversity. Hybridization may result in an infertile hybrid and this may lead to the decline of native species populations when hybrids represent the majority of offspring produced. Alternatively, the hybrids may be fertile and interbreed amongst themselves as well as the parental stock but generally perform less well than the native. Such “genetic pollution” threatens the integrity of native species and where this involves the spread of maladaptive genes, lower hybrid performance could lead to progressive native population declines. A further possibility is that the hybrid may exhibit new traits that enable it to occupy ecosystems from which either parent was previously absent or it …","author":[{"dropping-particle":"","family":"Hulme","given":"P. E.","non-dropping-particle":"","parse-names":false,"suffix":""},{"dropping-particle":"","family":"Vilà","given":"Montserrat","non-dropping-particle":"","parse-names":false,"suffix":""},{"dropping-particle":"","family":"Nentwig","given":"Wolfgang","non-dropping-particle":"","parse-names":false,"suffix":""},{"dropping-particle":"","family":"Pyšek","given":"Petr","non-dropping-particle":"","parse-names":false,"suffix":""}],"container-title":"Atlas of Biodiversity in Europe","id":"ITEM-4","issued":{"date-parts":[["2010"]]},"page":"132-133","title":"Are the aliens taking over? Invasive species and their increasing impact on biodiversity","type":"article"},"uris":["http://www.mendeley.com/documents/?uuid=98ecd674-9d8c-4b38-afe5-cab22c11455f"]},{"id":"ITEM-5","itemData":{"DOI":"10.20417/nzjecol.41.9","ISSN":"11777788","abstract":"Squamata are one of the most threatened groups among island vertebrates, facing high pressure from exotic species. However, the contribution of small terrestrial reptiles in invasive rodents’ diet remains poorly investigated, partly because of the lack of tools for accurately identifying chewed prey fragments in gut contents. The New Caledonia archipelago (South Pacific) hosts an exceptional terrestrial squamata fauna (105 species, 91.6% endemic) that are faced with many invasive species (rodents, feral cats, feral pigs, ants) and strong human pressures. Our study aimed to evaluate the frequency of occurrence of endemic skink remains by gut content analysis of two species of invasive rodents. Four rodent trapping sessions were implemented at two ultramafic sites and for two distinct habitats (closed canopy forest and open shrubland habitat). A total of 284 rats were trapped from two species (the ship rat Rattus rattus and the Pacific rat R. exulans) over 1200 trap nights. Combined analysis of stomach and caecum contents provided far more information than traditional stomach analysis alone. Analyses showed that 15.9% of rat samples included remains of at least 12 different skink species out of the 23 present. Six species are classified as threatened by the IUCN, the most endangered being Marmorosphax taom (CR) and Kanakysaurus viviparus (EN). This study provides new prospects for the assessment of invasive rodent impacts and new insights into the respective impacts of two sympatric invasive rodent species on native skinks.","author":[{"dropping-particle":"","family":"Thibault","given":"Martin","non-dropping-particle":"","parse-names":false,"suffix":""},{"dropping-particle":"","family":"Brescia","given":"Fabrice","non-dropping-particle":"","parse-names":false,"suffix":""},{"dropping-particle":"","family":"Jourdan","given":"Hervé","non-dropping-particle":"","parse-names":false,"suffix":""},{"dropping-particle":"","family":"Vidal","given":"Eric","non-dropping-particle":"","parse-names":false,"suffix":""}],"container-title":"New Zealand Journal of Ecology","id":"ITEM-5","issue":"1","issued":{"date-parts":[["2017"]]},"page":"74-83","title":"Invasive rodents, an overlooked threat for skinks in a tropical island hotspot of biodiversity","type":"article-journal","volume":"41"},"uris":["http://www.mendeley.com/documents/?uuid=bb76c735-a6ec-4993-988f-4c25e838592a"]},{"id":"ITEM-6","itemData":{"DOI":"10.1890/15-0204.1","ISSN":"00129658","PMID":"27145614","abstract":"Apex predators are important in protecting biodiversity through top-down influence on food webs. Their loss is linked with competitive release of invasive mesopredators and species extinctions. The Tasmanian devil (Sarcophilus harrisii) has experienced severe declines over a 15-yr period as a novel transmissible cancer has spread across its current geographic range. We surveyed the mammalian community, using hair traps, across the spatial extent of the devil's progressive population decline. We found increased activity of alien invasive species (feral cats, black rats), and reduced small and medium-sized native prey species in response to the timing of the decline. In areas of long-term devil decline, invasive species comprised a significantly larger proportion of the community. The results provide evidence that the devil plays a keystone role in Tasmania's ecosystem with their decline linked to a shift toward an invasive state and biodiversity loss in one of Australia's most intact faunal communities.","author":[{"dropping-particle":"","family":"Hollings","given":"Tracey","non-dropping-particle":"","parse-names":false,"suffix":""},{"dropping-particle":"","family":"Jones","given":"Menna","non-dropping-particle":"","parse-names":false,"suffix":""},{"dropping-particle":"","family":"Mooney","given":"Nick","non-dropping-particle":"","parse-names":false,"suffix":""},{"dropping-particle":"","family":"McCallum","given":"Hamish","non-dropping-particle":"","parse-names":false,"suffix":""}],"container-title":"Ecology","id":"ITEM-6","issue":"2","issued":{"date-parts":[["2016"]]},"page":"394-405","title":"Disease-induced decline of an apex predator drives invasive dominated states and threatens biodiversity","type":"article-journal","volume":"97"},"uris":["http://www.mendeley.com/documents/?uuid=fccb127f-e9d2-4e94-aaeb-9e58c7e90d14"]},{"id":"ITEM-7","itemData":{"abstract":"Islands are important for the conservation of biodiversity because they house 20% of terrestrial plant and vertebrate species, have suffered 64% of IUCN-listed extinctions and have 45% of IUCN-listed critically endangered species. Yet islands make up only about five percent of the earths surface. The main cause of extinction and endangerment to biodiversity on islands is the presence of invasive vertebrates. Fortunately, many future extinctions can be prevented by eradicating invasive vertebrates from islands. To assess the current state of this conservation tool, we are compiling a global database of terrestrial vertebrate eradications from islands, including successes and failures. To date, in the Global Islands Invasives Vertebrate Eradication Database we have documented approximately 950 island eradication attempts involving 28 species of invasive vertebrates in 12 families. These are preliminary data and will be updated and checked for accuracy as part of the Island Invasives: Eradication and Management conference, Auckland 2010. Most eradication attempts have been of rodents (&gt;350) and bovid ungulates (&gt;160). Moderate numbers of eradication attempts have been of cats (&gt;90), suid ungulates (&gt;55), and rabbits (&gt;45). Most projects have been on islands smaller than 500 ha (68%) and in temperate climates (72%). Targeting eradications on larger and more tropical islands would lead to the protection of more biodiversity. To this end, our vision is to maintain an accurate, web-accessible, regularly updated database that can be used to promote and improve the protection of island ecosystems by eradicating invasive vertebrates.","author":[{"dropping-particle":"","family":"Keitt","given":"B","non-dropping-particle":"","parse-names":false,"suffix":""},{"dropping-particle":"","family":"Campbell","given":"K","non-dropping-particle":"","parse-names":false,"suffix":""},{"dropping-particle":"","family":"Saunders","given":"A","non-dropping-particle":"","parse-names":false,"suffix":""},{"dropping-particle":"","family":"Clout","given":"M","non-dropping-particle":"","parse-names":false,"suffix":""},{"dropping-particle":"","family":"Wang","given":"Y","non-dropping-particle":"","parse-names":false,"suffix":""},{"dropping-particle":"","family":"Heinz","given":"R","non-dropping-particle":"","parse-names":false,"suffix":""},{"dropping-particle":"","family":"Newton","given":"K","non-dropping-particle":"","parse-names":false,"suffix":""},{"dropping-particle":"","family":"Tershy","given":"B","non-dropping-particle":"","parse-names":false,"suffix":""},{"dropping-particle":"","family":"Conservation","given":"Island","non-dropping-particle":"","parse-names":false,"suffix":""},{"dropping-particle":"","family":"Cruz","given":"Santa","non-dropping-particle":"","parse-names":false,"suffix":""},{"dropping-particle":"","family":"Centre","given":"Waikato Mail","non-dropping-particle":"","parse-names":false,"suffix":""},{"dropping-particle":"","family":"Species","given":"Invasive","non-dropping-particle":"","parse-names":false,"suffix":""},{"dropping-particle":"","family":"Group","given":"Specialist","non-dropping-particle":"","parse-names":false,"suffix":""},{"dropping-particle":"","family":"Campus","given":"Tamaki","non-dropping-particle":"","parse-names":false,"suffix":""},{"dropping-particle":"","family":"Bag","given":"Private","non-dropping-particle":"","parse-names":false,"suffix":""}],"container-title":"Island invasives: eradication and management.","editor":[{"dropping-particle":"","family":"Clout","given":"M. N.","non-dropping-particle":"","parse-names":false,"suffix":""},{"dropping-particle":"","family":"Towns","given":"D. R.","non-dropping-particle":"","parse-names":false,"suffix":""}],"id":"ITEM-7","issued":{"date-parts":[["2011"]]},"page":"74-77","publisher":"IUCN","publisher-place":"Gland, Switzerland","title":"The Global Islands Invasive Vertebrate Eradication Database: A tool to improve and facilitate restoration of island ecosystems","type":"chapter"},"uris":["http://www.mendeley.com/documents/?uuid=8a1f0f27-8f0d-4049-b693-533b40289407"]},{"id":"ITEM-8","itemData":{"DOI":"10.1007/BF02192392","ISSN":"00442887","abstract":"The introduction of invasive alien vertebrates is a major cause of the loss of native biodiversity in many regions of the world. The threats posed by them are especially severe on oceanic islands and other isolated ecosystems, in which there are many examples of extinctions or declines of native species caused by alien vertebrates. Predatory mammals are the worst offenders, but mammalian herbivores can also cause biodiversity loss and may provide the prey base to support invasive predators. There are also some notorious examples of alien birds, reptiles and fish that threaten native biodiversity. The adverse effects of invasive alien vertebrates are illustrated by specific examples from New Zealand, including the multiple impacts of Australian brushtail possums (Trichosurus vulpecula). Invasive vertebrates can sometimes be eradicated in the early phases of establishment and can be removed from islands or other isolated areas. However, given the uncertainty about the effects of alien species, the best policy is to adopt the precautionary principle and avoid making introductions without prior rigorous assessment of the risks to native biodiversity.","author":[{"dropping-particle":"","family":"Clout","given":"M. N.","non-dropping-particle":"","parse-names":false,"suffix":""}],"container-title":"Zeitschrift fur Jagdwissenschaft","id":"ITEM-8","issue":"SUPPL.","issued":{"date-parts":[["2002"]]},"page":"51-58","title":"Biodiversity loss caused by invasive alien vertebrates","type":"article-journal","volume":"48"},"uris":["http://www.mendeley.com/documents/?uuid=fca72205-8df3-4244-b2a9-8a5bae1bed6b"]},{"id":"ITEM-9","itemData":{"DOI":"10.1046/j.1526-100X.2003.rec0259.x","ISSN":"10612971","abstract":"The Pacific islands off southern California, U.S.A. and Baja California, Mexico hold potential for the conservation and restoration of California Mediterranean coastal ecosystems. However, the presence of exotic herbivores and invasive plants pose threats to these systems. Here, we use introduced herbivore removal as a large-scale experimental manipulation to examine the importance of top-down and bottom-up processes to a large-scale restoration effort. Using a paired approach on the Todos Santos Islands, Mexico we removed herbivores from one island, while they temporarily remained on an adjacent and similar island. We augmented this experiment with smaller scale herbivore exclosures on the control island. At both scales we failed to detect an herbivore effect on the plant community; rather plant community dynamics appeared to be dominated by El Niño related precipitation and exotic annuals. A parallel experiment on the San Benito Islands, Mexico revealed a different dynamic: Top-down effects on the plant community by exotic herbivores were evident. Differences in the response from the plant communities to both exotic herbivore presence and removal between these two island groups, along with Santa Barbara Island, U.S.A., where restoration has been on-going, raise important questions in ecosystem restoration. The history of anthropogenic disturbance, exotic plant abundance, and aridity play roles in postherbivore removal recovery. Although island conservation practitioners have honed the ability to remove exotic mammals from islands, development of invasive plant removal techniques is needed to fully capitalize on the conservation potential of California island ecosystems.","author":[{"dropping-particle":"","family":"Donlan","given":"C. Josh","non-dropping-particle":"","parse-names":false,"suffix":""},{"dropping-particle":"","family":"Croll","given":"Donald A.","non-dropping-particle":"","parse-names":false,"suffix":""},{"dropping-particle":"","family":"Tershy","given":"Bernie R.","non-dropping-particle":"","parse-names":false,"suffix":""}],"container-title":"Restoration Ecology","id":"ITEM-9","issue":"4","issued":{"date-parts":[["2003"]]},"page":"524-530","title":"Islands, exotic herbivores, and invasive plants: Their roles in Coastal California restoration","type":"article-journal","volume":"11"},"uris":["http://www.mendeley.com/documents/?uuid=27322c24-e1c9-4f3e-94c1-f4a509724c2c"]},{"id":"ITEM-10","itemData":{"DOI":"10.1073/pnas.1521179113","ISBN":"0027-8424","ISSN":"0027-8424","PMID":"27001852","abstract":"More than US$21 billion is spent annually on biodiversity conservation. Despite their importance for preventing or slowing extinctions and preserving biodiversity, conservation interventions are rarely assessed systematically for their global impact. Islands house a disproportionately higher amount of biodiversity compared with mainlands, much of which is highly threatened with extinction. Indeed, island species make up nearly two-thirds of recent extinctions. Islands therefore are critical targets of conservation. We used an extensive literature and database review paired with expert interviews to estimate the global benefits of an increasingly used conservation action to stem biodiversity loss: eradication of invasive mammals on islands. We found 236 native terrestrial insular faunal species (596 populations) that benefitted through positive demographic and/or distributional responses from 251 eradications of invasive mammals on 181 islands. Seven native species (eight populations) were negatively impacted by invasive mammal eradication. Four threatened species had their International Union for the Conservation of Nature (IUCN) Red List extinction-risk categories reduced as a direct result of invasive mammal eradication, and no species moved to a higher extinction-risk category. We predict that 107 highly threatened birds, mammals, and reptiles on the IUCN Red List—6% of all these highly threatened species—likely have benefitted from invasive mammal eradications on islands. Because monitoring of eradication outcomes is sporadic and limited, the impacts of global eradications are likely greater than we report here. Our results highlight the importance of invasive mammal eradication on islands for protecting the world's most imperiled fauna.","author":[{"dropping-particle":"","family":"Jones","given":"Holly P.","non-dropping-particle":"","parse-names":false,"suffix":""},{"dropping-particle":"","family":"Holmes","given":"Nick D.","non-dropping-particle":"","parse-names":false,"suffix":""},{"dropping-particle":"","family":"Butchart","given":"Stuart H. M.","non-dropping-particle":"","parse-names":false,"suffix":""},{"dropping-particle":"","family":"Tershy","given":"Bernie R.","non-dropping-particle":"","parse-names":false,"suffix":""},{"dropping-particle":"","family":"Kappes","given":"Peter J.","non-dropping-particle":"","parse-names":false,"suffix":""},{"dropping-particle":"","family":"Corkery","given":"Ilse","non-dropping-particle":"","parse-names":false,"suffix":""},{"dropping-particle":"","family":"Aguirre-Muñoz","given":"Alfonso","non-dropping-particle":"","parse-names":false,"suffix":""},{"dropping-particle":"","family":"Armstrong","given":"Doug P.","non-dropping-particle":"","parse-names":false,"suffix":""},{"dropping-particle":"","family":"Bonnaud","given":"Elsa","non-dropping-particle":"","parse-names":false,"suffix":""},{"dropping-particle":"","family":"Burbidge","given":"Andrew A.","non-dropping-particle":"","parse-names":false,"suffix":""},{"dropping-particle":"","family":"Campbell","given":"Karl","non-dropping-particle":"","parse-names":false,"suffix":""},{"dropping-particle":"","family":"Courchamp","given":"Franck","non-dropping-particle":"","parse-names":false,"suffix":""},{"dropping-particle":"","family":"Cowan","given":"Philip E.","non-dropping-particle":"","parse-names":false,"suffix":""},{"dropping-particle":"","family":"Cuthbert","given":"Richard J.","non-dropping-particle":"","parse-names":false,"suffix":""},{"dropping-particle":"","family":"Ebbert","given":"Steve","non-dropping-particle":"","parse-names":false,"suffix":""},{"dropping-particle":"","family":"Genovesi","given":"Piero","non-dropping-particle":"","parse-names":false,"suffix":""},{"dropping-particle":"","family":"Howald","given":"Gregg R.","non-dropping-particle":"","parse-names":false,"suffix":""},{"dropping-particle":"","family":"Keitt","given":"Bradford S.","non-dropping-particle":"","parse-names":false,"suffix":""},{"dropping-particle":"","family":"Kress","given":"Stephen W.","non-dropping-particle":"","parse-names":false,"suffix":""},{"dropping-particle":"","family":"Miskelly","given":"Colin M.","non-dropping-particle":"","parse-names":false,"suffix":""},{"dropping-particle":"","family":"Oppel","given":"Steffen","non-dropping-particle":"","parse-names":false,"suffix":""},{"dropping-particle":"","family":"Poncet","given":"Sally","non-dropping-particle":"","parse-names":false,"suffix":""},{"dropping-particle":"","family":"Rauzon","given":"Mark J.","non-dropping-particle":"","parse-names":false,"suffix":""},{"dropping-particle":"","family":"Rocamora","given":"Gérard","non-dropping-particle":"","parse-names":false,"suffix":""},{"dropping-particle":"","family":"Russell","given":"James C.","non-dropping-particle":"","parse-names":false,"suffix":""},{"dropping-particle":"","family":"Samaniego-Herrera","given":"Araceli","non-dropping-particle":"","parse-names":false,"suffix":""},{"dropping-particle":"","family":"Seddon","given":"Philip J.","non-dropping-particle":"","parse-names":false,"suffix":""},{"dropping-particle":"","family":"Spatz","given":"Dena R.","non-dropping-particle":"","parse-names":false,"suffix":""},{"dropping-particle":"","family":"Towns","given":"David R.","non-dropping-particle":"","parse-names":false,"suffix":""},{"dropping-particle":"","family":"Croll","given":"Donald A.","non-dropping-particle":"","parse-names":false,"suffix":""}],"container-title":"Proceedings of the National Academy of Sciences","id":"ITEM-10","issue":"15","issued":{"date-parts":[["2016"]]},"page":"4033-4038","title":"Invasive mammal eradication on islands results in substantial conservation gains","type":"article-journal","volume":"113"},"uris":["http://www.mendeley.com/documents/?uuid=f633c20b-de9f-477f-8484-be1268d2d26a"]},{"id":"ITEM-11","itemData":{"DOI":"10.1016/j.biocon.2015.07.031","ISSN":"00063207","abstract":"The relationship between the density of a pest and its impact on a valued resource is critical for cost-effective management. Despite their simplistic representation of dynamic and often complex systems, density-impact functions (DIFs) are appealing because they provide managers with tangible goals for pest control. Historically, these relationships have focused on agricultural resources: relatively few have been quantified for conservation assets. We provide empirical evidence for six theoretical forms of DIF. Linear functions are the default condition based on the notion that some conservation benefit will result from any level of pest control, but they comprised less than one fifth of DIFs reviewed. More than half were strongly non-linear, with substantial benefits for indigenous species when pests were suppressed to low levels. Recovery of species, however, is usually a function of multiple processes, not just removal of pests, and recovery tends to be place- and time-specific. Thus, guidelines to help conservation managers derive and use DIFs in ways that maximise their value without overextending their utility are: 1) minimise influences of factors other than pests; 2) where necessary, undertake site-specific experiments, rather than generalising from other studies; 3) use time scales that recognise delays for biota to adjust to pest control; 4) measure instantaneous responses (e.g. demographic rates) as early indicators; and 5) use DIFs to guide short-term pest management, and trophic-interactive modelling for longer-term management. DIFs derived and used in this way are a significant improvement over unguided biodiversity management, and provide managers with an evidence base for decision-making.","author":[{"dropping-particle":"","family":"Norbury","given":"Grant L.","non-dropping-particle":"","parse-names":false,"suffix":""},{"dropping-particle":"","family":"Pech","given":"Roger P.","non-dropping-particle":"","parse-names":false,"suffix":""},{"dropping-particle":"","family":"Byrom","given":"Andrea E.","non-dropping-particle":"","parse-names":false,"suffix":""},{"dropping-particle":"","family":"Innes","given":"John","non-dropping-particle":"","parse-names":false,"suffix":""}],"container-title":"Biological Conservation","id":"ITEM-11","issued":{"date-parts":[["2015"]]},"page":"409-420","publisher":"Elsevier B.V.","title":"Density-impact functions for terrestrial vertebrate pests and indigenous biota: Guidelines for conservation managers","type":"article-journal","volume":"191"},"uris":["http://www.mendeley.com/documents/?uuid=c76facde-a9b8-4bf5-838d-b1777a286679"]},{"id":"ITEM-12","itemData":{"DOI":"10.1046/j.1365-2664.2002.00710.x","ISSN":"00218901","abstract":"1. Overgrazing by exotic herbivores has a widespread impact on plant communities. We used the removal of exotic European rabbits, goats and donkeys from the San Benito Islands, Mexico, as an experimental manipulation to examine the importance of top-down and bottom-up processes in the impact and recovery of an island plant community. 2. Using a paired approach, we removed herbivores from one island, while they remained temporarily on an adjacent, similar island. We combined this large-scale manipulation with smaller-scale mechanistic experiments: herbivore food-preference trials and herbivore exclosures on the control island. 3. El Niño-related precipitation dominated vegetation dynamics early in the study. Differences in plant community structure due to selective herbivory between the experimental and control islands were detectable in the second year. Results from food-preference trials accurately predicted changes in the perennial plant community. When herbivores were removed from the experimental island, the abundance of their preferred plants increased while unpalatable species decreased. On the control island (herbivores present), we observed the opposite trend. However, we saw no recovery of vegetation inside the exclosures on the control island, constructed after the El Niño rains, probably due to the absence of rainfall. 4. While the relationship between herbivore food preference and changes in plant cover is strong evidence of a top-down effect by exotic species, the influence of El Niño precipitation highlights the importance of bottom-up factors, such as water availability, in the recovery of arid plant communities from long-term disturbance.","author":[{"dropping-particle":"","family":"Donlan","given":"C. Josh","non-dropping-particle":"","parse-names":false,"suffix":""},{"dropping-particle":"","family":"Tershy","given":"Bernie R.","non-dropping-particle":"","parse-names":false,"suffix":""},{"dropping-particle":"","family":"Croll","given":"Donald A.","non-dropping-particle":"","parse-names":false,"suffix":""}],"container-title":"Journal of Applied Ecology","id":"ITEM-12","issue":"2","issued":{"date-parts":[["2002"]]},"page":"235-246","title":"Islands and introduced herbivores: Conservation action as ecosystem experimentation","type":"article-journal","volume":"39"},"uris":["http://www.mendeley.com/documents/?uuid=dd6140e5-c063-4da4-87c4-10e93bdbe716"]},{"id":"ITEM-13","itemData":{"author":[{"dropping-particle":"","family":"Aguirre-Muñoz","given":"Alonso","non-dropping-particle":"","parse-names":false,"suffix":""}],"container-title":"Island invasives: eradication and management","editor":[{"dropping-particle":"","family":"Veicht, C.R.; Clout, M.N.; Towns","given":"D.R.","non-dropping-particle":"","parse-names":false,"suffix":""}],"id":"ITEM-13","issued":{"date-parts":[["2011"]]},"page":"250-258","publisher":"IUCN","publisher-place":"Gland, Switzerland","title":"Island restoration in Mexico: ecological outcomes after systematic eradications of invasive mammals","type":"chapter"},"uris":["http://www.mendeley.com/documents/?uuid=73fe3722-3513-4437-ab5f-ae00d0fe2726"]},{"id":"ITEM-14","itemData":{"DOI":"10.1007/s10530-008-9392-1","ISSN":"13873547","author":[{"dropping-particle":"","family":"Drake","given":"Donald R.","non-dropping-particle":"","parse-names":false,"suffix":""},{"dropping-particle":"","family":"Hunt","given":"Terry L.","non-dropping-particle":"","parse-names":false,"suffix":""}],"container-title":"Biological Invasions","id":"ITEM-14","issue":"7","issued":{"date-parts":[["2009"]]},"page":"1483-1487","title":"Invasive rodents on islands: Integrating historical and contemporary ecology","type":"article-journal","volume":"11"},"uris":["http://www.mendeley.com/documents/?uuid=5ff2a426-2e3d-4215-b85f-087def7b3135"]},{"id":"ITEM-15","itemData":{"DOI":"10.1890/15-0027.1","ISSN":"00129658","abstract":"Species composition is expected to alter ecological function in assemblages if species traits differ strongly. Such effects are often large and persistent for nonnative carnivores invading islands. Alternatively, high similarity in traits within assemblages creates a degree of functional redundancy in ecosystems. Here we tested whether species turnover results in functional ecological equivalence or complementarity, and whether invasive carnivores on islands significantly alter such ecological function. The model system consisted of vertebrate scavengers (dominated by raptors) foraging on animal carcasses on ocean beaches on two Australian islands, one with and one without invasive red foxes (Vulpes vulpes). Partitioning of scavenging events among species, carcass removal rates, and detection speeds were quantified using camera traps baited with fish carcasses at the dune-beach interface. Complete segregation of temporal foraging niches between mammals (nocturnal) and birds (diurnal) reflects complementarity in carrion utilization. Conversely, functional redundancy exists within the bird guild where several species of raptors dominate carrion removal in a broadly similar way. As predicted, effects of red foxes were large. They substantially changed the nature and rate of the scavenging process in the system: (1) foxes consumed over half (55%) of all carrion available at night, compared with negligible mammalian foraging at night on the fox-free island, and (2) significant shifts in the composition of the scavenger assemblages consuming beach-cast carrion are the consequence of fox invasion at one island. Arguably, in the absence of other mammalian apex predators, the addition of red foxes creates a new dimension of functional complementarity in beach food webs. However, this functional complementarity added by foxes is neither benign nor neutral, as marine carrion subsidies to coastal red fox populations are likely to facilitate their persistence as exotic carnivores.","author":[{"dropping-particle":"","family":"Brown","given":"Marion B.","non-dropping-particle":"","parse-names":false,"suffix":""},{"dropping-particle":"","family":"Schlacher","given":"Thomas A.","non-dropping-particle":"","parse-names":false,"suffix":""},{"dropping-particle":"","family":"Schoeman","given":"David S.","non-dropping-particle":"","parse-names":false,"suffix":""},{"dropping-particle":"","family":"Weston","given":"Michael A.","non-dropping-particle":"","parse-names":false,"suffix":""},{"dropping-particle":"","family":"Huijbers","given":"Chantal M.","non-dropping-particle":"","parse-names":false,"suffix":""},{"dropping-particle":"","family":"Olds","given":"Andrew D.","non-dropping-particle":"","parse-names":false,"suffix":""},{"dropping-particle":"","family":"Connolly","given":"Rod M.","non-dropping-particle":"","parse-names":false,"suffix":""}],"container-title":"Ecology","id":"ITEM-15","issue":"10","issued":{"date-parts":[["2015"]]},"page":"2715-2725","title":"Invasive carnivores alter ecological function and enhance complementarity in scavenger assemblages on ocean beaches","type":"article-journal","volume":"96"},"uris":["http://www.mendeley.com/documents/?uuid=815d2cfb-a2b2-4d53-828c-dd20bc10c84c"]},{"id":"ITEM-16","itemData":{"DOI":"10.1890/08-0302.1","ISSN":"00129658","abstract":"The American mink, Neovison vison, is an established, alien invasive species in the United Kingdom that originally colonized the country at a time when two native mustelids (otters, Lutra lutra, and polecats, Mustela putorius) were largely absent. Both of these species are now recovering their populations nationally. We compared the relative abundance and the behavior of mink in the 1990s and in the 2000s in an area of southern England where both otters and polecats were absent in the 1990s but reappeared in the intervening years. We found that mink were still abundant in the 2000s in the presence of otters and polecats, but that they appeared to have altered some aspects of their behavior. In accordance with previous studies, we found that mink consumed fewer fish in the presence of otters. We also found that mink were predominantly nocturnal in the 1990s (in the absence of competitors) but were predominantly diurnal in the 2000s (in the presence of competitors). We hypothesize that this temporal shift may be an avoidance mechanism allowing the coexistence of mink with the otter and the polecat, although we are unable to attribute the shift to one or the other species. We also found that mink in the presence of competitors weighed less but remained the same size, suggesting the possibility of a competitor-mediated decline in overall body condition. This is one of very few field studies demonstrating a complete temporal shift in apparent response to competitors. The implications of this study are that recovering otter populations may not lead to significant and long-term reductions in the number of invasive mink in the United Kingdom as has been suggested in the media, although we cannot exclude the possibility of a decline in mink in the longer-term. © 2009 by the Ecological Society of America.","author":[{"dropping-particle":"","family":"Harrington","given":"Lauren A.","non-dropping-particle":"","parse-names":false,"suffix":""},{"dropping-particle":"","family":"Harrington","given":"Andrew L.","non-dropping-particle":"","parse-names":false,"suffix":""},{"dropping-particle":"","family":"Yamaguchi","given":"Nobuyuki","non-dropping-particle":"","parse-names":false,"suffix":""},{"dropping-particle":"","family":"Thom","given":"Michael D.","non-dropping-particle":"","parse-names":false,"suffix":""},{"dropping-particle":"","family":"Ferreras","given":"Pablo","non-dropping-particle":"","parse-names":false,"suffix":""},{"dropping-particle":"","family":"Windham","given":"Thomas R.","non-dropping-particle":"","parse-names":false,"suffix":""},{"dropping-particle":"","family":"Macdonald","given":"David W.","non-dropping-particle":"","parse-names":false,"suffix":""}],"container-title":"Ecology","id":"ITEM-16","issue":"5","issued":{"date-parts":[["2009"]]},"page":"1207-1216","title":"The impact of native competitors on an alien invasive: Temporal niche shifts to avoid interspecific aggression?","type":"article-journal","volume":"90"},"uris":["http://www.mendeley.com/documents/?uuid=d855d0f4-c264-4dd8-90ef-4a9d776f5c02"]},{"id":"ITEM-17","itemData":{"DOI":"10.1126/science.1121407","ISSN":"00368075","abstract":"Exotic species are widely assumed to thrive because they lack natural enemies in their new ranges. However, a meta-analysis of 63 manipulative field studies including more than 100 exotic plant species revealed that native herbivores suppressed exotic plants, whereas exotic herbivores facilitated both the abundance and species richness of exotic plants. Both outcomes suggest that plants are especially susceptible to novel, generalist herbivores that they have not been selected to resist. Thus, native herbivores provide biotic resistance to plant invasions, but the widespread replacement of native with exotic herbivores eliminates this ecosystem service, facilitates plant invasions, and triggers an invasional \"meltdown.\".","author":[{"dropping-particle":"","family":"Parker","given":"John D.","non-dropping-particle":"","parse-names":false,"suffix":""},{"dropping-particle":"","family":"Burkepile","given":"Deron E.","non-dropping-particle":"","parse-names":false,"suffix":""},{"dropping-particle":"","family":"Hayt","given":"Mark E.","non-dropping-particle":"","parse-names":false,"suffix":""}],"container-title":"Science","id":"ITEM-17","issue":"5766","issued":{"date-parts":[["2006"]]},"page":"1459-1461","title":"Opposing effects of native and exotic herbivores on plant invasions","type":"article-journal","volume":"311"},"uris":["http://www.mendeley.com/documents/?uuid=ad053e43-221c-4e32-bb95-dfdf9df3319e"]},{"id":"ITEM-18","itemData":{"DOI":"10.1016/j.tree.2010.09.001","ISSN":"01695347","PMID":"20888063","abstract":"The topic of aboveground-belowground linkages has seen much recent activity, resulting in several conceptual advances regarding plant-soil feedbacks, multitrophic interactions, and how organisms drive ecosystem processes. Although restoration ecology has been rapidly evolving as a scientific discipline, the principles that have developed regarding aboveground-belowground linkages have yet to be thoroughly integrated into it. In this review, we conceptually integrate the role of aboveground-belowground linkages with the principles of restoration ecology through a framework that transcends multiple levels of ecological organization, and illustrate its application through three examples: restoration of abandoned land, reversal of biological invasions, and restoration of natural disturbances. We conclude that this integration can greatly assist restoration ecology, through aiding identification of effective invention practices and prediction of ecosystem recovery. © 2010 Elsevier Ltd.","author":[{"dropping-particle":"","family":"Kardol","given":"Paul","non-dropping-particle":"","parse-names":false,"suffix":""},{"dropping-particle":"","family":"Wardle","given":"David A.","non-dropping-particle":"","parse-names":false,"suffix":""}],"container-title":"Trends in Ecology and Evolution","id":"ITEM-18","issue":"11","issued":{"date-parts":[["2010"]]},"page":"670-679","publisher":"Elsevier Ltd","title":"How understanding aboveground-belowground linkages can assist restoration ecology","type":"article-journal","volume":"25"},"uris":["http://www.mendeley.com/documents/?uuid=57274119-ed54-44d4-9c20-cf13884cbc20"]},{"id":"ITEM-19","itemData":{"DOI":"10.1111/rec.12144","ISSN":"10612971","author":[{"dropping-particle":"","family":"Beltran","given":"Roxanne S.","non-dropping-particle":"","parse-names":false,"suffix":""},{"dropping-particle":"","family":"Kreidler","given":"Nissa","non-dropping-particle":"","parse-names":false,"suffix":""},{"dropping-particle":"","family":"Vuren","given":"Dirk H.","non-dropping-particle":"Van","parse-names":false,"suffix":""},{"dropping-particle":"","family":"Morrison","given":"Scott a.","non-dropping-particle":"","parse-names":false,"suffix":""},{"dropping-particle":"","family":"Zavaleta","given":"Erika S.","non-dropping-particle":"","parse-names":false,"suffix":""},{"dropping-particle":"","family":"Newton","given":"Kelly","non-dropping-particle":"","parse-names":false,"suffix":""},{"dropping-particle":"","family":"Tershy","given":"Bernie R.","non-dropping-particle":"","parse-names":false,"suffix":""},{"dropping-particle":"","family":"Croll","given":"Donald a.","non-dropping-particle":"","parse-names":false,"suffix":""}],"container-title":"Restoration Ecology","id":"ITEM-19","issue":"6","issued":{"date-parts":[["2014"]]},"page":"790-797","title":"Passive Recovery of Vegetation after Herbivore Eradication on Santa Cruz Island, California","type":"article-journal","volume":"22"},"uris":["http://www.mendeley.com/documents/?uuid=497ad8d5-c7e4-4a70-be19-63071a2e7a21"]},{"id":"ITEM-20","itemData":{"DOI":"10.1046/j.1365-2745.1998.00314.x","ISSN":"00220477","abstract":"1 Submergence of coastal wetlands in Louisiana is currently rapid and widespread. A number of factors contribute to this loss of habitat, including the activities of herbivores. The objective of this study was to examine the effects of large mammals, predominantly nutria and wild boar, on processes controlling soil elevation in coastal marshes. 2 Effects of herbivores on soil and vegetation were assessed by the use of paired fenced and unfenced plots over two successive growing seasons. Above-ground biomass, litter production, changes in soil elevation, vertical soil accretion, shallow subsidence, below-ground production of roots and rhizomes, the thickness of the root zone, soil bulk density, and soil organic matter were measured. 3 Above-ground biomass, below-ground production, soil elevation and the expansion of the root zone decreased due to herbivore activity. Litter production, the rate of soil surface accretion and shallow soil subsidence were all higher in grazed compared to ungrazed plots, while soil organic matter and bulk density did not differ significantly between treatments. 4 The results indicate that herbivores can have a negative effect on soil building processes, primarily by reducing below-ground production and expansion of the root zone. Where natural rates of mineral sediment deposition are high, coastal marshes are expected to persist, despite herbivore activities. However, where sediment inputs are substantially less, herbivores may lead to destruction of habitat.","author":[{"dropping-particle":"","family":"Ford","given":"Mark A.","non-dropping-particle":"","parse-names":false,"suffix":""},{"dropping-particle":"","family":"Grace","given":"James B.","non-dropping-particle":"","parse-names":false,"suffix":""}],"container-title":"Journal of Ecology","id":"ITEM-20","issue":"6","issued":{"date-parts":[["1998"]]},"page":"974-982","title":"Effects of vertebrate herbivores on soil processes, plant biomass, litter accumulation and soil elevation changes in a coastal marsh","type":"article-journal","volume":"86"},"uris":["http://www.mendeley.com/documents/?uuid=9d2900ef-0730-4c77-b502-4c0775f0199f"]},{"id":"ITEM-21","itemData":{"DOI":"10.1016/j.foreco.2008.04.011","ISSN":"03781127","abstract":"Herbivory may be an important factor affecting seedling survival of exotic species invading new habitats. We evaluated the effect of vertebrate herbivory on the seedling survival of two widely planted and invasive tree species (Pinus radiata and Eucalyptus globulus), in a Mediterranean-type ecosystem of central Chile. An important role of herbivory on seedling survival of these two species in their introduced ranges has previously been documented. However, this has mainly been evaluated in forest plantations where habitat and vegetation conditions differ from wild habitats in which invasion occurs. We planted seedlings with and without protection against vertebrate herbivores in different aspects (a mesic south-facing slope and a xeric north-facing slope) and vegetation cover (open sites and sites with patchy tree cover). We found that regardless of aspect or vegetation cover, herbivory, in this case mainly caused by exotic vertebrates, significantly and negatively affected seedling survival of both species. However, while the effect of herbivory on P. radiata was significant in every vegetation and habitat condition, for E. globulus, the effect of herbivory was significant only for open sites in the mesic habitat. These results suggest that, as observed in forestry plantations, vertebrate herbivory may constrain seedling establishment of these two exotic trees and potentially impede the invasion. However, the importance of herbivory in controlling exotic species may vary depending on the vegetation and habitat conditions in some species such as E. globulus. © 2008 Elsevier B.V. All rights reserved.","author":[{"dropping-particle":"","family":"Becerra","given":"Pablo I.","non-dropping-particle":"","parse-names":false,"suffix":""},{"dropping-particle":"","family":"Bustamante","given":"Ramiro O.","non-dropping-particle":"","parse-names":false,"suffix":""}],"container-title":"Forest Ecology and Management","id":"ITEM-21","issue":"9","issued":{"date-parts":[["2009"]]},"page":"1573-1578","title":"The effect of herbivory on seedling survival of the invasive exotic species Pinus radiata and Eucalyptus globulus in a Mediterranean ecosystem of Central Chile","type":"article-journal","volume":"256"},"uris":["http://www.mendeley.com/documents/?uuid=a7ebd3e7-64ca-4357-ac38-6680464fdc48"]},{"id":"ITEM-22","itemData":{"DOI":"10.1007/s10530-013-0439-6","ISBN":"1053001304","ISSN":"13873547","abstract":"Invasive plants and animals are a major cause of global biodiversity loss. Invasive Species Management (ISM) helps conserve localized populations and ecosystems, but rarely have its potential benefits been explored at the landscape scale. We explore how ISM can enhance landscape connectivity, and how its incorporation into conservation planning algorithms could help design optimal reserve networks. Conversely, conservation planning and connectivity modelling can optimize targeting of ISM, achieving benefits for a wider range of taxa and ecological processes, without the need for additional resources. Empirical research must investigate the spatial pattern of benefits from ISM, and when to target priority conservation sites or the areas (matrix) between them. By bolstering populations within-and increasing connectivity between-focal patches, ISM should move beyond conserving individual sites to creating functionally connected networks of conservation areas. © 2013 Springer Science+Business Media Dordrecht.","author":[{"dropping-particle":"","family":"Glen","given":"Alistair S.","non-dropping-particle":"","parse-names":false,"suffix":""},{"dropping-particle":"","family":"Pech","given":"Roger P.","non-dropping-particle":"","parse-names":false,"suffix":""},{"dropping-particle":"","family":"Byrom","given":"Andrea E.","non-dropping-particle":"","parse-names":false,"suffix":""}],"container-title":"Biological Invasions","id":"ITEM-22","issue":"10","issued":{"date-parts":[["2013"]]},"page":"2127-2138","title":"Connectivity and invasive species management: Towards an integrated landscape approach","type":"article-journal","volume":"15"},"uris":["http://www.mendeley.com/documents/?uuid=2b2afd07-e779-43e6-8739-10e02856bb3b"]},{"id":"ITEM-23","itemData":{"DOI":"10.1016/j.biocon.2015.01.009","ISSN":"00063207","abstract":"Invasive rats have found their way to most islands throughout the world, where they have had and continue to have severe negative impacts on insular biota. Techniques developed in temperate regions to eradicate invasive rats from islands have proven to be one of the most powerful conservation tools available for island restoration. Tropical islands contain unique biodiversity also threatened by invasive rats, but eradication attempts in tropical environments have a higher failure rate. In particular rat eradications have failed more often on islands with high mean annual temperatures, and medium levels of annual precipitation which remain constant throughout the year. How these tropical ecological conditions interact to influence the likelihood of eradication success remains poorly understood. To synthesise current knowledge on the eradication of rats on tropical islands this special issue presents nine papers following a workshop reviewing tropical island rat eradications convened in Auckland, New Zealand in August 2013. These papers present state-of-the-art reviews of the field, best practice recommendations for operational implementation, novel research on rat ecology which will inform future eradication planning, and evidence of species recovery following rat eradication. In the future, biologists will need to contribute to our understanding of tropical island dynamics, particularly with respect to rat eradication, while eradication practitioners should seek to understand more deeply the role of tropical environments in eradication success, so that the implementation and success rate of tropical island rat eradications can increase, and the potential for tropical island restoration fully realised.","author":[{"dropping-particle":"","family":"Russell","given":"James C.","non-dropping-particle":"","parse-names":false,"suffix":""},{"dropping-particle":"","family":"Holmes","given":"Nick D.","non-dropping-particle":"","parse-names":false,"suffix":""}],"container-title":"Biological Conservation","id":"ITEM-23","issued":{"date-parts":[["2015"]]},"page":"1-7","publisher":"Elsevier Ltd","title":"Tropical island conservation: Rat eradication for species recovery","type":"article-journal","volume":"185"},"uris":["http://www.mendeley.com/documents/?uuid=05e855fc-6a39-4bfa-a160-3c40f70c706c"]},{"id":"ITEM-24","itemData":{"DOI":"10.1111/j.1523-1739.2007.00859.x","ISSN":"08888892","abstract":"Invasive rats are some of the largest contributors to seabird extinction and endangerment worldwide. We conducted a meta-analysis of studies on seabird-rat interactions to examine which seabird phylogenetic, morphological, behavioral, and life history characteristics affect their susceptibility to invasive rats and to identify which rat species have had the largest impact on seabird mortality. We examined 94 manuscripts that demonstrated rat effects on seabirds. All studies combined resulted in 115 independent rat-seabird interactions on 61 islands or island chains with 75 species of seabirds in 10 families affected. Seabirds in the family Hydrobatidae and other small, burrow-nesting seabirds were most affected by invasive rats. Laridae and other large, ground-nesting seabirds were the least vulnerable to rats. Of the 3 species of invasive rats, Rattus rattus had the largest mean impact on seabirds followed by R. norvegicus and R. exulans; nevertheless, these differences were not statistically significant. Our findings should help managers and conservation practitioners prioritize selection of islands for rat eradication based on seabird life history traits, develop testable hypotheses for seabird response to rat eradication, provide justification for rat eradication campaigns, and identify suitable levels of response and prevention measures to rat invasion. Assessment of the effects of rats on seabirds can be improved by data derived from additional experimental studies, with emphasis on understudied seabird families such as Sulidae, Phalacrocoracidae, Spheniscidae, Fregatidae, Pelecanoididae, Phaethontidae, and Diomedeidae and evaluation of rat impacts in tropical regions. © 2008 Society for Conservation Biology.","author":[{"dropping-particle":"","family":"Jones","given":"Holly P.","non-dropping-particle":"","parse-names":false,"suffix":""},{"dropping-particle":"","family":"Tershy","given":"Bernie R.","non-dropping-particle":"","parse-names":false,"suffix":""},{"dropping-particle":"","family":"Zavaleta","given":"Erika S.","non-dropping-particle":"","parse-names":false,"suffix":""},{"dropping-particle":"","family":"Croll","given":"Donald A.","non-dropping-particle":"","parse-names":false,"suffix":""},{"dropping-particle":"","family":"Keitt","given":"Bradford S.","non-dropping-particle":"","parse-names":false,"suffix":""},{"dropping-particle":"","family":"Finkelstein","given":"Myra E.","non-dropping-particle":"","parse-names":false,"suffix":""},{"dropping-particle":"","family":"Howald","given":"Gregg R.","non-dropping-particle":"","parse-names":false,"suffix":""}],"container-title":"Conservation Biology","id":"ITEM-24","issue":"1","issued":{"date-parts":[["2008"]]},"page":"16-26","title":"Severity of the effects of invasive rats on seabirds: A global review","type":"article-journal","volume":"22"},"uris":["http://www.mendeley.com/documents/?uuid=58b40c02-7bc0-4422-8ae5-b0c5f5168655"]},{"id":"ITEM-25","itemData":{"ISSN":"00992240","abstract":"A mixed bacterial culture, consisting of a minimum of nine isolates, was adapted to growth on technical parathion (PAR) as a sole carbon and energy source. The primary oxidative pathway for PAR metabolism involved an initial hydrolysis to yield diethylthiophosphoric acid and p nitrophenol. A secondary oxidative pathway involved the oxidation of PAR to paraoxon and then hydrolysis to yield p nitrophenol and diethylphosphoric acid. Under low oxygen conditions PAR was reduced via a third pathway to p aminoparathion and subsequently hydrolyzed to p aminophenol and diethylthiophosphoric acid. PAR hydrolase, an enzyme produced by an isolate from the mixed culture, rapidly hydrolyzed PAR and paraoxon (6.0 μmol/mg per min). This enzyme was inducible and stable at room temperature and retained 100% of its activity when heated for 55 C for 10 min.","author":[{"dropping-particle":"","family":"Zavaleta","given":"Erika S.","non-dropping-particle":"","parse-names":false,"suffix":""},{"dropping-particle":"","family":"Hobbs","given":"Richard J.","non-dropping-particle":"","parse-names":false,"suffix":""},{"dropping-particle":"","family":"Mooney","given":"Harold A.","non-dropping-particle":"","parse-names":false,"suffix":""}],"container-title":"TRENDS in Ecology and Evolution","id":"ITEM-25","issue":"8","issued":{"date-parts":[["2001"]]},"page":"454-458","title":"Viewing invasive species removal in a whole-ecosystem context","type":"article-journal","volume":"16"},"uris":["http://www.mendeley.com/documents/?uuid=318bda7a-b483-4d30-992e-ff6e27985d08"]},{"id":"ITEM-26","itemData":{"DOI":"10.1002/ecs2.1685","ISSN":"21508925","abstract":"Animals play an important role in the seed dispersal of many plants. It is increasingly recognized, however, that the actions of a single disperser rarely determine a seeds fate and final location; rather, multiple abiotic or animal dispersal vectors are involved. Some carnivores act as secondary dispersers by preying on primary seed dispersers or seed predators, inadvertently consuming seeds contained in their preys digestive tracts and later depositing viable seeds, a process known as diploendozoochory. Carnivores occupy an array of ecological niches and thus range broadly on the landscape. Consequently, secondary seed dispersal by carnivores could have important consequences for plant dispersal outcomes, with implications for ecosystem functioning under a changing climate and across disturbed landscapes where dispersal may be otherwise limited. For example, trophic downgrading through the loss of carnivores may reduce or eliminate diploendozoochory and thus compromise population connectivity for lower trophic levels. We review the literature on diploendozoochory and conclude that the ecological impact of a secondary vs. primary seed disperser depends on the relative dispersal distances, germination success, and the proportion of seeds exposed to secondary dispersal by carnivores. None of the studies up to present day have been able to rigorously assess the ecological significance of this process. We provide a framework of the components that determine the significance of diploendozoochory across systems and identify the components that must be addressed in future studies attempting to assess the ecological importance of diploendozoochory.","author":[{"dropping-particle":"","family":"Hämäläinen","given":"Anni","non-dropping-particle":"","parse-names":false,"suffix":""},{"dropping-particle":"","family":"Broadley","given":"Kate","non-dropping-particle":"","parse-names":false,"suffix":""},{"dropping-particle":"","family":"Droghini","given":"Amanda","non-dropping-particle":"","parse-names":false,"suffix":""},{"dropping-particle":"","family":"Haines","given":"Jessica A.","non-dropping-particle":"","parse-names":false,"suffix":""},{"dropping-particle":"","family":"Lamb","given":"Clayton T.","non-dropping-particle":"","parse-names":false,"suffix":""},{"dropping-particle":"","family":"Boutin","given":"Stan","non-dropping-particle":"","parse-names":false,"suffix":""},{"dropping-particle":"","family":"Gilbert","given":"Sophie","non-dropping-particle":"","parse-names":false,"suffix":""}],"container-title":"Ecosphere","id":"ITEM-26","issue":"2","issued":{"date-parts":[["2017"]]},"title":"The ecological significance of secondary seed dispersal by carnivores","type":"article-journal","volume":"8"},"uris":["http://www.mendeley.com/documents/?uuid=31a461ec-ca23-49c9-97e5-e77664d6fb69"]},{"id":"ITEM-27","itemData":{"DOI":"10.1111/j.1461-0248.2006.00983.x","ISSN":"1461023X","abstract":"Predators often exert multi-trophic cascading effects in terrestrial ecosystems. However, how such predation may indirectly impact interactions between above- and below-ground biota is poorly understood, despite the functional importance of these interactions. Comparison of rat-free and rat-invaded offshore islands in New Zealand revealed that predation of seabirds by introduced rats reduced forest soil fertility by disrupting sea-to-land nutrient transport by seabirds, and that fertility reduction in turn led to wide-ranging cascading effects on belowground organisms and the ecosystem processes they drive. Our data further suggest that some effects on the belowground food web were attributable to changes in aboveground plant nutrients and biomass, which were themselves related to reduced soil disturbance and fertility on invaded islands. These results demonstrate that, by disrupting across-ecosystem nutrient subsidies, predators can indirectly induce strong shifts in both above- and below-ground biota via multiple pathways, and in doing so, act as major ecosystem drivers. © 2006 Blackwell Publishing Ltd/CNRS.","author":[{"dropping-particle":"","family":"Fukami","given":"Tadashi","non-dropping-particle":"","parse-names":false,"suffix":""},{"dropping-particle":"","family":"Wardle","given":"David A.","non-dropping-particle":"","parse-names":false,"suffix":""},{"dropping-particle":"","family":"Bellingham","given":"Peter J.","non-dropping-particle":"","parse-names":false,"suffix":""},{"dropping-particle":"","family":"Mulder","given":"Christa P.H.","non-dropping-particle":"","parse-names":false,"suffix":""},{"dropping-particle":"","family":"Towns","given":"David R.","non-dropping-particle":"","parse-names":false,"suffix":""},{"dropping-particle":"","family":"Yeates","given":"Gregor W.","non-dropping-particle":"","parse-names":false,"suffix":""},{"dropping-particle":"","family":"Bonner","given":"Karen I.","non-dropping-particle":"","parse-names":false,"suffix":""},{"dropping-particle":"","family":"Durrett","given":"Melody S.","non-dropping-particle":"","parse-names":false,"suffix":""},{"dropping-particle":"","family":"Grant-Hoffman","given":"Madeline N.","non-dropping-particle":"","parse-names":false,"suffix":""},{"dropping-particle":"","family":"Williamson","given":"Wendy M.","non-dropping-particle":"","parse-names":false,"suffix":""}],"container-title":"Ecology Letters","id":"ITEM-27","issue":"12","issued":{"date-parts":[["2006"]]},"page":"1299-1307","title":"Above- and below-ground impacts of introduced predators in seabird-dominated island ecosystems","type":"article-journal","volume":"9"},"uris":["http://www.mendeley.com/documents/?uuid=6684b229-bc3e-49ea-9d10-e167280b7005"]}],"mendeley":{"formattedCitation":"(Ford and Grace 1998, Zavaleta et al. 2001, Clout 2002, Donlan et al. 2002, 2003a, Fukami et al. 2006, Parker et al. 2006, Howald et al. 2007, Jones et al. 2008, Becerra and Bustamante 2009, Broome 2009, Drake and Hunt 2009, Harrington et al. 2009, Hulme et al. 2010, Kardol and Wardle 2010, Aguirre-Muñoz 2011, Keitt et al. 2011, Glen et al. 2013b, Beltran et al. 2014, Brown et al. 2015, Norbury et al. 2015, Russell and Holmes 2015, Doherty et al. 2016, Hollings et al. 2016, Jones et al. 2016, Hämäläinen et al. 2017, Thibault et al. 2017)","plainTextFormattedCitation":"(Ford and Grace 1998, Zavaleta et al. 2001, Clout 2002, Donlan et al. 2002, 2003a, Fukami et al. 2006, Parker et al. 2006, Howald et al. 2007, Jones et al. 2008, Becerra and Bustamante 2009, Broome 2009, Drake and Hunt 2009, Harrington et al. 2009, Hulme et al. 2010, Kardol and Wardle 2010, Aguirre-Muñoz 2011, Keitt et al. 2011, Glen et al. 2013b, Beltran et al. 2014, Brown et al. 2015, Norbury et al. 2015, Russell and Holmes 2015, Doherty et al. 2016, Hollings et al. 2016, Jones et al. 2016, Hämäläinen et al. 2017, Thibault et al. 2017)","previouslyFormattedCitation":"(Alonso Aguirre-Muñoz, 2011; Becerra &amp; Bustamante, 2009; Beltran et al., 2014; Broome, 2009; Brown et al., 2015; Clout, 2002; Doherty, Glen, Nimmo, Ritchie, &amp; Dickman, 2016; Donlan, Croll, &amp; Tershy, 2003; Donlan et al., 2002; Drake &amp; Hunt, 2009; Ford &amp; Grace, 1998; Fukami et al., 2006; Glen, Pech, &amp; Byrom, 2013; Hämäläinen et al., 2017; Harrington et al., 2009; Hollings, Jones, Mooney, &amp; McCallum, 2016; Howald et al., 2007; P. E. Hulme, Vilà, Nentwig, &amp; Pyšek, 2010; Jones et al., 2016, 2008; Kardol &amp; Wardle, 2010; B. Keitt et al., 2011; Norbury, Pech, Byrom, &amp; Innes, 2015; Parker, Burkepile, &amp; Hayt, 2006; Russell &amp; Holmes, 2015; Thibault, Brescia, Jourdan, &amp; Vidal, 2017; Zavaleta, Hobbs, &amp; Mooney, 2001)"},"properties":{"noteIndex":0},"schema":"https://github.com/citation-style-language/schema/raw/master/csl-citation.json"}</w:instrText>
      </w:r>
      <w:r w:rsidR="00DD5935"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(Ford and Grace 1998, Zavaleta et al. 2001, Clout 2002, Donlan et al. 2002, 2003a, Fukami et al. 2006, Parker et al. 2006, Howald et al. 2007, Jones et al. 2008, Becerra and Bustamante 2009, Broome 2009, Drake and Hunt 2009, Harrington et al. 2009, Hulme et al. 2010, Kardol and Wardle 2010, Aguirre-Muñoz 2011, Keitt et al. 2011, Glen et al. 2013b, Beltran et al. 2014, Brown et al. 2015, Norbury et al. 2015, Russell and Holmes 2015, Doherty et al. 2016, Hollings et al. 2016, Jones et al. 2016, Hämäläinen et al. 2017, Thibault et al. 2017)</w:t>
      </w:r>
      <w:r w:rsidR="00DD5935" w:rsidRPr="006159FD">
        <w:rPr>
          <w:rFonts w:ascii="Times New Roman" w:eastAsia="Times New Roman" w:hAnsi="Times New Roman" w:cs="Times New Roman"/>
          <w:color w:val="000000" w:themeColor="text1"/>
        </w:rPr>
        <w:fldChar w:fldCharType="end"/>
      </w:r>
    </w:p>
    <w:p w14:paraId="2C5A3FB9" w14:textId="6664A0DC" w:rsidR="00801A57" w:rsidRPr="006159FD" w:rsidRDefault="00801A57" w:rsidP="00AB5070">
      <w:pPr>
        <w:pStyle w:val="ListParagraph"/>
        <w:numPr>
          <w:ilvl w:val="0"/>
          <w:numId w:val="13"/>
        </w:numPr>
        <w:rPr>
          <w:rFonts w:ascii="Times New Roman" w:hAnsi="Times New Roman" w:cs="Times New Roman"/>
          <w:color w:val="000000" w:themeColor="text1"/>
        </w:rPr>
      </w:pPr>
      <w:r w:rsidRPr="006159FD">
        <w:rPr>
          <w:rFonts w:ascii="Times New Roman" w:hAnsi="Times New Roman" w:cs="Times New Roman"/>
          <w:color w:val="000000" w:themeColor="text1"/>
        </w:rPr>
        <w:t>To identify whether invasive vertebrate affected mountain ecosystems (</w:t>
      </w:r>
      <w:r w:rsidR="008158A4" w:rsidRPr="006159FD">
        <w:rPr>
          <w:rFonts w:ascii="Times New Roman" w:hAnsi="Times New Roman" w:cs="Times New Roman"/>
          <w:color w:val="000000" w:themeColor="text1"/>
        </w:rPr>
        <w:t>t</w:t>
      </w:r>
      <w:r w:rsidRPr="006159FD">
        <w:rPr>
          <w:rFonts w:ascii="Times New Roman" w:hAnsi="Times New Roman" w:cs="Times New Roman"/>
          <w:color w:val="000000" w:themeColor="text1"/>
        </w:rPr>
        <w:t>arget 15.4), w</w:t>
      </w:r>
      <w:r w:rsidR="008950FD" w:rsidRPr="006159FD">
        <w:rPr>
          <w:rFonts w:ascii="Times New Roman" w:hAnsi="Times New Roman" w:cs="Times New Roman"/>
          <w:color w:val="000000" w:themeColor="text1"/>
        </w:rPr>
        <w:t>e assumed islands contain mountain ecosystems if altitude, slope and local elevation range fell within</w:t>
      </w:r>
      <w:r w:rsidRPr="006159FD">
        <w:rPr>
          <w:rFonts w:ascii="Times New Roman" w:hAnsi="Times New Roman" w:cs="Times New Roman"/>
          <w:color w:val="000000" w:themeColor="text1"/>
        </w:rPr>
        <w:t xml:space="preserve"> Class 1 through 6 as described by</w:t>
      </w:r>
      <w:r w:rsidR="008950FD" w:rsidRPr="006159FD">
        <w:rPr>
          <w:rFonts w:ascii="Times New Roman" w:hAnsi="Times New Roman" w:cs="Times New Roman"/>
          <w:color w:val="000000" w:themeColor="text1"/>
        </w:rPr>
        <w:t xml:space="preserve"> </w:t>
      </w:r>
      <w:r w:rsidR="00DD5935" w:rsidRPr="006159FD">
        <w:rPr>
          <w:rFonts w:ascii="Times New Roman" w:hAnsi="Times New Roman" w:cs="Times New Roman"/>
          <w:color w:val="000000" w:themeColor="text1"/>
        </w:rPr>
        <w:fldChar w:fldCharType="begin" w:fldLock="1"/>
      </w:r>
      <w:r w:rsidR="00A6678D">
        <w:rPr>
          <w:rFonts w:ascii="Times New Roman" w:hAnsi="Times New Roman" w:cs="Times New Roman"/>
          <w:color w:val="000000" w:themeColor="text1"/>
        </w:rPr>
        <w:instrText>ADDIN CSL_CITATION {"citationItems":[{"id":"ITEM-1","itemData":{"DOI":"10.1079/9780851994468.0000","abstract":"Written by leading international authors, this book presents a comprehensive review of forests in mountain regions, and of their importance for sustainable development. The book has been prepared under the auspices of the IUFRO Task Force on Forests in Sustainable Mountain Development, for the IUFRO Congress held in August 2000. It addresses current issues and initiatives, in particular what is known about an issue or area, its importance, and priorities for future research and action. Key global topics are addressed in general articles, and many specific regional and local issues are described in shorter case studies. The book is relevant to those studying and researching in forestry, geography, development, and environmental and mountain studies. After a foreword (Linking mountain forests conservation with sustainable human development, Mishra, H. R.) the book is arranged in 10 main sections, each with separate papers, some with case studies following them: (1) Mountain forests: location, characteristics and trends, 7 papers, 1 large foldout map of the mountains, and the mountain forests of the world; (2) Mountain communities and their forests, 5 papers; (3) Interdependencies between mountain and lowland populations, 3 papers; (4) Perceiving and assuring the multiple functions of mountain forests, 5 papers; (5) Multiple functions from mountain forests I. Mountain forests: sources of wood, 4 papers; (6) Multiple functions from mountain forests II. Agroforestry and non-timber forest products, 4 papers; (7) Multiple functions from mountain forests III. Diverse societal benefits, 9 papers; (8) Legislation, policies and economic instruments, 4 papers; (9) Institutions for mountain forests, 5 papers; and (10) Research, implementation and communication, 4 papers. The references are all at the end of the book, and a subject index is included. All the papers are noticed separately (with the associated case studies listed) on the CAB ABSTRACTS database.","author":[{"dropping-particle":"","family":"Kapos","given":"Valerie","non-dropping-particle":"","parse-names":false,"suffix":""},{"dropping-particle":"","family":"Rhind","given":"Jonathan","non-dropping-particle":"","parse-names":false,"suffix":""},{"dropping-particle":"","family":"Edwards","given":"Mary","non-dropping-particle":"","parse-names":false,"suffix":""},{"dropping-particle":"","family":"Price","given":"Martin F.","non-dropping-particle":"","parse-names":false,"suffix":""},{"dropping-particle":"","family":"Ravilious","given":"Corinna","non-dropping-particle":"","parse-names":false,"suffix":""}],"container-title":"CAB International, Wallingford: 4-9","id":"ITEM-1","issued":{"date-parts":[["2000"]]},"page":"1-6","title":"Developing a map of the world's mountain forests; Forests in sustainable mountain development: a state of knowledge report for 2000.","type":"paper-conference"},"uris":["http://www.mendeley.com/documents/?uuid=9c3be50c-4a74-4f9b-9153-30cf9a7a10f8"]}],"mendeley":{"formattedCitation":"(Kapos et al. 2000)","manualFormatting":"Kapos et al. (2000).","plainTextFormattedCitation":"(Kapos et al. 2000)","previouslyFormattedCitation":"(Kapos, Rhind, Edwards, Price, &amp; Ravilious, 2000)"},"properties":{"noteIndex":0},"schema":"https://github.com/citation-style-language/schema/raw/master/csl-citation.json"}</w:instrText>
      </w:r>
      <w:r w:rsidR="00DD5935" w:rsidRPr="006159FD">
        <w:rPr>
          <w:rFonts w:ascii="Times New Roman" w:hAnsi="Times New Roman" w:cs="Times New Roman"/>
          <w:color w:val="000000" w:themeColor="text1"/>
        </w:rPr>
        <w:fldChar w:fldCharType="separate"/>
      </w:r>
      <w:r w:rsidR="00DD5935" w:rsidRPr="006159FD">
        <w:rPr>
          <w:rFonts w:ascii="Times New Roman" w:hAnsi="Times New Roman" w:cs="Times New Roman"/>
          <w:noProof/>
          <w:color w:val="000000" w:themeColor="text1"/>
        </w:rPr>
        <w:t xml:space="preserve">Kapos et al. </w:t>
      </w:r>
      <w:r w:rsidR="002C459A" w:rsidRPr="006159FD">
        <w:rPr>
          <w:rFonts w:ascii="Times New Roman" w:hAnsi="Times New Roman" w:cs="Times New Roman"/>
          <w:noProof/>
          <w:color w:val="000000" w:themeColor="text1"/>
        </w:rPr>
        <w:t>(</w:t>
      </w:r>
      <w:r w:rsidR="00DD5935" w:rsidRPr="006159FD">
        <w:rPr>
          <w:rFonts w:ascii="Times New Roman" w:hAnsi="Times New Roman" w:cs="Times New Roman"/>
          <w:noProof/>
          <w:color w:val="000000" w:themeColor="text1"/>
        </w:rPr>
        <w:t>2000</w:t>
      </w:r>
      <w:r w:rsidR="002C459A" w:rsidRPr="006159FD">
        <w:rPr>
          <w:rFonts w:ascii="Times New Roman" w:hAnsi="Times New Roman" w:cs="Times New Roman"/>
          <w:noProof/>
          <w:color w:val="000000" w:themeColor="text1"/>
        </w:rPr>
        <w:t>).</w:t>
      </w:r>
      <w:r w:rsidR="00DD5935" w:rsidRPr="006159FD">
        <w:rPr>
          <w:rFonts w:ascii="Times New Roman" w:hAnsi="Times New Roman" w:cs="Times New Roman"/>
          <w:color w:val="000000" w:themeColor="text1"/>
        </w:rPr>
        <w:fldChar w:fldCharType="end"/>
      </w:r>
    </w:p>
    <w:p w14:paraId="74407860" w14:textId="2F8925C6" w:rsidR="00AB5070" w:rsidRPr="006159FD" w:rsidRDefault="00FC238A" w:rsidP="00801A57">
      <w:pPr>
        <w:pStyle w:val="ListParagraph"/>
        <w:numPr>
          <w:ilvl w:val="1"/>
          <w:numId w:val="13"/>
        </w:numPr>
        <w:rPr>
          <w:rFonts w:ascii="Times New Roman" w:hAnsi="Times New Roman" w:cs="Times New Roman"/>
          <w:color w:val="000000" w:themeColor="text1"/>
        </w:rPr>
      </w:pPr>
      <w:r w:rsidRPr="006159FD">
        <w:rPr>
          <w:rFonts w:ascii="Times New Roman" w:hAnsi="Times New Roman" w:cs="Times New Roman"/>
          <w:color w:val="000000" w:themeColor="text1"/>
        </w:rPr>
        <w:t>We obtained e</w:t>
      </w:r>
      <w:r w:rsidR="00AB5070" w:rsidRPr="006159FD">
        <w:rPr>
          <w:rFonts w:ascii="Times New Roman" w:hAnsi="Times New Roman" w:cs="Times New Roman"/>
          <w:color w:val="000000" w:themeColor="text1"/>
        </w:rPr>
        <w:t xml:space="preserve">levation </w:t>
      </w:r>
      <w:r w:rsidRPr="006159FD">
        <w:rPr>
          <w:rFonts w:ascii="Times New Roman" w:hAnsi="Times New Roman" w:cs="Times New Roman"/>
          <w:color w:val="000000" w:themeColor="text1"/>
        </w:rPr>
        <w:t>d</w:t>
      </w:r>
      <w:r w:rsidR="00AB5070" w:rsidRPr="006159FD">
        <w:rPr>
          <w:rFonts w:ascii="Times New Roman" w:hAnsi="Times New Roman" w:cs="Times New Roman"/>
          <w:color w:val="000000" w:themeColor="text1"/>
        </w:rPr>
        <w:t xml:space="preserve">ata for </w:t>
      </w:r>
      <w:r w:rsidRPr="006159FD">
        <w:rPr>
          <w:rFonts w:ascii="Times New Roman" w:hAnsi="Times New Roman" w:cs="Times New Roman"/>
          <w:color w:val="000000" w:themeColor="text1"/>
        </w:rPr>
        <w:t>t</w:t>
      </w:r>
      <w:r w:rsidR="00AB5070" w:rsidRPr="006159FD">
        <w:rPr>
          <w:rFonts w:ascii="Times New Roman" w:hAnsi="Times New Roman" w:cs="Times New Roman"/>
          <w:color w:val="000000" w:themeColor="text1"/>
        </w:rPr>
        <w:t>arget 15.4</w:t>
      </w:r>
      <w:r w:rsidRPr="006159FD">
        <w:rPr>
          <w:rFonts w:ascii="Times New Roman" w:hAnsi="Times New Roman" w:cs="Times New Roman"/>
          <w:color w:val="000000" w:themeColor="text1"/>
        </w:rPr>
        <w:t xml:space="preserve"> from</w:t>
      </w:r>
      <w:r w:rsidR="00AB5070" w:rsidRPr="006159FD">
        <w:rPr>
          <w:rFonts w:ascii="Times New Roman" w:hAnsi="Times New Roman" w:cs="Times New Roman"/>
          <w:color w:val="000000" w:themeColor="text1"/>
        </w:rPr>
        <w:t xml:space="preserve"> </w:t>
      </w:r>
      <w:hyperlink r:id="rId23" w:history="1">
        <w:r w:rsidR="00AB5070" w:rsidRPr="006159FD">
          <w:rPr>
            <w:rStyle w:val="Hyperlink"/>
            <w:rFonts w:ascii="Times New Roman" w:hAnsi="Times New Roman" w:cs="Times New Roman"/>
            <w:color w:val="000000" w:themeColor="text1"/>
          </w:rPr>
          <w:t>https://unstats.un.org/sdgs/metadata/files/Metadata-15-04-02.pdf</w:t>
        </w:r>
      </w:hyperlink>
    </w:p>
    <w:p w14:paraId="6856ED10" w14:textId="2F0429EA" w:rsidR="00AB5070" w:rsidRPr="006159FD" w:rsidRDefault="00FC238A" w:rsidP="00AB5070">
      <w:pPr>
        <w:pStyle w:val="ListParagraph"/>
        <w:numPr>
          <w:ilvl w:val="1"/>
          <w:numId w:val="13"/>
        </w:numPr>
        <w:rPr>
          <w:rFonts w:ascii="Times New Roman" w:hAnsi="Times New Roman" w:cs="Times New Roman"/>
          <w:color w:val="000000" w:themeColor="text1"/>
        </w:rPr>
      </w:pPr>
      <w:r w:rsidRPr="006159FD">
        <w:rPr>
          <w:rFonts w:ascii="Times New Roman" w:hAnsi="Times New Roman" w:cs="Times New Roman"/>
          <w:color w:val="000000" w:themeColor="text1"/>
        </w:rPr>
        <w:lastRenderedPageBreak/>
        <w:t>We u</w:t>
      </w:r>
      <w:r w:rsidR="00AB5070" w:rsidRPr="006159FD">
        <w:rPr>
          <w:rFonts w:ascii="Times New Roman" w:hAnsi="Times New Roman" w:cs="Times New Roman"/>
          <w:color w:val="000000" w:themeColor="text1"/>
        </w:rPr>
        <w:t xml:space="preserve">sed GIS Raster Layer “Mountain Area” , data: </w:t>
      </w:r>
      <w:hyperlink r:id="rId24" w:history="1">
        <w:r w:rsidR="00AB5070" w:rsidRPr="006159FD">
          <w:rPr>
            <w:rStyle w:val="Hyperlink"/>
            <w:rFonts w:ascii="Times New Roman" w:hAnsi="Times New Roman" w:cs="Times New Roman"/>
            <w:color w:val="000000" w:themeColor="text1"/>
          </w:rPr>
          <w:t>http://www.fao.org/mountain-partnership/our-work/focusareas/foodsecurity/en/</w:t>
        </w:r>
      </w:hyperlink>
      <w:r w:rsidR="00AB5070" w:rsidRPr="006159FD">
        <w:rPr>
          <w:rFonts w:ascii="Times New Roman" w:hAnsi="Times New Roman" w:cs="Times New Roman"/>
          <w:color w:val="000000" w:themeColor="text1"/>
        </w:rPr>
        <w:t xml:space="preserve"> </w:t>
      </w:r>
      <w:r w:rsidR="00AB5070" w:rsidRPr="006159FD">
        <w:rPr>
          <w:rFonts w:ascii="Times New Roman" w:hAnsi="Times New Roman" w:cs="Times New Roman"/>
          <w:color w:val="000000" w:themeColor="text1"/>
        </w:rPr>
        <w:fldChar w:fldCharType="begin" w:fldLock="1"/>
      </w:r>
      <w:r w:rsidR="00A6678D">
        <w:rPr>
          <w:rFonts w:ascii="Times New Roman" w:hAnsi="Times New Roman" w:cs="Times New Roman"/>
          <w:color w:val="000000" w:themeColor="text1"/>
        </w:rPr>
        <w:instrText>ADDIN CSL_CITATION {"citationItems":[{"id":"ITEM-1","itemData":{"URL":"http://www.fao.org/mountain-partnership/en/","accessed":{"date-parts":[["2019","6","1"]]},"author":[{"dropping-particle":"","family":"Mountain Partnership","given":"","non-dropping-particle":"","parse-names":false,"suffix":""}],"container-title":"FAO","id":"ITEM-1","issued":{"date-parts":[["2019"]]},"title":"Mountain Partnership. Working together for mountain peoples and environments","type":"webpage"},"uris":["http://www.mendeley.com/documents/?uuid=f732067f-846b-4209-8851-32f22e18a196"]}],"mendeley":{"formattedCitation":"(Mountain Partnership 2019)","plainTextFormattedCitation":"(Mountain Partnership 2019)","previouslyFormattedCitation":"(Mountain Partnership, 2019)"},"properties":{"noteIndex":0},"schema":"https://github.com/citation-style-language/schema/raw/master/csl-citation.json"}</w:instrText>
      </w:r>
      <w:r w:rsidR="00AB5070" w:rsidRPr="006159FD">
        <w:rPr>
          <w:rFonts w:ascii="Times New Roman" w:hAnsi="Times New Roman" w:cs="Times New Roman"/>
          <w:color w:val="000000" w:themeColor="text1"/>
        </w:rPr>
        <w:fldChar w:fldCharType="separate"/>
      </w:r>
      <w:r w:rsidR="00A6678D" w:rsidRPr="00A6678D">
        <w:rPr>
          <w:rFonts w:ascii="Times New Roman" w:hAnsi="Times New Roman" w:cs="Times New Roman"/>
          <w:noProof/>
          <w:color w:val="000000" w:themeColor="text1"/>
        </w:rPr>
        <w:t>(Mountain Partnership 2019)</w:t>
      </w:r>
      <w:r w:rsidR="00AB5070" w:rsidRPr="006159FD">
        <w:rPr>
          <w:rFonts w:ascii="Times New Roman" w:hAnsi="Times New Roman" w:cs="Times New Roman"/>
          <w:color w:val="000000" w:themeColor="text1"/>
        </w:rPr>
        <w:fldChar w:fldCharType="end"/>
      </w:r>
    </w:p>
    <w:p w14:paraId="10A879EA" w14:textId="0E2E8D6F" w:rsidR="00AB5070" w:rsidRPr="006159FD" w:rsidRDefault="00AB5070" w:rsidP="00AB5070">
      <w:pPr>
        <w:pStyle w:val="Heading1"/>
        <w:rPr>
          <w:rFonts w:ascii="Times New Roman" w:hAnsi="Times New Roman" w:cs="Times New Roman"/>
          <w:color w:val="000000" w:themeColor="text1"/>
          <w:sz w:val="24"/>
          <w:szCs w:val="24"/>
        </w:rPr>
      </w:pPr>
    </w:p>
    <w:p w14:paraId="792B912D" w14:textId="751B602C" w:rsidR="0012183E" w:rsidRPr="006159FD" w:rsidRDefault="003E6800" w:rsidP="0012183E">
      <w:pPr>
        <w:rPr>
          <w:rFonts w:ascii="Times New Roman" w:hAnsi="Times New Roman" w:cs="Times New Roman"/>
          <w:color w:val="000000" w:themeColor="text1"/>
        </w:rPr>
      </w:pPr>
      <w:r w:rsidRPr="006159FD">
        <w:rPr>
          <w:rFonts w:ascii="Times New Roman" w:hAnsi="Times New Roman" w:cs="Times New Roman"/>
          <w:noProof/>
          <w:color w:val="000000" w:themeColor="text1"/>
        </w:rPr>
        <w:drawing>
          <wp:inline distT="0" distB="0" distL="0" distR="0" wp14:anchorId="3645781D" wp14:editId="31AF340F">
            <wp:extent cx="5943600" cy="4157980"/>
            <wp:effectExtent l="0" t="0" r="0" b="0"/>
            <wp:docPr id="39" name="Picture 39" descr="A screenshot of a sig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Screenshot 2019-11-28 12.06.55.png"/>
                    <pic:cNvPicPr/>
                  </pic:nvPicPr>
                  <pic:blipFill>
                    <a:blip r:embed="rId25">
                      <a:extLst>
                        <a:ext uri="{28A0092B-C50C-407E-A947-70E740481C1C}">
                          <a14:useLocalDpi xmlns:a14="http://schemas.microsoft.com/office/drawing/2010/main" val="0"/>
                        </a:ext>
                      </a:extLst>
                    </a:blip>
                    <a:stretch>
                      <a:fillRect/>
                    </a:stretch>
                  </pic:blipFill>
                  <pic:spPr>
                    <a:xfrm>
                      <a:off x="0" y="0"/>
                      <a:ext cx="5943600" cy="4157980"/>
                    </a:xfrm>
                    <a:prstGeom prst="rect">
                      <a:avLst/>
                    </a:prstGeom>
                  </pic:spPr>
                </pic:pic>
              </a:graphicData>
            </a:graphic>
          </wp:inline>
        </w:drawing>
      </w:r>
    </w:p>
    <w:p w14:paraId="02FAC983" w14:textId="438A19AC" w:rsidR="00D60055" w:rsidRPr="006159FD" w:rsidRDefault="00E67F11" w:rsidP="00D60055">
      <w:pPr>
        <w:rPr>
          <w:rFonts w:ascii="Times New Roman" w:hAnsi="Times New Roman" w:cs="Times New Roman"/>
          <w:color w:val="000000" w:themeColor="text1"/>
        </w:rPr>
      </w:pPr>
      <w:bookmarkStart w:id="12" w:name="_Toc25838868"/>
      <w:r w:rsidRPr="006159FD">
        <w:rPr>
          <w:rStyle w:val="Heading1Char"/>
          <w:rFonts w:ascii="Times New Roman" w:hAnsi="Times New Roman" w:cs="Times New Roman"/>
          <w:color w:val="000000" w:themeColor="text1"/>
          <w:sz w:val="24"/>
          <w:szCs w:val="24"/>
        </w:rPr>
        <w:t>Goal 17.</w:t>
      </w:r>
      <w:bookmarkEnd w:id="12"/>
      <w:r w:rsidRPr="006159FD">
        <w:rPr>
          <w:rFonts w:ascii="Times New Roman" w:hAnsi="Times New Roman" w:cs="Times New Roman"/>
          <w:color w:val="000000" w:themeColor="text1"/>
        </w:rPr>
        <w:t xml:space="preserve"> </w:t>
      </w:r>
      <w:r w:rsidR="00D60055" w:rsidRPr="006159FD">
        <w:rPr>
          <w:rFonts w:ascii="Times New Roman" w:hAnsi="Times New Roman" w:cs="Times New Roman"/>
          <w:color w:val="000000" w:themeColor="text1"/>
        </w:rPr>
        <w:t>Assumptions and inclusion criteria</w:t>
      </w:r>
    </w:p>
    <w:p w14:paraId="5B67D61B" w14:textId="47889DAA" w:rsidR="0012183E" w:rsidRPr="006159FD" w:rsidRDefault="00FC238A" w:rsidP="0012183E">
      <w:pPr>
        <w:pStyle w:val="ListParagraph"/>
        <w:numPr>
          <w:ilvl w:val="0"/>
          <w:numId w:val="14"/>
        </w:numPr>
        <w:rPr>
          <w:rFonts w:ascii="Times New Roman" w:hAnsi="Times New Roman" w:cs="Times New Roman"/>
          <w:color w:val="000000" w:themeColor="text1"/>
        </w:rPr>
      </w:pPr>
      <w:r w:rsidRPr="006159FD">
        <w:rPr>
          <w:rFonts w:ascii="Times New Roman" w:hAnsi="Times New Roman" w:cs="Times New Roman"/>
          <w:color w:val="000000" w:themeColor="text1"/>
        </w:rPr>
        <w:t xml:space="preserve">We used the </w:t>
      </w:r>
      <w:r w:rsidR="0012183E" w:rsidRPr="006159FD">
        <w:rPr>
          <w:rFonts w:ascii="Times New Roman" w:hAnsi="Times New Roman" w:cs="Times New Roman"/>
          <w:color w:val="000000" w:themeColor="text1"/>
        </w:rPr>
        <w:t xml:space="preserve">United Nations classification of </w:t>
      </w:r>
      <w:r w:rsidR="002C459A" w:rsidRPr="006159FD">
        <w:rPr>
          <w:rFonts w:ascii="Times New Roman" w:hAnsi="Times New Roman" w:cs="Times New Roman"/>
          <w:color w:val="000000" w:themeColor="text1"/>
        </w:rPr>
        <w:t xml:space="preserve">Small Island Developing State and the </w:t>
      </w:r>
      <w:r w:rsidR="00241652" w:rsidRPr="006159FD">
        <w:rPr>
          <w:rFonts w:ascii="Times New Roman" w:hAnsi="Times New Roman" w:cs="Times New Roman"/>
          <w:color w:val="000000" w:themeColor="text1"/>
        </w:rPr>
        <w:t xml:space="preserve">World Economic Situation and Prospects report to </w:t>
      </w:r>
      <w:r w:rsidR="002C459A" w:rsidRPr="006159FD">
        <w:rPr>
          <w:rFonts w:ascii="Times New Roman" w:hAnsi="Times New Roman" w:cs="Times New Roman"/>
          <w:color w:val="000000" w:themeColor="text1"/>
        </w:rPr>
        <w:t>classif</w:t>
      </w:r>
      <w:r w:rsidR="00241652" w:rsidRPr="006159FD">
        <w:rPr>
          <w:rFonts w:ascii="Times New Roman" w:hAnsi="Times New Roman" w:cs="Times New Roman"/>
          <w:color w:val="000000" w:themeColor="text1"/>
        </w:rPr>
        <w:t>y</w:t>
      </w:r>
      <w:r w:rsidR="002C459A" w:rsidRPr="006159FD">
        <w:rPr>
          <w:rFonts w:ascii="Times New Roman" w:hAnsi="Times New Roman" w:cs="Times New Roman"/>
          <w:color w:val="000000" w:themeColor="text1"/>
        </w:rPr>
        <w:t xml:space="preserve"> </w:t>
      </w:r>
      <w:r w:rsidR="0012183E" w:rsidRPr="006159FD">
        <w:rPr>
          <w:rFonts w:ascii="Times New Roman" w:hAnsi="Times New Roman" w:cs="Times New Roman"/>
          <w:color w:val="000000" w:themeColor="text1"/>
        </w:rPr>
        <w:t xml:space="preserve">Developing Countries </w:t>
      </w:r>
      <w:r w:rsidR="0012183E" w:rsidRPr="006159FD">
        <w:rPr>
          <w:rFonts w:ascii="Times New Roman" w:hAnsi="Times New Roman" w:cs="Times New Roman"/>
          <w:color w:val="000000" w:themeColor="text1"/>
        </w:rPr>
        <w:fldChar w:fldCharType="begin" w:fldLock="1"/>
      </w:r>
      <w:r w:rsidR="00A6678D">
        <w:rPr>
          <w:rFonts w:ascii="Times New Roman" w:hAnsi="Times New Roman" w:cs="Times New Roman"/>
          <w:color w:val="000000" w:themeColor="text1"/>
        </w:rPr>
        <w:instrText>ADDIN CSL_CITATION {"citationItems":[{"id":"ITEM-1","itemData":{"URL":"https://www.un.org/en/development/desa/policy/wesp/wesp_current/2014wesp_country_classification.pdf","accessed":{"date-parts":[["2019","1","6"]]},"author":[{"dropping-particle":"","family":"United Nations","given":"","non-dropping-particle":"","parse-names":false,"suffix":""}],"id":"ITEM-1","issued":{"date-parts":[["2013"]]},"title":"World Economic Situation and Prospects 2014: Global economic outlook","type":"webpage"},"uris":["http://www.mendeley.com/documents/?uuid=f61b6c58-8382-4089-81b2-20842cbe709e"]},{"id":"ITEM-2","itemData":{"DOI":"10.1017/CBO9781107415324.004","ISBN":"9788578110796","ISSN":"1098-6596","PMID":"25246403","abstract":"Predicting the binding mode of flexible polypeptides to proteins is an important task that falls outside the domain of applicability of most small molecule and protein−protein docking tools. Here, we test the small molecule flexible ligand docking program Glide on a set of 19 non-α-helical peptides and systematically improve pose prediction accuracy by enhancing Glide sampling for flexible polypeptides. In addition, scoring of the poses was improved by post-processing with physics-based implicit solvent MM- GBSA calculations. Using the best RMSD among the top 10 scoring poses as a metric, the success rate (RMSD ≤ 2.0 Å for the interface backbone atoms) increased from 21% with default Glide SP settings to 58% with the enhanced peptide sampling and scoring protocol in the case of redocking to the native protein structure. This approaches the accuracy of the recently developed Rosetta FlexPepDock method (63% success for these 19 peptides) while being over 100 times faster. Cross-docking was performed for a subset of cases where an unbound receptor structure was available, and in that case, 40% of peptides were docked successfully. We analyze the results and find that the optimized polypeptide protocol is most accurate for extended peptides of limited size and number of formal charges, defining a domain of applicability for this approach.","author":[{"dropping-particle":"","family":"United Nations","given":"","non-dropping-particle":"","parse-names":false,"suffix":""}],"container-title":"Journal of Chemical Information and Modeling","id":"ITEM-2","issue":"9","issued":{"date-parts":[["2019"]]},"number-of-pages":"1689-1699","title":"World Economic Situation and Prospects","type":"book","volume":"53"},"uris":["http://www.mendeley.com/documents/?uuid=6c22f9fb-dd1f-4db3-bd93-d7461b29ef36"]}],"mendeley":{"formattedCitation":"(United Nations 2013, 2019)","plainTextFormattedCitation":"(United Nations 2013, 2019)","previouslyFormattedCitation":"(United Nations, 2013, 2019)"},"properties":{"noteIndex":0},"schema":"https://github.com/citation-style-language/schema/raw/master/csl-citation.json"}</w:instrText>
      </w:r>
      <w:r w:rsidR="0012183E" w:rsidRPr="006159FD">
        <w:rPr>
          <w:rFonts w:ascii="Times New Roman" w:hAnsi="Times New Roman" w:cs="Times New Roman"/>
          <w:color w:val="000000" w:themeColor="text1"/>
        </w:rPr>
        <w:fldChar w:fldCharType="separate"/>
      </w:r>
      <w:r w:rsidR="00A6678D" w:rsidRPr="00A6678D">
        <w:rPr>
          <w:rFonts w:ascii="Times New Roman" w:hAnsi="Times New Roman" w:cs="Times New Roman"/>
          <w:noProof/>
          <w:color w:val="000000" w:themeColor="text1"/>
        </w:rPr>
        <w:t>(United Nations 2013, 2019)</w:t>
      </w:r>
      <w:r w:rsidR="0012183E" w:rsidRPr="006159FD">
        <w:rPr>
          <w:rFonts w:ascii="Times New Roman" w:hAnsi="Times New Roman" w:cs="Times New Roman"/>
          <w:color w:val="000000" w:themeColor="text1"/>
        </w:rPr>
        <w:fldChar w:fldCharType="end"/>
      </w:r>
      <w:r w:rsidR="0012183E" w:rsidRPr="006159FD">
        <w:rPr>
          <w:rFonts w:ascii="Times New Roman" w:hAnsi="Times New Roman" w:cs="Times New Roman"/>
          <w:color w:val="000000" w:themeColor="text1"/>
        </w:rPr>
        <w:t xml:space="preserve">  </w:t>
      </w:r>
    </w:p>
    <w:p w14:paraId="6A9FA454" w14:textId="4514744E" w:rsidR="00FC238A" w:rsidRPr="006159FD" w:rsidRDefault="00FC238A" w:rsidP="00FC238A">
      <w:pPr>
        <w:numPr>
          <w:ilvl w:val="1"/>
          <w:numId w:val="14"/>
        </w:numPr>
        <w:rPr>
          <w:rFonts w:ascii="Times New Roman" w:hAnsi="Times New Roman" w:cs="Times New Roman"/>
          <w:color w:val="000000" w:themeColor="text1"/>
        </w:rPr>
      </w:pPr>
      <w:r w:rsidRPr="006159FD">
        <w:rPr>
          <w:rFonts w:ascii="Times New Roman" w:hAnsi="Times New Roman" w:cs="Times New Roman"/>
          <w:color w:val="000000" w:themeColor="text1"/>
        </w:rPr>
        <w:t>We assumed all past (and future) eradications have involved (or will involve) at least local government officials</w:t>
      </w:r>
      <w:r w:rsidR="001942B2" w:rsidRPr="006159FD">
        <w:rPr>
          <w:rFonts w:ascii="Times New Roman" w:hAnsi="Times New Roman" w:cs="Times New Roman"/>
          <w:color w:val="000000" w:themeColor="text1"/>
        </w:rPr>
        <w:t xml:space="preserve"> and that eradication will facilitate cross-border transfer of skills, techniques and knowledge </w:t>
      </w:r>
      <w:r w:rsidR="001942B2"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{"citationItems":[{"id":"ITEM-1","itemData":{"DOI":"10.1007/s10530-013-0495-y","ISBN":"1053001304","ISSN":"1387-3547","abstract":"Invasive species are the greatest threat to island ecosystems, which harbour nearly half the world’s endangered biodiversity. However, eradication is more feasible on islands than on continents. We present a global analysis of 1,224 successful eradications of invasive plants and animals on 808 islands. Most involve single vertebrate species on uninhabited islands, but plant and invertebrate eradications occur more often on inhabited islands. Inhabited islands are often highly modified and support numerous introduced species. Consequently, targeting a single invasive species can be ineffective or counterproductive. The impacts of other pests will continue and, in some cases, be exacerbated. The presence of people also creates regulatory, logistical and socio-political constraints. Real or perceived health risks to inhabitants, pets and livestock may restrict the use of some eradication tools, and communities or individuals sometimes oppose eradication. Despite such challenges, managing invasive species is vital to conserve and restore the unique biodiversity of many inhabited islands, and to maintain or improve the welfare and livelihoods of island residents. We present a brief case study of the Juan Ferna´ndez Archipelago, Chile, and discuss the feasibility of eradicating large suites of invasive plants and animals from inhabited islands while managing other invaders for which eradication is not feasible or desirable. Eradications must be planned to account for species interactions. Monitoring and contingency plans must detect and address any ‘surprise effects’. Above all, it is important that the local community derives social, cultural and/or economic benefits, and that people support and are engaged in the restoration effort.","author":[{"dropping-particle":"","family":"Glen","given":"Alistair S.","non-dropping-particle":"","parse-names":false,"suffix":""},{"dropping-particle":"","family":"Atkinson","given":"Rachel","non-dropping-particle":"","parse-names":false,"suffix":""},{"dropping-particle":"","family":"Campbell","given":"Karl J.","non-dropping-particle":"","parse-names":false,"suffix":""},{"dropping-particle":"","family":"Hagen","given":"Erin","non-dropping-particle":"","parse-names":false,"suffix":""},{"dropping-particle":"","family":"Holmes","given":"Nick D.","non-dropping-particle":"","parse-names":false,"suffix":""},{"dropping-particle":"","family":"Keitt","given":"Bradford S.","non-dropping-particle":"","parse-names":false,"suffix":""},{"dropping-particle":"","family":"Parkes","given":"John P.","non-dropping-particle":"","parse-names":false,"suffix":""},{"dropping-particle":"","family":"Saunders","given":"Alan","non-dropping-particle":"","parse-names":false,"suffix":""},{"dropping-particle":"","family":"Sawyer","given":"John","non-dropping-particle":"","parse-names":false,"suffix":""},{"dropping-particle":"","family":"Torres","given":"Hernán","non-dropping-particle":"","parse-names":false,"suffix":""}],"container-title":"Biological Invasions","id":"ITEM-1","issue":"12","issued":{"date-parts":[["2013","5","17"]]},"page":"2589-2603","title":"Eradicating multiple invasive species on inhabited islands: the next big step in island restoration?","type":"article-journal","volume":"15"},"uris":["http://www.mendeley.com/documents/?uuid=e33d8bb2-fb87-4be3-8925-d8b8fa8f2b12"]},{"id":"ITEM-2","itemData":{"abstract":"Problems associated with managing vertebrate invasive species, defined as any exotic or native species that has spread beyond its natural range, are remarkably common around the world. Although the species may differ, the niches they fill and the damage they generally cause is often consistent. As such, a possibility exists for greater collaboration and harmonisation in developing new tools to manage the impacts of invasive species. Moreover, the considerable expense of developing new products, the often onerous registration process, and the lack of return on investment leading to market failure has meant that progress within the field of invasive animal management product development can sometimes be stifled. This paper details a potential way forward using specific examples of ways the Invasive Animals Cooperative Research Centre (IACRC), Pestat P/L, and other IACRC commercial partners aim to provide overseas organisations with humane non-lethal and lethal wildlife management tools. Conversely, we detail overseas-developed products currently being tested in Australia, and a proposal to keep abreast of new developments in other countries to ensure invasive species management within Australasia remains of the highest level. This can only be achieved through truly collaborative research and the global harmonisation of registration packages, so product development costs can be minimised and the necessary scales of production can be attained.","author":[{"dropping-particle":"","family":"Lapidge","given":"Steven","non-dropping-particle":"","parse-names":false,"suffix":""},{"dropping-particle":"","family":"Humphrys","given":"Simon","non-dropping-particle":"","parse-names":false,"suffix":""},{"dropping-particle":"","family":"Dall","given":"David","non-dropping-particle":"","parse-names":false,"suffix":""}],"container-title":"Managing vertebrate invasive species","editor":[{"dropping-particle":"","family":"Witmer","given":"G. W.","non-dropping-particle":"","parse-names":false,"suffix":""},{"dropping-particle":"","family":"Pitt","given":"W. C.","non-dropping-particle":"","parse-names":false,"suffix":""},{"dropping-particle":"","family":"Fagerstone","given":"K. A.","non-dropping-particle":"","parse-names":false,"suffix":""}],"id":"ITEM-2","issue":"22","issued":{"date-parts":[["2004"]]},"publisher-place":"Fort Collins, CO, USA","title":"Global harmonisation in the field of invasive species management product development","type":"chapter"},"uris":["http://www.mendeley.com/documents/?uuid=6562673b-6abd-4375-909b-dea4408e4d44"]},{"id":"ITEM-3","itemData":{"abstract":"In Mexico, attempts had been made to eradicate rodents from nine islands by 2009, and eight of these were successful. Methods evolved from bait stations on small islands to aerial bait applications on islands that were larger and more complex. Six islands (5 to 82 ha) were treated with bait stations from 1995 to 2002. All of these attempts were successful except for Isabel Island (the largest). Three islands (17, 82 and 267 ha), including Isabel for the second time, were treated with the high-tech aerial broadcast technique between 2007 and 2009, which was the first time this technique was used in Latin America. Post-eradication monitoring has confirmed rodent absence and ecosystem recovery, which includes re-colonisation of seabirds and population increases in reptiles and seabirds. The experience and trust gained have made planning and funding possible for additional projects on bigger islands. Planning, permitting, funding, research, and execution have progressed following a focused, long term collaborative approach with multiple partners. About 30 Mexican islands still have one or two species of invasive rodents. New challenges include bigger islands (e.g., Guadalupe; 24,171 ha), tropical islands (e.g., Banco Chinchorro Atoll; 580 ha), and islands with endemic mammals including rodents (e.g., Maria Madre, 14,388 ha).","author":[{"dropping-particle":"","family":"Samaniego-Herrera","given":"A","non-dropping-particle":"","parse-names":false,"suffix":""},{"dropping-particle":"","family":"Aguirre-Munoz","given":"A","non-dropping-particle":"","parse-names":false,"suffix":""}],"container-title":"Island invasives: eradication and management.","id":"ITEM-3","issue":"IUCN, Gland, Switzerland","issued":{"date-parts":[["2011"]]},"page":"350-355","title":"Rodent eradications on Mexican islands: advances and challenges","type":"chapter"},"uris":["http://www.mendeley.com/documents/?uuid=0c3cc57e-ea84-4295-8af8-73ec86c64e1c"]},{"id":"ITEM-4","itemData":{"abstract":"Eradications of invasive mammals have over the last decade been a key element in the restoration of Mexican islands. To date, 48 eradications have been completed on 30 islands. This work has provided the climate for a wider movement towards the protection and restoration of Mexican islands involving many players and institutions. Perceptions of islands have changed from earlier abuse and abandonment to current realisation of their importance for sovereignty, their rich biodiversity, and their potential as sites for sustainable development. This increased awareness was followed by social acceptance of the importance of islands, organisational development of advocates for them, scientific research, secure funding for projects on them, and institutional support for this work. A collaborative network now includes federal government agencies such as the Mexican Navy alongside academic institutes and universities, local communities, artisanal fishermen co-operatives, non-government organisations (NGOs), and national and international donors. A crucial NGO component of this network has been the Grupo de Ecología y Conservación de Islas, A.C. (GECI). This private organisation now has a field staff of 24 scientists and technicians who work closely with personnel from government agencies. Soon all Mexican islands will be legally protected under federal categories. Permanent government staff are being recruited, and activities on islands are starting to be supported with federal budgets. These public budgets may also soon supplement funds provided by private donors. During the last decade, most funds have been provided by American private foundations; comparatively Mexican private and public funding is still limited. There have been positive outcomes from international collaboration and exchange. If the current pace is sustained a strategic goal could be met: to eradicate all invasive mammals from the remaining Mexican islands by the year 2025.","author":[{"dropping-particle":"","family":"Aguirre-Muñoz","given":"A.","non-dropping-particle":"","parse-names":false,"suffix":""},{"dropping-particle":"","family":"Samaniego-Herrera","given":"A.","non-dropping-particle":"","parse-names":false,"suffix":""},{"dropping-particle":"","family":"Luna-Mendoza","given":"L.","non-dropping-particle":"","parse-names":false,"suffix":""},{"dropping-particle":"","family":"Ortiz-Alcaraz","given":"A.","non-dropping-particle":"","parse-names":false,"suffix":""},{"dropping-particle":"","family":"Rodríguez-Malagón","given":"M.","non-dropping-particle":"","parse-names":false,"suffix":""},{"dropping-particle":"","family":"Félix-Lizárraga","given":"M.","non-dropping-particle":"","parse-names":false,"suffix":""},{"dropping-particle":"","family":"Méndez-Sánchez","given":"F.","non-dropping-particle":"","parse-names":false,"suffix":""},{"dropping-particle":"","family":"González-Gómez","given":"R.","non-dropping-particle":"","parse-names":false,"suffix":""},{"dropping-particle":"","family":"Torres-García","given":"F.","non-dropping-particle":"","parse-names":false,"suffix":""},{"dropping-particle":"","family":"Hernández-Montoya","given":"J.C.","non-dropping-particle":"","parse-names":false,"suffix":""},{"dropping-particle":"","family":"Barredo-Barberena","given":"J.M.","non-dropping-particle":"","parse-names":false,"suffix":""},{"dropping-particle":"","family":"Latofski-Robles","given":"M.","non-dropping-particle":"","parse-names":false,"suffix":""}],"container-title":"Island invasives: eradication and managemen","id":"ITEM-4","issued":{"date-parts":[["2011"]]},"page":"386-394","title":"Eradications of invasive mammals on islands in Mexico: the roles of history and the collaboration between government agencies, local communities and a non-government organisation.","type":"article-journal"},"uris":["http://www.mendeley.com/documents/?uuid=fab3fbc8-85d5-4870-a9af-1693db5af79f"]},{"id":"ITEM-5","itemData":{"DOI":"10.1579/0044-7447(2008)37[101:HCIMEF]2.0.CO;2","ISSN":"00447447","PMID":"18488552","abstract":"Islands harbor a disproportionate amount of the earth's biodiversity, but a significant portion has been lost due in large part to the impacts of invasive mammals. Fortunately, invasive mammals can be routinely removed from islands, providing a powerful tool to prevent extinctions and restore ecosystems. Given that invasive mammals are still present on more than 80% of the world's major islands groups and remain a premier threat to the earth's biodiversity, it is important to disseminate replicable, scaleable models to eradicate invasive mammals from islands. We report on a successful model from western México during the past decade. A collaborative effort between nongovernmental organizations, academic biologists, Mexican government agencies, and local individuals has resulted in major restoration efforts in three island archipelagos. Forty-two populations of invasive mammals have been eradicated from 26 islands. For a cost of USD 21 615 per colony and USD 49 370 per taxon, 201 seabird colonies and 88 endemic terrestrial taxa have been protected, respectively. These conservation successes are a result of an operational model with three main components: i) a tri-national collaboration that integrates research, prioritization, financing, public education, policy work, capacity building, conservation action, monitoring, and evaluation; ii) proactive and dedicated natural resource management agencies; and iii) effective partnerships with academic researchers in México and the United States. What is now needed is a detailed plan to eradicate invasive mammals from the remaining islands in the region that integrates the needed additional financing, capacity, technical advances, and policy issues. Island conservation in western México provides an effective approach that can be readily applied to other archipelagos where conservation efforts have been limited. © Royal Swedish Academy of Sciences 2008.","author":[{"dropping-particle":"","family":"Aguirre-Muñoz","given":"Alfonso","non-dropping-particle":"","parse-names":false,"suffix":""},{"dropping-particle":"","family":"Croll","given":"Donald A.","non-dropping-particle":"","parse-names":false,"suffix":""},{"dropping-particle":"","family":"Donlan","given":"C. Josh","non-dropping-particle":"","parse-names":false,"suffix":""},{"dropping-particle":"","family":"Henry","given":"R. William","non-dropping-particle":"","parse-names":false,"suffix":""},{"dropping-particle":"","family":"Hermosillo","given":"Miguel Angel","non-dropping-particle":"","parse-names":false,"suffix":""},{"dropping-particle":"","family":"Howald","given":"Gregg R.","non-dropping-particle":"","parse-names":false,"suffix":""},{"dropping-particle":"","family":"Keitt","given":"Bradford S.","non-dropping-particle":"","parse-names":false,"suffix":""},{"dropping-particle":"","family":"Luna-Mendoza","given":"Luciana","non-dropping-particle":"","parse-names":false,"suffix":""},{"dropping-particle":"","family":"Rodríguez-Malagón","given":"Marlenne","non-dropping-particle":"","parse-names":false,"suffix":""},{"dropping-particle":"","family":"Salas-Flores","given":"Luz María","non-dropping-particle":"","parse-names":false,"suffix":""},{"dropping-particle":"","family":"Samaniego-Herrera","given":"Araceli","non-dropping-particle":"","parse-names":false,"suffix":""},{"dropping-particle":"","family":"Sanchez-Pacheco","given":"Jose Angel","non-dropping-particle":"","parse-names":false,"suffix":""},{"dropping-particle":"","family":"Sheppard","given":"Jacob","non-dropping-particle":"","parse-names":false,"suffix":""},{"dropping-particle":"","family":"Tershy","given":"Bernie R.","non-dropping-particle":"","parse-names":false,"suffix":""},{"dropping-particle":"","family":"Toro-Benito","given":"Jorge","non-dropping-particle":"","parse-names":false,"suffix":""},{"dropping-particle":"","family":"Wolf","given":"Shaye","non-dropping-particle":"","parse-names":false,"suffix":""},{"dropping-particle":"","family":"Wood","given":"Bill","non-dropping-particle":"","parse-names":false,"suffix":""}],"container-title":"Ambio","id":"ITEM-5","issue":"2","issued":{"date-parts":[["2008"]]},"page":"101-107","title":"High-impact conservation: Invasive mammal eradications from the islands of Western México","type":"article-journal","volume":"37"},"uris":["http://www.mendeley.com/documents/?uuid=36932b3b-c258-4553-b067-7c6095b8b3ec"]},{"id":"ITEM-6","itemData":{"DOI":"10.1007/s10530-017-1388-2","ISSN":"15731464","abstract":"For effective and efficient pest management it is essential to understand the ecology of the target species and recipient ecosystems. The use of rodent eradication as a restoration tool is well established in temperate regions, but less common in the tropics, presenting an opportunity to undertake scientific learning in tandem with rodent eradications. On a dry tropical archipelago, we used a Before-After-Control-Impact framework to document (1) fluctuations in the abundance and demography of invasive Rattus rattus and Mus musculus on three different islands, (2) the trophic niche of all three invasive rodent populations, and (3) changes in the invertebrate community before and after rodent eradication, also comparing with two rodent free islands. While rat density was high and relatively stable throughout the year, the two mouse populations greatly differed in body size and seasonal dynamics, despite their proximity. The rodents in all three populations were generalist and opportunistic feeders, although stable isotope analyses results indicated major differences among them, driven by food availability and rodent species. Seasonal fluctuations in invertebrate communities depended on rodent invasion status, but recovery in the invertebrate communities one year after rodent removal was limited for all islands. Predictions for other tropical ecosystem biomes require long-term research on more tropical islands. Improving our understanding of island and species-specific contexts of rodent eradications can advance island restoration projects and assist the selection of indicator species for ecosystem recovery.","author":[{"dropping-particle":"","family":"Samaniego-Herrera","given":"Araceli","non-dropping-particle":"","parse-names":false,"suffix":""},{"dropping-particle":"","family":"Clout","given":"Mick N.","non-dropping-particle":"","parse-names":false,"suffix":""},{"dropping-particle":"","family":"Aguirre-Muñoz","given":"Alfonso","non-dropping-particle":"","parse-names":false,"suffix":""},{"dropping-particle":"","family":"Russell","given":"James C.","non-dropping-particle":"","parse-names":false,"suffix":""}],"container-title":"Biological Invasions","id":"ITEM-6","issue":"6","issued":{"date-parts":[["2017"]]},"page":"1761-1779","title":"Rodent eradications as ecosystem experiments: a case study from the Mexican tropics","type":"article-journal","volume":"19"},"uris":["http://www.mendeley.com/documents/?uuid=660ce70b-809b-4547-89d6-0ae2ebb4f473"]},{"id":"ITEM-7","itemData":{"DOI":"10.1016/j.cosust.2014.08.005","ISSN":"18773435","abstract":"Conservation science is advancing rapidly, yet the majority of research overlooks a key factor that can play a major role in shaping the outcomes of conservation initiatives: collaboration. Here, we review the importance, benefits and limitations of incorporating collaboration into conservation and specifically into systematic conservation planning, providing a general framework for considering collaboration in conservation planning. Recent work shows that cross-boundary collaboration can have both positive and negative impacts on the outcomes of conservation and management efforts for protected areas, ecosystems, threatened and invasive species. The feasibility of collaboration, its likely effects and associated trade-offs should therefore be explicitly incorporated into conservation science and planning. This will ensure that conservation decisions avoid wasted funding when collaboration is infeasible, promoting collaboration when the benefits outweigh the costs.","author":[{"dropping-particle":"","family":"Kark","given":"Salit","non-dropping-particle":"","parse-names":false,"suffix":""},{"dropping-particle":"","family":"Tulloch","given":"Ayesha","non-dropping-particle":"","parse-names":false,"suffix":""},{"dropping-particle":"","family":"Gordon","given":"Ascelin","non-dropping-particle":"","parse-names":false,"suffix":""},{"dropping-particle":"","family":"Mazor","given":"Tessa","non-dropping-particle":"","parse-names":false,"suffix":""},{"dropping-particle":"","family":"Bunnefeld","given":"Nils","non-dropping-particle":"","parse-names":false,"suffix":""},{"dropping-particle":"","family":"Levin","given":"Noam","non-dropping-particle":"","parse-names":false,"suffix":""}],"container-title":"Current Opinion in Environmental Sustainability","id":"ITEM-7","issued":{"date-parts":[["2015"]]},"page":"12-24","publisher":"Elsevier B.V.","title":"Cross-boundary collaboration: Key to the conservation puzzle","type":"article-journal","volume":"12"},"uris":["http://www.mendeley.com/documents/?uuid=de676a4d-627d-4086-bb8d-89747d47827d"]},{"id":"ITEM-8","itemData":{"DOI":"10.1111/j.1523-1739.2003.00012.x","ISSN":"08888892","author":[{"dropping-particle":"","family":"Donlan","given":"C. Josh","non-dropping-particle":"","parse-names":false,"suffix":""},{"dropping-particle":"","family":"Tershy","given":"Bernie R.","non-dropping-particle":"","parse-names":false,"suffix":""},{"dropping-particle":"","family":"Campbell","given":"Karl","non-dropping-particle":"","parse-names":false,"suffix":""},{"dropping-particle":"","family":"Cruz","given":"Felipe","non-dropping-particle":"","parse-names":false,"suffix":""}],"container-title":"Conservation Biology","id":"ITEM-8","issue":"6","issued":{"date-parts":[["2003"]]},"page":"1850-1851","title":"Research for Requiems: The Need for More Collaborative Action in Eradication of Invasive Species","type":"article-journal","volume":"17"},"uris":["http://www.mendeley.com/documents/?uuid=b3d4895c-18e4-47b3-8409-dc6fada330e0"]},{"id":"ITEM-9","itemData":{"DOI":"10.5070/v426110447","abstract":"Central to the growing field of island ecological restoration is the removal of invasive rodents. The lack of information on rodent tropical ecology is a limiting factor for the success of such eradication attempts on tropical islands worldwide. In Mexico, 14 successful rodent eradications have occurred, 6 of them on dry and wet tropical islands, and the others on temperate islands. All recent projects included research components in order to inform management strategies. Here we summarize the main research findings and management recommendations, using the case of Isabel Island to illustrate how efficacy and efficiency of conservation initiatives can be improved when informed by directed research.","author":[{"dropping-particle":"","family":"Samaniego-Herrera","given":"Araceli","non-dropping-particle":"","parse-names":false,"suffix":""},{"dropping-particle":"","family":"Russell","given":"James , C.","non-dropping-particle":"","parse-names":false,"suffix":""},{"dropping-particle":"","family":"Choquenot","given":"David","non-dropping-particle":"","parse-names":false,"suffix":""},{"dropping-particle":"","family":"Aguirre-Muñoz","given":"Alfonso","non-dropping-particle":"","parse-names":false,"suffix":""},{"dropping-particle":"","family":"Clout","given":"Mick , N.","non-dropping-particle":"","parse-names":false,"suffix":""}],"container-title":"Proceedings of the Vertebrate Pest Conference","id":"ITEM-9","issued":{"date-parts":[["2014"]]},"title":"Invasive Rodents on Tropical Islands: Eradication Recommendations from Mexico","type":"article-journal","volume":"26"},"uris":["http://www.mendeley.com/documents/?uuid=c0ddbe02-f40c-4225-8275-c0d619d2a508"]}],"mendeley":{"formattedCitation":"(Donlan et al. 2003b, Lapidge et al. 2004, Aguirre-Muñoz et al. 2008, 2011, Samaniego-Herrera and Aguirre-Munoz 2011, Glen et al. 2013a, Samaniego-Herrera et al. 2014, 2017, Kark et al. 2015)","plainTextFormattedCitation":"(Donlan et al. 2003b, Lapidge et al. 2004, Aguirre-Muñoz et al. 2008, 2011, Samaniego-Herrera and Aguirre-Munoz 2011, Glen et al. 2013a, Samaniego-Herrera et al. 2014, 2017, Kark et al. 2015)","previouslyFormattedCitation":"(A. Aguirre-Muñoz et al., 2011; Alfonso Aguirre-Muñoz et al., 2008; Donlan, Tershy, Campbell, &amp; Cruz, 2003; Glen, Atkinson, et al., 2013; Kark et al., 2015; Lapidge et al., 2004; A Samaniego-Herrera &amp; Aguirre-Munoz, 2011; Araceli Samaniego-Herrera et al., 2017; Araceli Samaniego-Herrera, Russell, Choquenot, Aguirre-Muñoz, &amp; Clout, 2014)"},"properties":{"noteIndex":0},"schema":"https://github.com/citation-style-language/schema/raw/master/csl-citation.json"}</w:instrText>
      </w:r>
      <w:r w:rsidR="001942B2"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(Donlan et al. 2003b, Lapidge et al. 2004, Aguirre-Muñoz et al. 2008, 2011, Samaniego-Herrera and Aguirre-Munoz 2011, Glen et al. 2013a, Samaniego-Herrera et al. 2014, 2017, Kark et al. 2015)</w:t>
      </w:r>
      <w:r w:rsidR="001942B2" w:rsidRPr="006159FD">
        <w:rPr>
          <w:rFonts w:ascii="Times New Roman" w:eastAsia="Times New Roman" w:hAnsi="Times New Roman" w:cs="Times New Roman"/>
          <w:color w:val="000000" w:themeColor="text1"/>
        </w:rPr>
        <w:fldChar w:fldCharType="end"/>
      </w:r>
      <w:r w:rsidRPr="006159FD">
        <w:rPr>
          <w:rFonts w:ascii="Times New Roman" w:hAnsi="Times New Roman" w:cs="Times New Roman"/>
          <w:color w:val="000000" w:themeColor="text1"/>
        </w:rPr>
        <w:t>.</w:t>
      </w:r>
    </w:p>
    <w:p w14:paraId="66403C34" w14:textId="4DB242A3" w:rsidR="0012183E" w:rsidRPr="006159FD" w:rsidRDefault="00FC238A" w:rsidP="0012183E">
      <w:pPr>
        <w:pStyle w:val="ListParagraph"/>
        <w:numPr>
          <w:ilvl w:val="0"/>
          <w:numId w:val="14"/>
        </w:numPr>
        <w:rPr>
          <w:rFonts w:ascii="Times New Roman" w:hAnsi="Times New Roman" w:cs="Times New Roman"/>
          <w:color w:val="000000" w:themeColor="text1"/>
        </w:rPr>
      </w:pPr>
      <w:r w:rsidRPr="006159FD">
        <w:rPr>
          <w:rFonts w:ascii="Times New Roman" w:eastAsia="Times New Roman" w:hAnsi="Times New Roman" w:cs="Times New Roman"/>
          <w:color w:val="000000" w:themeColor="text1"/>
        </w:rPr>
        <w:t>Multi-stakeholder partnerships to undertake invasive vertebrate eradications</w:t>
      </w:r>
      <w:r w:rsidR="0012183E" w:rsidRPr="006159FD">
        <w:rPr>
          <w:rFonts w:ascii="Times New Roman" w:hAnsi="Times New Roman" w:cs="Times New Roman"/>
          <w:color w:val="000000" w:themeColor="text1"/>
        </w:rPr>
        <w:t>:</w:t>
      </w:r>
    </w:p>
    <w:p w14:paraId="49528CE7" w14:textId="7AEFCF32" w:rsidR="0012183E" w:rsidRPr="006159FD" w:rsidRDefault="003F3B59" w:rsidP="0012183E">
      <w:pPr>
        <w:numPr>
          <w:ilvl w:val="1"/>
          <w:numId w:val="14"/>
        </w:numPr>
        <w:rPr>
          <w:rFonts w:ascii="Times New Roman" w:hAnsi="Times New Roman" w:cs="Times New Roman"/>
          <w:color w:val="000000" w:themeColor="text1"/>
        </w:rPr>
      </w:pPr>
      <w:r w:rsidRPr="006159FD">
        <w:rPr>
          <w:rFonts w:ascii="Times New Roman" w:hAnsi="Times New Roman" w:cs="Times New Roman"/>
          <w:color w:val="000000" w:themeColor="text1"/>
        </w:rPr>
        <w:t>We assumed m</w:t>
      </w:r>
      <w:r w:rsidR="0012183E" w:rsidRPr="006159FD">
        <w:rPr>
          <w:rFonts w:ascii="Times New Roman" w:hAnsi="Times New Roman" w:cs="Times New Roman"/>
          <w:color w:val="000000" w:themeColor="text1"/>
        </w:rPr>
        <w:t>ore than one entity</w:t>
      </w:r>
      <w:r w:rsidRPr="006159FD">
        <w:rPr>
          <w:rFonts w:ascii="Times New Roman" w:hAnsi="Times New Roman" w:cs="Times New Roman"/>
          <w:color w:val="000000" w:themeColor="text1"/>
        </w:rPr>
        <w:t xml:space="preserve"> or stakeholder</w:t>
      </w:r>
      <w:r w:rsidR="0052708C" w:rsidRPr="006159FD">
        <w:rPr>
          <w:rFonts w:ascii="Times New Roman" w:hAnsi="Times New Roman" w:cs="Times New Roman"/>
          <w:color w:val="000000" w:themeColor="text1"/>
        </w:rPr>
        <w:t xml:space="preserve"> have or</w:t>
      </w:r>
      <w:r w:rsidRPr="006159FD">
        <w:rPr>
          <w:rFonts w:ascii="Times New Roman" w:hAnsi="Times New Roman" w:cs="Times New Roman"/>
          <w:color w:val="000000" w:themeColor="text1"/>
        </w:rPr>
        <w:t xml:space="preserve"> </w:t>
      </w:r>
      <w:r w:rsidR="0052708C" w:rsidRPr="006159FD">
        <w:rPr>
          <w:rFonts w:ascii="Times New Roman" w:hAnsi="Times New Roman" w:cs="Times New Roman"/>
          <w:color w:val="000000" w:themeColor="text1"/>
        </w:rPr>
        <w:t>(</w:t>
      </w:r>
      <w:r w:rsidRPr="006159FD">
        <w:rPr>
          <w:rFonts w:ascii="Times New Roman" w:hAnsi="Times New Roman" w:cs="Times New Roman"/>
          <w:color w:val="000000" w:themeColor="text1"/>
        </w:rPr>
        <w:t>will</w:t>
      </w:r>
      <w:r w:rsidR="0012183E" w:rsidRPr="006159FD">
        <w:rPr>
          <w:rFonts w:ascii="Times New Roman" w:hAnsi="Times New Roman" w:cs="Times New Roman"/>
          <w:color w:val="000000" w:themeColor="text1"/>
        </w:rPr>
        <w:t xml:space="preserve"> </w:t>
      </w:r>
      <w:r w:rsidR="00452717" w:rsidRPr="006159FD">
        <w:rPr>
          <w:rFonts w:ascii="Times New Roman" w:hAnsi="Times New Roman" w:cs="Times New Roman"/>
          <w:color w:val="000000" w:themeColor="text1"/>
        </w:rPr>
        <w:t>be</w:t>
      </w:r>
      <w:r w:rsidR="0052708C" w:rsidRPr="006159FD">
        <w:rPr>
          <w:rFonts w:ascii="Times New Roman" w:hAnsi="Times New Roman" w:cs="Times New Roman"/>
          <w:color w:val="000000" w:themeColor="text1"/>
        </w:rPr>
        <w:t>)</w:t>
      </w:r>
      <w:r w:rsidR="00452717" w:rsidRPr="006159FD">
        <w:rPr>
          <w:rFonts w:ascii="Times New Roman" w:hAnsi="Times New Roman" w:cs="Times New Roman"/>
          <w:color w:val="000000" w:themeColor="text1"/>
        </w:rPr>
        <w:t xml:space="preserve"> </w:t>
      </w:r>
      <w:r w:rsidR="0012183E" w:rsidRPr="006159FD">
        <w:rPr>
          <w:rFonts w:ascii="Times New Roman" w:hAnsi="Times New Roman" w:cs="Times New Roman"/>
          <w:color w:val="000000" w:themeColor="text1"/>
        </w:rPr>
        <w:t xml:space="preserve">involved in </w:t>
      </w:r>
      <w:r w:rsidR="002C459A" w:rsidRPr="006159FD">
        <w:rPr>
          <w:rFonts w:ascii="Times New Roman" w:hAnsi="Times New Roman" w:cs="Times New Roman"/>
          <w:color w:val="000000" w:themeColor="text1"/>
        </w:rPr>
        <w:t xml:space="preserve">the </w:t>
      </w:r>
      <w:r w:rsidRPr="006159FD">
        <w:rPr>
          <w:rFonts w:ascii="Times New Roman" w:hAnsi="Times New Roman" w:cs="Times New Roman"/>
          <w:color w:val="000000" w:themeColor="text1"/>
        </w:rPr>
        <w:t>invasive vertebrate</w:t>
      </w:r>
      <w:r w:rsidR="0012183E" w:rsidRPr="006159FD">
        <w:rPr>
          <w:rFonts w:ascii="Times New Roman" w:hAnsi="Times New Roman" w:cs="Times New Roman"/>
          <w:color w:val="000000" w:themeColor="text1"/>
        </w:rPr>
        <w:t xml:space="preserve"> eradication</w:t>
      </w:r>
      <w:r w:rsidR="001942B2" w:rsidRPr="006159FD">
        <w:rPr>
          <w:rFonts w:ascii="Times New Roman" w:hAnsi="Times New Roman" w:cs="Times New Roman"/>
          <w:color w:val="000000" w:themeColor="text1"/>
        </w:rPr>
        <w:t xml:space="preserve"> </w:t>
      </w:r>
      <w:r w:rsidR="001942B2" w:rsidRPr="006159FD">
        <w:rPr>
          <w:rFonts w:ascii="Times New Roman" w:eastAsia="Times New Roman" w:hAnsi="Times New Roman" w:cs="Times New Roman"/>
          <w:color w:val="000000" w:themeColor="text1"/>
        </w:rPr>
        <w:fldChar w:fldCharType="begin" w:fldLock="1"/>
      </w:r>
      <w:r w:rsidR="00A6678D">
        <w:rPr>
          <w:rFonts w:ascii="Times New Roman" w:eastAsia="Times New Roman" w:hAnsi="Times New Roman" w:cs="Times New Roman"/>
          <w:color w:val="000000" w:themeColor="text1"/>
        </w:rPr>
        <w:instrText>ADDIN CSL_CITATION {"citationItems":[{"id":"ITEM-1","itemData":{"DOI":"10.1007/s10530-013-0495-y","ISBN":"1053001304","ISSN":"1387-3547","abstract":"Invasive species are the greatest threat to island ecosystems, which harbour nearly half the world’s endangered biodiversity. However, eradication is more feasible on islands than on continents. We present a global analysis of 1,224 successful eradications of invasive plants and animals on 808 islands. Most involve single vertebrate species on uninhabited islands, but plant and invertebrate eradications occur more often on inhabited islands. Inhabited islands are often highly modified and support numerous introduced species. Consequently, targeting a single invasive species can be ineffective or counterproductive. The impacts of other pests will continue and, in some cases, be exacerbated. The presence of people also creates regulatory, logistical and socio-political constraints. Real or perceived health risks to inhabitants, pets and livestock may restrict the use of some eradication tools, and communities or individuals sometimes oppose eradication. Despite such challenges, managing invasive species is vital to conserve and restore the unique biodiversity of many inhabited islands, and to maintain or improve the welfare and livelihoods of island residents. We present a brief case study of the Juan Ferna´ndez Archipelago, Chile, and discuss the feasibility of eradicating large suites of invasive plants and animals from inhabited islands while managing other invaders for which eradication is not feasible or desirable. Eradications must be planned to account for species interactions. Monitoring and contingency plans must detect and address any ‘surprise effects’. Above all, it is important that the local community derives social, cultural and/or economic benefits, and that people support and are engaged in the restoration effort.","author":[{"dropping-particle":"","family":"Glen","given":"Alistair S.","non-dropping-particle":"","parse-names":false,"suffix":""},{"dropping-particle":"","family":"Atkinson","given":"Rachel","non-dropping-particle":"","parse-names":false,"suffix":""},{"dropping-particle":"","family":"Campbell","given":"Karl J.","non-dropping-particle":"","parse-names":false,"suffix":""},{"dropping-particle":"","family":"Hagen","given":"Erin","non-dropping-particle":"","parse-names":false,"suffix":""},{"dropping-particle":"","family":"Holmes","given":"Nick D.","non-dropping-particle":"","parse-names":false,"suffix":""},{"dropping-particle":"","family":"Keitt","given":"Bradford S.","non-dropping-particle":"","parse-names":false,"suffix":""},{"dropping-particle":"","family":"Parkes","given":"John P.","non-dropping-particle":"","parse-names":false,"suffix":""},{"dropping-particle":"","family":"Saunders","given":"Alan","non-dropping-particle":"","parse-names":false,"suffix":""},{"dropping-particle":"","family":"Sawyer","given":"John","non-dropping-particle":"","parse-names":false,"suffix":""},{"dropping-particle":"","family":"Torres","given":"Hernán","non-dropping-particle":"","parse-names":false,"suffix":""}],"container-title":"Biological Invasions","id":"ITEM-1","issue":"12","issued":{"date-parts":[["2013","5","17"]]},"page":"2589-2603","title":"Eradicating multiple invasive species on inhabited islands: the next big step in island restoration?","type":"article-journal","volume":"15"},"uris":["http://www.mendeley.com/documents/?uuid=e33d8bb2-fb87-4be3-8925-d8b8fa8f2b12"]},{"id":"ITEM-2","itemData":{"abstract":"Problems associated with managing vertebrate invasive species, defined as any exotic or native species that has spread beyond its natural range, are remarkably common around the world. Although the species may differ, the niches they fill and the damage they generally cause is often consistent. As such, a possibility exists for greater collaboration and harmonisation in developing new tools to manage the impacts of invasive species. Moreover, the considerable expense of developing new products, the often onerous registration process, and the lack of return on investment leading to market failure has meant that progress within the field of invasive animal management product development can sometimes be stifled. This paper details a potential way forward using specific examples of ways the Invasive Animals Cooperative Research Centre (IACRC), Pestat P/L, and other IACRC commercial partners aim to provide overseas organisations with humane non-lethal and lethal wildlife management tools. Conversely, we detail overseas-developed products currently being tested in Australia, and a proposal to keep abreast of new developments in other countries to ensure invasive species management within Australasia remains of the highest level. This can only be achieved through truly collaborative research and the global harmonisation of registration packages, so product development costs can be minimised and the necessary scales of production can be attained.","author":[{"dropping-particle":"","family":"Lapidge","given":"Steven","non-dropping-particle":"","parse-names":false,"suffix":""},{"dropping-particle":"","family":"Humphrys","given":"Simon","non-dropping-particle":"","parse-names":false,"suffix":""},{"dropping-particle":"","family":"Dall","given":"David","non-dropping-particle":"","parse-names":false,"suffix":""}],"container-title":"Managing vertebrate invasive species","editor":[{"dropping-particle":"","family":"Witmer","given":"G. W.","non-dropping-particle":"","parse-names":false,"suffix":""},{"dropping-particle":"","family":"Pitt","given":"W. C.","non-dropping-particle":"","parse-names":false,"suffix":""},{"dropping-particle":"","family":"Fagerstone","given":"K. A.","non-dropping-particle":"","parse-names":false,"suffix":""}],"id":"ITEM-2","issue":"22","issued":{"date-parts":[["2004"]]},"publisher-place":"Fort Collins, CO, USA","title":"Global harmonisation in the field of invasive species management product development","type":"chapter"},"uris":["http://www.mendeley.com/documents/?uuid=6562673b-6abd-4375-909b-dea4408e4d44"]},{"id":"ITEM-3","itemData":{"abstract":"In Mexico, attempts had been made to eradicate rodents from nine islands by 2009, and eight of these were successful. Methods evolved from bait stations on small islands to aerial bait applications on islands that were larger and more complex. Six islands (5 to 82 ha) were treated with bait stations from 1995 to 2002. All of these attempts were successful except for Isabel Island (the largest). Three islands (17, 82 and 267 ha), including Isabel for the second time, were treated with the high-tech aerial broadcast technique between 2007 and 2009, which was the first time this technique was used in Latin America. Post-eradication monitoring has confirmed rodent absence and ecosystem recovery, which includes re-colonisation of seabirds and population increases in reptiles and seabirds. The experience and trust gained have made planning and funding possible for additional projects on bigger islands. Planning, permitting, funding, research, and execution have progressed following a focused, long term collaborative approach with multiple partners. About 30 Mexican islands still have one or two species of invasive rodents. New challenges include bigger islands (e.g., Guadalupe; 24,171 ha), tropical islands (e.g., Banco Chinchorro Atoll; 580 ha), and islands with endemic mammals including rodents (e.g., Maria Madre, 14,388 ha).","author":[{"dropping-particle":"","family":"Samaniego-Herrera","given":"A","non-dropping-particle":"","parse-names":false,"suffix":""},{"dropping-particle":"","family":"Aguirre-Munoz","given":"A","non-dropping-particle":"","parse-names":false,"suffix":""}],"container-title":"Island invasives: eradication and management.","id":"ITEM-3","issue":"IUCN, Gland, Switzerland","issued":{"date-parts":[["2011"]]},"page":"350-355","title":"Rodent eradications on Mexican islands: advances and challenges","type":"chapter"},"uris":["http://www.mendeley.com/documents/?uuid=0c3cc57e-ea84-4295-8af8-73ec86c64e1c"]},{"id":"ITEM-4","itemData":{"abstract":"Eradications of invasive mammals have over the last decade been a key element in the restoration of Mexican islands. To date, 48 eradications have been completed on 30 islands. This work has provided the climate for a wider movement towards the protection and restoration of Mexican islands involving many players and institutions. Perceptions of islands have changed from earlier abuse and abandonment to current realisation of their importance for sovereignty, their rich biodiversity, and their potential as sites for sustainable development. This increased awareness was followed by social acceptance of the importance of islands, organisational development of advocates for them, scientific research, secure funding for projects on them, and institutional support for this work. A collaborative network now includes federal government agencies such as the Mexican Navy alongside academic institutes and universities, local communities, artisanal fishermen co-operatives, non-government organisations (NGOs), and national and international donors. A crucial NGO component of this network has been the Grupo de Ecología y Conservación de Islas, A.C. (GECI). This private organisation now has a field staff of 24 scientists and technicians who work closely with personnel from government agencies. Soon all Mexican islands will be legally protected under federal categories. Permanent government staff are being recruited, and activities on islands are starting to be supported with federal budgets. These public budgets may also soon supplement funds provided by private donors. During the last decade, most funds have been provided by American private foundations; comparatively Mexican private and public funding is still limited. There have been positive outcomes from international collaboration and exchange. If the current pace is sustained a strategic goal could be met: to eradicate all invasive mammals from the remaining Mexican islands by the year 2025.","author":[{"dropping-particle":"","family":"Aguirre-Muñoz","given":"A.","non-dropping-particle":"","parse-names":false,"suffix":""},{"dropping-particle":"","family":"Samaniego-Herrera","given":"A.","non-dropping-particle":"","parse-names":false,"suffix":""},{"dropping-particle":"","family":"Luna-Mendoza","given":"L.","non-dropping-particle":"","parse-names":false,"suffix":""},{"dropping-particle":"","family":"Ortiz-Alcaraz","given":"A.","non-dropping-particle":"","parse-names":false,"suffix":""},{"dropping-particle":"","family":"Rodríguez-Malagón","given":"M.","non-dropping-particle":"","parse-names":false,"suffix":""},{"dropping-particle":"","family":"Félix-Lizárraga","given":"M.","non-dropping-particle":"","parse-names":false,"suffix":""},{"dropping-particle":"","family":"Méndez-Sánchez","given":"F.","non-dropping-particle":"","parse-names":false,"suffix":""},{"dropping-particle":"","family":"González-Gómez","given":"R.","non-dropping-particle":"","parse-names":false,"suffix":""},{"dropping-particle":"","family":"Torres-García","given":"F.","non-dropping-particle":"","parse-names":false,"suffix":""},{"dropping-particle":"","family":"Hernández-Montoya","given":"J.C.","non-dropping-particle":"","parse-names":false,"suffix":""},{"dropping-particle":"","family":"Barredo-Barberena","given":"J.M.","non-dropping-particle":"","parse-names":false,"suffix":""},{"dropping-particle":"","family":"Latofski-Robles","given":"M.","non-dropping-particle":"","parse-names":false,"suffix":""}],"container-title":"Island invasives: eradication and managemen","id":"ITEM-4","issued":{"date-parts":[["2011"]]},"page":"386-394","title":"Eradications of invasive mammals on islands in Mexico: the roles of history and the collaboration between government agencies, local communities and a non-government organisation.","type":"article-journal"},"uris":["http://www.mendeley.com/documents/?uuid=fab3fbc8-85d5-4870-a9af-1693db5af79f"]},{"id":"ITEM-5","itemData":{"DOI":"10.1579/0044-7447(2008)37[101:HCIMEF]2.0.CO;2","ISSN":"00447447","PMID":"18488552","abstract":"Islands harbor a disproportionate amount of the earth's biodiversity, but a significant portion has been lost due in large part to the impacts of invasive mammals. Fortunately, invasive mammals can be routinely removed from islands, providing a powerful tool to prevent extinctions and restore ecosystems. Given that invasive mammals are still present on more than 80% of the world's major islands groups and remain a premier threat to the earth's biodiversity, it is important to disseminate replicable, scaleable models to eradicate invasive mammals from islands. We report on a successful model from western México during the past decade. A collaborative effort between nongovernmental organizations, academic biologists, Mexican government agencies, and local individuals has resulted in major restoration efforts in three island archipelagos. Forty-two populations of invasive mammals have been eradicated from 26 islands. For a cost of USD 21 615 per colony and USD 49 370 per taxon, 201 seabird colonies and 88 endemic terrestrial taxa have been protected, respectively. These conservation successes are a result of an operational model with three main components: i) a tri-national collaboration that integrates research, prioritization, financing, public education, policy work, capacity building, conservation action, monitoring, and evaluation; ii) proactive and dedicated natural resource management agencies; and iii) effective partnerships with academic researchers in México and the United States. What is now needed is a detailed plan to eradicate invasive mammals from the remaining islands in the region that integrates the needed additional financing, capacity, technical advances, and policy issues. Island conservation in western México provides an effective approach that can be readily applied to other archipelagos where conservation efforts have been limited. © Royal Swedish Academy of Sciences 2008.","author":[{"dropping-particle":"","family":"Aguirre-Muñoz","given":"Alfonso","non-dropping-particle":"","parse-names":false,"suffix":""},{"dropping-particle":"","family":"Croll","given":"Donald A.","non-dropping-particle":"","parse-names":false,"suffix":""},{"dropping-particle":"","family":"Donlan","given":"C. Josh","non-dropping-particle":"","parse-names":false,"suffix":""},{"dropping-particle":"","family":"Henry","given":"R. William","non-dropping-particle":"","parse-names":false,"suffix":""},{"dropping-particle":"","family":"Hermosillo","given":"Miguel Angel","non-dropping-particle":"","parse-names":false,"suffix":""},{"dropping-particle":"","family":"Howald","given":"Gregg R.","non-dropping-particle":"","parse-names":false,"suffix":""},{"dropping-particle":"","family":"Keitt","given":"Bradford S.","non-dropping-particle":"","parse-names":false,"suffix":""},{"dropping-particle":"","family":"Luna-Mendoza","given":"Luciana","non-dropping-particle":"","parse-names":false,"suffix":""},{"dropping-particle":"","family":"Rodríguez-Malagón","given":"Marlenne","non-dropping-particle":"","parse-names":false,"suffix":""},{"dropping-particle":"","family":"Salas-Flores","given":"Luz María","non-dropping-particle":"","parse-names":false,"suffix":""},{"dropping-particle":"","family":"Samaniego-Herrera","given":"Araceli","non-dropping-particle":"","parse-names":false,"suffix":""},{"dropping-particle":"","family":"Sanchez-Pacheco","given":"Jose Angel","non-dropping-particle":"","parse-names":false,"suffix":""},{"dropping-particle":"","family":"Sheppard","given":"Jacob","non-dropping-particle":"","parse-names":false,"suffix":""},{"dropping-particle":"","family":"Tershy","given":"Bernie R.","non-dropping-particle":"","parse-names":false,"suffix":""},{"dropping-particle":"","family":"Toro-Benito","given":"Jorge","non-dropping-particle":"","parse-names":false,"suffix":""},{"dropping-particle":"","family":"Wolf","given":"Shaye","non-dropping-particle":"","parse-names":false,"suffix":""},{"dropping-particle":"","family":"Wood","given":"Bill","non-dropping-particle":"","parse-names":false,"suffix":""}],"container-title":"Ambio","id":"ITEM-5","issue":"2","issued":{"date-parts":[["2008"]]},"page":"101-107","title":"High-impact conservation: Invasive mammal eradications from the islands of Western México","type":"article-journal","volume":"37"},"uris":["http://www.mendeley.com/documents/?uuid=36932b3b-c258-4553-b067-7c6095b8b3ec"]},{"id":"ITEM-6","itemData":{"DOI":"10.1007/s10530-017-1388-2","ISSN":"15731464","abstract":"For effective and efficient pest management it is essential to understand the ecology of the target species and recipient ecosystems. The use of rodent eradication as a restoration tool is well established in temperate regions, but less common in the tropics, presenting an opportunity to undertake scientific learning in tandem with rodent eradications. On a dry tropical archipelago, we used a Before-After-Control-Impact framework to document (1) fluctuations in the abundance and demography of invasive Rattus rattus and Mus musculus on three different islands, (2) the trophic niche of all three invasive rodent populations, and (3) changes in the invertebrate community before and after rodent eradication, also comparing with two rodent free islands. While rat density was high and relatively stable throughout the year, the two mouse populations greatly differed in body size and seasonal dynamics, despite their proximity. The rodents in all three populations were generalist and opportunistic feeders, although stable isotope analyses results indicated major differences among them, driven by food availability and rodent species. Seasonal fluctuations in invertebrate communities depended on rodent invasion status, but recovery in the invertebrate communities one year after rodent removal was limited for all islands. Predictions for other tropical ecosystem biomes require long-term research on more tropical islands. Improving our understanding of island and species-specific contexts of rodent eradications can advance island restoration projects and assist the selection of indicator species for ecosystem recovery.","author":[{"dropping-particle":"","family":"Samaniego-Herrera","given":"Araceli","non-dropping-particle":"","parse-names":false,"suffix":""},{"dropping-particle":"","family":"Clout","given":"Mick N.","non-dropping-particle":"","parse-names":false,"suffix":""},{"dropping-particle":"","family":"Aguirre-Muñoz","given":"Alfonso","non-dropping-particle":"","parse-names":false,"suffix":""},{"dropping-particle":"","family":"Russell","given":"James C.","non-dropping-particle":"","parse-names":false,"suffix":""}],"container-title":"Biological Invasions","id":"ITEM-6","issue":"6","issued":{"date-parts":[["2017"]]},"page":"1761-1779","title":"Rodent eradications as ecosystem experiments: a case study from the Mexican tropics","type":"article-journal","volume":"19"},"uris":["http://www.mendeley.com/documents/?uuid=660ce70b-809b-4547-89d6-0ae2ebb4f473"]},{"id":"ITEM-7","itemData":{"DOI":"10.1016/j.cosust.2014.08.005","ISSN":"18773435","abstract":"Conservation science is advancing rapidly, yet the majority of research overlooks a key factor that can play a major role in shaping the outcomes of conservation initiatives: collaboration. Here, we review the importance, benefits and limitations of incorporating collaboration into conservation and specifically into systematic conservation planning, providing a general framework for considering collaboration in conservation planning. Recent work shows that cross-boundary collaboration can have both positive and negative impacts on the outcomes of conservation and management efforts for protected areas, ecosystems, threatened and invasive species. The feasibility of collaboration, its likely effects and associated trade-offs should therefore be explicitly incorporated into conservation science and planning. This will ensure that conservation decisions avoid wasted funding when collaboration is infeasible, promoting collaboration when the benefits outweigh the costs.","author":[{"dropping-particle":"","family":"Kark","given":"Salit","non-dropping-particle":"","parse-names":false,"suffix":""},{"dropping-particle":"","family":"Tulloch","given":"Ayesha","non-dropping-particle":"","parse-names":false,"suffix":""},{"dropping-particle":"","family":"Gordon","given":"Ascelin","non-dropping-particle":"","parse-names":false,"suffix":""},{"dropping-particle":"","family":"Mazor","given":"Tessa","non-dropping-particle":"","parse-names":false,"suffix":""},{"dropping-particle":"","family":"Bunnefeld","given":"Nils","non-dropping-particle":"","parse-names":false,"suffix":""},{"dropping-particle":"","family":"Levin","given":"Noam","non-dropping-particle":"","parse-names":false,"suffix":""}],"container-title":"Current Opinion in Environmental Sustainability","id":"ITEM-7","issued":{"date-parts":[["2015"]]},"page":"12-24","publisher":"Elsevier B.V.","title":"Cross-boundary collaboration: Key to the conservation puzzle","type":"article-journal","volume":"12"},"uris":["http://www.mendeley.com/documents/?uuid=de676a4d-627d-4086-bb8d-89747d47827d"]},{"id":"ITEM-8","itemData":{"DOI":"10.1111/j.1523-1739.2003.00012.x","ISSN":"08888892","author":[{"dropping-particle":"","family":"Donlan","given":"C. Josh","non-dropping-particle":"","parse-names":false,"suffix":""},{"dropping-particle":"","family":"Tershy","given":"Bernie R.","non-dropping-particle":"","parse-names":false,"suffix":""},{"dropping-particle":"","family":"Campbell","given":"Karl","non-dropping-particle":"","parse-names":false,"suffix":""},{"dropping-particle":"","family":"Cruz","given":"Felipe","non-dropping-particle":"","parse-names":false,"suffix":""}],"container-title":"Conservation Biology","id":"ITEM-8","issue":"6","issued":{"date-parts":[["2003"]]},"page":"1850-1851","title":"Research for Requiems: The Need for More Collaborative Action in Eradication of Invasive Species","type":"article-journal","volume":"17"},"uris":["http://www.mendeley.com/documents/?uuid=b3d4895c-18e4-47b3-8409-dc6fada330e0"]},{"id":"ITEM-9","itemData":{"DOI":"10.5070/v426110447","abstract":"Central to the growing field of island ecological restoration is the removal of invasive rodents. The lack of information on rodent tropical ecology is a limiting factor for the success of such eradication attempts on tropical islands worldwide. In Mexico, 14 successful rodent eradications have occurred, 6 of them on dry and wet tropical islands, and the others on temperate islands. All recent projects included research components in order to inform management strategies. Here we summarize the main research findings and management recommendations, using the case of Isabel Island to illustrate how efficacy and efficiency of conservation initiatives can be improved when informed by directed research.","author":[{"dropping-particle":"","family":"Samaniego-Herrera","given":"Araceli","non-dropping-particle":"","parse-names":false,"suffix":""},{"dropping-particle":"","family":"Russell","given":"James , C.","non-dropping-particle":"","parse-names":false,"suffix":""},{"dropping-particle":"","family":"Choquenot","given":"David","non-dropping-particle":"","parse-names":false,"suffix":""},{"dropping-particle":"","family":"Aguirre-Muñoz","given":"Alfonso","non-dropping-particle":"","parse-names":false,"suffix":""},{"dropping-particle":"","family":"Clout","given":"Mick , N.","non-dropping-particle":"","parse-names":false,"suffix":""}],"container-title":"Proceedings of the Vertebrate Pest Conference","id":"ITEM-9","issued":{"date-parts":[["2014"]]},"title":"Invasive Rodents on Tropical Islands: Eradication Recommendations from Mexico","type":"article-journal","volume":"26"},"uris":["http://www.mendeley.com/documents/?uuid=c0ddbe02-f40c-4225-8275-c0d619d2a508"]},{"id":"ITEM-10","itemData":{"DOI":"10.1007/s10530-014-0704-3","ISSN":"13873547","abstract":"The North American ruddy duck is an invasive alien species in Europe, which threatens the native white-headed duck through hybridisation. A substantial population established in the UK following escapes and releases beginning in the 1950s. The species then spread widely within Europe, with records across much of the continent, and viable populations established in Belgium, the Netherlands, France and Spain. An international plan to eradicate the species from Europe has been adopted, but the approaches and intensity of control have varied widely between countries. We report on progress towards eradication across the continent. Numbers in 2013 were less than 7 % of the 2000 population, although coordinated action is still required to achieve eradication. The European Union is considering a new legislative instrument on Invasive Alien Species, which is likely to place responsibilities on member states to control named species. Coordinated control across those member states with remaining ruddy duck populations is likely to be an early test of any new responsibilities, with the potential to achieve the first continental scale eradication of an invasive alien species.","author":[{"dropping-particle":"","family":"Robertson","given":"P. A.","non-dropping-particle":"","parse-names":false,"suffix":""},{"dropping-particle":"","family":"Adriaens","given":"T.","non-dropping-particle":"","parse-names":false,"suffix":""},{"dropping-particle":"","family":"Caizergues","given":"A.","non-dropping-particle":"","parse-names":false,"suffix":""},{"dropping-particle":"","family":"Cranswick","given":"P. A.","non-dropping-particle":"","parse-names":false,"suffix":""},{"dropping-particle":"","family":"Devos","given":"K.","non-dropping-particle":"","parse-names":false,"suffix":""},{"dropping-particle":"","family":"Gutiérrez-Expósito","given":"C.","non-dropping-particle":"","parse-names":false,"suffix":""},{"dropping-particle":"","family":"Henderson","given":"I.","non-dropping-particle":"","parse-names":false,"suffix":""},{"dropping-particle":"","family":"Hughes","given":"B.","non-dropping-particle":"","parse-names":false,"suffix":""},{"dropping-particle":"","family":"Mill","given":"A. C.","non-dropping-particle":"","parse-names":false,"suffix":""},{"dropping-particle":"","family":"Smith","given":"G. C.","non-dropping-particle":"","parse-names":false,"suffix":""}],"container-title":"Biological Invasions","id":"ITEM-10","issue":"1","issued":{"date-parts":[["2014"]]},"page":"9-12","title":"Towards the European eradication of the North American ruddy duck","type":"article-journal","volume":"17"},"uris":["http://www.mendeley.com/documents/?uuid=d0b2d70a-278d-40a5-ac62-2bce85d2c9a5"]}],"mendeley":{"formattedCitation":"(Donlan et al. 2003b, Lapidge et al. 2004, Aguirre-Muñoz et al. 2008, 2011, Samaniego-Herrera and Aguirre-Munoz 2011, Glen et al. 2013a, Robertson et al. 2014, Samaniego-Herrera et al. 2014, 2017, Kark et al. 2015)","plainTextFormattedCitation":"(Donlan et al. 2003b, Lapidge et al. 2004, Aguirre-Muñoz et al. 2008, 2011, Samaniego-Herrera and Aguirre-Munoz 2011, Glen et al. 2013a, Robertson et al. 2014, Samaniego-Herrera et al. 2014, 2017, Kark et al. 2015)","previouslyFormattedCitation":"(A. Aguirre-Muñoz et al., 2011; Alfonso Aguirre-Muñoz et al., 2008; Donlan, Tershy, et al., 2003; Glen, Atkinson, et al., 2013; Kark et al., 2015; Lapidge et al., 2004; Robertson et al., 2014; A Samaniego-Herrera &amp; Aguirre-Munoz, 2011; Araceli Samaniego-Herrera et al., 2017, 2014)"},"properties":{"noteIndex":0},"schema":"https://github.com/citation-style-language/schema/raw/master/csl-citation.json"}</w:instrText>
      </w:r>
      <w:r w:rsidR="001942B2" w:rsidRPr="006159FD">
        <w:rPr>
          <w:rFonts w:ascii="Times New Roman" w:eastAsia="Times New Roman" w:hAnsi="Times New Roman" w:cs="Times New Roman"/>
          <w:color w:val="000000" w:themeColor="text1"/>
        </w:rPr>
        <w:fldChar w:fldCharType="separate"/>
      </w:r>
      <w:r w:rsidR="00A6678D" w:rsidRPr="00A6678D">
        <w:rPr>
          <w:rFonts w:ascii="Times New Roman" w:eastAsia="Times New Roman" w:hAnsi="Times New Roman" w:cs="Times New Roman"/>
          <w:noProof/>
          <w:color w:val="000000" w:themeColor="text1"/>
        </w:rPr>
        <w:t>(Donlan et al. 2003b, Lapidge et al. 2004, Aguirre-Muñoz et al. 2008, 2011, Samaniego-Herrera and Aguirre-Munoz 2011, Glen et al. 2013a, Robertson et al. 2014, Samaniego-Herrera et al. 2014, 2017, Kark et al. 2015)</w:t>
      </w:r>
      <w:r w:rsidR="001942B2" w:rsidRPr="006159FD">
        <w:rPr>
          <w:rFonts w:ascii="Times New Roman" w:eastAsia="Times New Roman" w:hAnsi="Times New Roman" w:cs="Times New Roman"/>
          <w:color w:val="000000" w:themeColor="text1"/>
        </w:rPr>
        <w:fldChar w:fldCharType="end"/>
      </w:r>
      <w:r w:rsidR="0012183E" w:rsidRPr="006159FD">
        <w:rPr>
          <w:rFonts w:ascii="Times New Roman" w:hAnsi="Times New Roman" w:cs="Times New Roman"/>
          <w:color w:val="000000" w:themeColor="text1"/>
        </w:rPr>
        <w:t>.</w:t>
      </w:r>
    </w:p>
    <w:p w14:paraId="3CDCF8F4" w14:textId="044775E5" w:rsidR="0012183E" w:rsidRPr="006159FD" w:rsidRDefault="0012183E" w:rsidP="00AB5070">
      <w:pPr>
        <w:rPr>
          <w:rFonts w:ascii="Times New Roman" w:hAnsi="Times New Roman" w:cs="Times New Roman"/>
          <w:color w:val="000000" w:themeColor="text1"/>
        </w:rPr>
      </w:pPr>
    </w:p>
    <w:p w14:paraId="44829015" w14:textId="07D14686" w:rsidR="0012183E" w:rsidRPr="006159FD" w:rsidRDefault="0012183E" w:rsidP="0012183E">
      <w:pPr>
        <w:pStyle w:val="Heading1"/>
        <w:rPr>
          <w:rFonts w:ascii="Times New Roman" w:hAnsi="Times New Roman" w:cs="Times New Roman"/>
          <w:color w:val="000000" w:themeColor="text1"/>
          <w:sz w:val="24"/>
          <w:szCs w:val="24"/>
        </w:rPr>
      </w:pPr>
      <w:bookmarkStart w:id="13" w:name="_Toc25838869"/>
      <w:r w:rsidRPr="006159FD">
        <w:rPr>
          <w:rFonts w:ascii="Times New Roman" w:hAnsi="Times New Roman" w:cs="Times New Roman"/>
          <w:color w:val="000000" w:themeColor="text1"/>
          <w:sz w:val="24"/>
          <w:szCs w:val="24"/>
        </w:rPr>
        <w:t>References</w:t>
      </w:r>
      <w:bookmarkEnd w:id="13"/>
    </w:p>
    <w:p w14:paraId="028B2800" w14:textId="77777777" w:rsidR="002F03F3" w:rsidRPr="006159FD" w:rsidRDefault="002F03F3" w:rsidP="002F03F3">
      <w:pPr>
        <w:rPr>
          <w:rFonts w:ascii="Times New Roman" w:hAnsi="Times New Roman" w:cs="Times New Roman"/>
          <w:color w:val="000000" w:themeColor="text1"/>
        </w:rPr>
      </w:pPr>
    </w:p>
    <w:p w14:paraId="7C9221B1" w14:textId="14CE1DED" w:rsidR="00A6678D" w:rsidRPr="00A6678D" w:rsidRDefault="0012183E" w:rsidP="00A6678D">
      <w:pPr>
        <w:widowControl w:val="0"/>
        <w:autoSpaceDE w:val="0"/>
        <w:autoSpaceDN w:val="0"/>
        <w:adjustRightInd w:val="0"/>
        <w:ind w:left="480" w:hanging="480"/>
        <w:rPr>
          <w:rFonts w:ascii="Times New Roman" w:hAnsi="Times New Roman" w:cs="Times New Roman"/>
          <w:noProof/>
        </w:rPr>
      </w:pPr>
      <w:r w:rsidRPr="006159FD">
        <w:rPr>
          <w:rFonts w:ascii="Times New Roman" w:hAnsi="Times New Roman" w:cs="Times New Roman"/>
          <w:color w:val="000000" w:themeColor="text1"/>
        </w:rPr>
        <w:lastRenderedPageBreak/>
        <w:fldChar w:fldCharType="begin" w:fldLock="1"/>
      </w:r>
      <w:r w:rsidRPr="006159FD">
        <w:rPr>
          <w:rFonts w:ascii="Times New Roman" w:hAnsi="Times New Roman" w:cs="Times New Roman"/>
          <w:color w:val="000000" w:themeColor="text1"/>
        </w:rPr>
        <w:instrText xml:space="preserve">ADDIN Mendeley Bibliography CSL_BIBLIOGRAPHY </w:instrText>
      </w:r>
      <w:r w:rsidRPr="006159FD">
        <w:rPr>
          <w:rFonts w:ascii="Times New Roman" w:hAnsi="Times New Roman" w:cs="Times New Roman"/>
          <w:color w:val="000000" w:themeColor="text1"/>
        </w:rPr>
        <w:fldChar w:fldCharType="separate"/>
      </w:r>
      <w:r w:rsidR="00A6678D" w:rsidRPr="00A6678D">
        <w:rPr>
          <w:rFonts w:ascii="Times New Roman" w:hAnsi="Times New Roman" w:cs="Times New Roman"/>
          <w:noProof/>
        </w:rPr>
        <w:t xml:space="preserve">Aguirre-Muñoz, A. 2011. Island restoration in Mexico: ecological outcomes after systematic eradications of invasive mammals. Pages 250–258 </w:t>
      </w:r>
      <w:r w:rsidR="00A6678D" w:rsidRPr="00A6678D">
        <w:rPr>
          <w:rFonts w:ascii="Times New Roman" w:hAnsi="Times New Roman" w:cs="Times New Roman"/>
          <w:i/>
          <w:iCs/>
          <w:noProof/>
        </w:rPr>
        <w:t>in</w:t>
      </w:r>
      <w:r w:rsidR="00A6678D" w:rsidRPr="00A6678D">
        <w:rPr>
          <w:rFonts w:ascii="Times New Roman" w:hAnsi="Times New Roman" w:cs="Times New Roman"/>
          <w:noProof/>
        </w:rPr>
        <w:t xml:space="preserve"> D. R. Veicht, C.R.; Clout, M.N.; Towns, editor. Island invasives: eradication and management. IUCN, Gland, Switzerland.</w:t>
      </w:r>
    </w:p>
    <w:p w14:paraId="0D238BAC"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Aguirre-Muñoz, A., D. A. Croll, C. J. Donlan, R. W. Henry, M. A. Hermosillo, G. R. Howald, B. S. Keitt, L. Luna-Mendoza, M. Rodríguez-Malagón, L. M. Salas-Flores, A. Samaniego-Herrera, J. A. Sanchez-Pacheco, J. Sheppard, B. R. Tershy, J. Toro-Benito, S. Wolf, and B. Wood. 2008. High-impact conservation: Invasive mammal eradications from the islands of Western México. Ambio 37:101–107.</w:t>
      </w:r>
    </w:p>
    <w:p w14:paraId="27B20F71"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Aguirre-Muñoz, A., A. Samaniego-Herrera, L. Luna-Mendoza, A. Ortiz-Alcaraz, M. Rodríguez-Malagón, M. Félix-Lizárraga, F. Méndez-Sánchez, R. González-Gómez, F. Torres-García, J. C. Hernández-Montoya, J. M. Barredo-Barberena, and M. Latofski-Robles. 2011. Eradications of invasive mammals on islands in Mexico: the roles of history and the collaboration between government agencies, local communities and a non-government organisation. Island invasives: eradication and managemen:386–394.</w:t>
      </w:r>
    </w:p>
    <w:p w14:paraId="7507203D"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 xml:space="preserve">Alava, J. J., C. Palomera, L. Bendell, and P. S. Ross. 2014. Pollution as an Emerging Threat for the Conservation of the Galapagos Marine Reserve: Environmental Impacts and Management Perspectives. Pages 247–283 </w:t>
      </w:r>
      <w:r w:rsidRPr="00A6678D">
        <w:rPr>
          <w:rFonts w:ascii="Times New Roman" w:hAnsi="Times New Roman" w:cs="Times New Roman"/>
          <w:i/>
          <w:iCs/>
          <w:noProof/>
        </w:rPr>
        <w:t>in</w:t>
      </w:r>
      <w:r w:rsidRPr="00A6678D">
        <w:rPr>
          <w:rFonts w:ascii="Times New Roman" w:hAnsi="Times New Roman" w:cs="Times New Roman"/>
          <w:noProof/>
        </w:rPr>
        <w:t xml:space="preserve"> J. Denkinger and L. Vinueza, editors. The Galapagos Marine Reserve: A Dynamic Social-Ecological System. Springer International Publishing, Cham.</w:t>
      </w:r>
    </w:p>
    <w:p w14:paraId="2D6CBB39"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Becerra, P. I., and R. O. Bustamante. 2009. The effect of herbivory on seedling survival of the invasive exotic species Pinus radiata and Eucalyptus globulus in a Mediterranean ecosystem of Central Chile. Forest Ecology and Management 256:1573–1578.</w:t>
      </w:r>
    </w:p>
    <w:p w14:paraId="3F57454F"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Beltrán-Beck, B., F. J. García, and C. Gortázar. 2012. Raccoons in Europe: Disease hazards due to the establishment of an invasive species. European Journal of Wildlife Research 58:5–15.</w:t>
      </w:r>
    </w:p>
    <w:p w14:paraId="120ACC1B"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Beltran, R. S., N. Kreidler, D. H. Van Vuren, S. a. Morrison, E. S. Zavaleta, K. Newton, B. R. Tershy, and D. a. Croll. 2014. Passive Recovery of Vegetation after Herbivore Eradication on Santa Cruz Island, California. Restoration Ecology 22:790–797.</w:t>
      </w:r>
    </w:p>
    <w:p w14:paraId="4344EA92"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Benedicto Royuela, J., S. Herviás Parejo, A. De La Cruz, P. Geraldes, L. T. Costa, and A. Gil. 2019. The socio-economic impact of conservation: The Safe Islands for Seabirds LIFE project. Oryx 53:109–116.</w:t>
      </w:r>
    </w:p>
    <w:p w14:paraId="45E7B6CF"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Billeter, S. A., J. N. Borchert, L. A. Atiku, J. T. Mpanga, K. L. Gage, and M. Y. Kosoy. 2014. Bartonella species in invasive rats and indigenous rodents from Uganda. Vector-Borne and Zoonotic Diseases 14:182–188.</w:t>
      </w:r>
    </w:p>
    <w:p w14:paraId="655CFFE2"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BirdLife International. 2019. Unintentional effects of fishing &amp; harvesting aquatic resources.</w:t>
      </w:r>
    </w:p>
    <w:p w14:paraId="3BD17564"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Blackie, H. M., J. W. B. Mackay, W. J. Allen, D. H. V. Smith, B. Barrett, B. I. Whyte, E. C. Murphy, J. Ross, L. Shapiro, S. Ogilvie, S. Sam, D. Macmorran, S. Inder, and C. T. Eason. 2014. Innovative developments for long-term mammalian pest control. Pest Management Science 70:345–351.</w:t>
      </w:r>
    </w:p>
    <w:p w14:paraId="6D915391"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Blasdell, K., F. Bordes, K. Chaisiri, Y. Chaval, J. Claude, J. F. Cosson, A. Latinne, J. Michaux, S. Morand, M. Pagès, and A. Tran. 2015. Progress on research on rodents and rodent-borne zoonoses in South-east Asia. Wildlife Research 42:98–107.</w:t>
      </w:r>
    </w:p>
    <w:p w14:paraId="7B3FE47F"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Brook, B. W. 2008. Synergies between climate change, extinctions and invasive vertebrates. Wildlife Research 35:249–252.</w:t>
      </w:r>
    </w:p>
    <w:p w14:paraId="5D2DE208"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Broome, K. 2009. Beyond kapiti - a decade of invasive rodent eradications from new zealand islands. Biodiversity 10:14–24.</w:t>
      </w:r>
    </w:p>
    <w:p w14:paraId="44453D86"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 xml:space="preserve">Brown, M. B., T. A. Schlacher, D. S. Schoeman, M. A. Weston, C. M. Huijbers, A. D. Olds, and </w:t>
      </w:r>
      <w:r w:rsidRPr="00A6678D">
        <w:rPr>
          <w:rFonts w:ascii="Times New Roman" w:hAnsi="Times New Roman" w:cs="Times New Roman"/>
          <w:noProof/>
        </w:rPr>
        <w:lastRenderedPageBreak/>
        <w:t>R. M. Connolly. 2015. Invasive carnivores alter ecological function and enhance complementarity in scavenger assemblages on ocean beaches. Ecology 96:2715–2725.</w:t>
      </w:r>
    </w:p>
    <w:p w14:paraId="2F5617BF"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Butchart, S. H. M. 2008. Red List Indices to measure the sustainability of species use and impacts of invasive alien species. Bird Conservation International 18:S245–S262.</w:t>
      </w:r>
    </w:p>
    <w:p w14:paraId="14D9BA9A"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Campbell, K. J., J. Beek, C. T. Eason, A. S. Glen, J. Godwin, F. Gould, N. D. Holmes, G. R. Howald, F. M. Madden, J. B. Ponder, D. W. Threadgill, A. S. Wegmann, and G. S. Baxter. 2015. The next generation of rodent eradications: Innovative technologies and tools to improve species specificity and increase their feasibility on islands. Biological Conservation 185:47–58.</w:t>
      </w:r>
    </w:p>
    <w:p w14:paraId="7FD872F8"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Capizzi, D., S. Bertolino, and A. Mortelliti. 2014. Rating the rat: Global patterns and research priorities in impacts and management of rodent pests. Mammal Review 44:148–162.</w:t>
      </w:r>
    </w:p>
    <w:p w14:paraId="2DBF89CF"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Carrion, V., C. J. Donlan, K. J. Campbell, C. Lavoie, and F. Cruz. 2011. Archipelago-wide island restoration in the galápagos islands: Reducing costs of invasive mammal eradication programs and reinvasion risk. PLoS ONE 6.</w:t>
      </w:r>
    </w:p>
    <w:p w14:paraId="28168B77"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Cassan, C., C. A. Diagne, C. Tatard, P. Gauthier, A. Dalecky, K. Bâ, M. Kane, Y. Niang, M. Diallo, A. Sow, C. Brouat, and A. L. Bañuls. 2018. Leishmania major and Trypanosoma lewisi infection in invasive and native rodents in Senegal. PLoS Neglected Tropical Diseases 12:1–21.</w:t>
      </w:r>
    </w:p>
    <w:p w14:paraId="03F10FBA"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Castley, J. G., A. F. Boshoff, and G. I. H. Kerley. 2001. Compromising South Africa’s natural biodiversity - Inappropriate herbivore introductions. South African Journal of Science 97:344–348.</w:t>
      </w:r>
    </w:p>
    <w:p w14:paraId="51F50E96"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Clout, M. N. 2002. Biodiversity loss caused by invasive alien vertebrates. Zeitschrift fur Jagdwissenschaft 48:51–58.</w:t>
      </w:r>
    </w:p>
    <w:p w14:paraId="413D7D4A"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Coomes, D. A., R. B. Allen, D. M. Forsyth, and W. G. Lee. 2003. Factors preventing the recovery of New Zealand forests following control of invasive deer. Conservation Biology 17:450–459.</w:t>
      </w:r>
    </w:p>
    <w:p w14:paraId="6EFC4FD4"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Croll, D. A., K. M. Newton, M. McKown, N. Holmes, J. C. Williams, H. S. Young, S. Buckelew, C. A. Wolf, G. Howald, M. F. Bock, J. A. Curl, and B. R. Tershy. 2016. Passive recovery of an island bird community after rodent eradication. Biological Invasions 18.</w:t>
      </w:r>
    </w:p>
    <w:p w14:paraId="608F70F3"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Crooks, J. A. 2002. Characterizing ecosystem-level consequences of biological invasions: The role of ecosystem engineers. Oikos 97:153–166.</w:t>
      </w:r>
    </w:p>
    <w:p w14:paraId="79ECFAB5"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Deplazes, P., F. van Knapen, A. Schweiger, and P. A. M. Overgaauw. 2011. Role of pet dogs and cats in the transmission of helminthic zoonoses in Europe, with a focus on echinococcosis and toxocarosis. Veterinary Parasitology 182:41–53.</w:t>
      </w:r>
    </w:p>
    <w:p w14:paraId="135AE931"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DIISE. 2018. The Database of Island Invasive Species Eradications, developed by Island Conservation, Coastal Conservation Action Laboratory UCSC, IUCN SSC Invasive Species Specialist Group, University of Auckland and Landcare Research New Zealand. http://diise.islandconservation.org/.</w:t>
      </w:r>
    </w:p>
    <w:p w14:paraId="21B0C4F5"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Doherty, T. S., A. S. Glen, D. G. Nimmo, E. G. Ritchie, and C. R. Dickman. 2016. Invasive predators and global biodiversity loss. Proceedings of the National Academy of Sciences of the United States of America 113:11261–11265.</w:t>
      </w:r>
    </w:p>
    <w:p w14:paraId="1580C1C6"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Donlan, C. J., D. A. Croll, and B. R. Tershy. 2003a. Islands, exotic herbivores, and invasive plants: Their roles in Coastal California restoration. Restoration Ecology 11:524–530.</w:t>
      </w:r>
    </w:p>
    <w:p w14:paraId="07968972"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Donlan, C. J., B. R. Tershy, K. Campbell, and F. Cruz. 2003b. Research for Requiems: The Need for More Collaborative Action in Eradication of Invasive Species. Conservation Biology 17:1850–1851.</w:t>
      </w:r>
    </w:p>
    <w:p w14:paraId="35239CF4"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lastRenderedPageBreak/>
        <w:t>Donlan, C. J., B. R. Tershy, and D. A. Croll. 2002. Islands and introduced herbivores: Conservation action as ecosystem experimentation. Journal of Applied Ecology 39:235–246.</w:t>
      </w:r>
    </w:p>
    <w:p w14:paraId="3248FB82"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Donlan, C. J., and C. Wilcox. 2008. Integrating invasive mammal eradications and biodiversity offsets for fisheries bycatch: Conservation opportunities and challenges for seabirds and sea turtles. Biological Invasions 10:1053–1060.</w:t>
      </w:r>
    </w:p>
    <w:p w14:paraId="34E56CEA"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Drake, D. R., and T. L. Hunt. 2009. Invasive rodents on islands: Integrating historical and contemporary ecology. Biological Invasions 11:1483–1487.</w:t>
      </w:r>
    </w:p>
    <w:p w14:paraId="609019CF"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Duffy, D. C., and P. Capece. 2012. Biology and Impacts of Pacific Island Invasive Species. 7. The Domestic Cat ( Felis catus ) 1. Pacific Science 66:173–212.</w:t>
      </w:r>
    </w:p>
    <w:p w14:paraId="133AFB02"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Ford, M. A., and J. B. Grace. 1998. Effects of vertebrate herbivores on soil processes, plant biomass, litter accumulation and soil elevation changes in a coastal marsh. Journal of Ecology 86:974–982.</w:t>
      </w:r>
    </w:p>
    <w:p w14:paraId="58BC4947"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Fukami, T., D. A. Wardle, P. J. Bellingham, C. P. H. Mulder, D. R. Towns, G. W. Yeates, K. I. Bonner, M. S. Durrett, M. N. Grant-Hoffman, and W. M. Williamson. 2006. Above- and below-ground impacts of introduced predators in seabird-dominated island ecosystems. Ecology Letters 9:1299–1307.</w:t>
      </w:r>
    </w:p>
    <w:p w14:paraId="4A54028F"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Gedan, K. B., C. M. Crain, and M. D. Bertness. 2009. Small-mammal herbivore control of secondary succession in New England tidal marshes. Ecology 90:430–440.</w:t>
      </w:r>
    </w:p>
    <w:p w14:paraId="13F2F2A8"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Glen, A. S., R. Atkinson, K. J. Campbell, E. Hagen, N. D. Holmes, B. S. Keitt, J. P. Parkes, A. Saunders, J. Sawyer, and H. Torres. 2013a. Eradicating multiple invasive species on inhabited islands: the next big step in island restoration? Biological Invasions 15:2589–2603.</w:t>
      </w:r>
    </w:p>
    <w:p w14:paraId="6A53CE2D"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Glen, A. S., R. P. Pech, and A. E. Byrom. 2013b. Connectivity and invasive species management: Towards an integrated landscape approach. Biological Invasions 15:2127–2138.</w:t>
      </w:r>
    </w:p>
    <w:p w14:paraId="2C198890"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Gomez, J. J., A. C. Gozzi, D. W. Macdonald, E. Gallo, D. Centrón, and M. H. Cassini. 2010. Interactions of exotic and native carnivores in an ecotone, the coast of the Beagle Channel, Argentina. Polar Biology 33:1371–1378.</w:t>
      </w:r>
    </w:p>
    <w:p w14:paraId="6A98CB96"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Góralska, K., and J. Błaszkowska. 2015. Parasites and fungi as risk factors for human and animal health. Annals of parasitology 61:207–220.</w:t>
      </w:r>
    </w:p>
    <w:p w14:paraId="02C71A14"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Grant-Hoffman, M. N., C. P. Mulder, and P. J. Bellingham. 2010. Invasive rats alter woody seedling composition on seabird-dominated islands in New Zealand. Oecologia 163:449–460.</w:t>
      </w:r>
    </w:p>
    <w:p w14:paraId="2B4029EA"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Hämäläinen, A., K. Broadley, A. Droghini, J. A. Haines, C. T. Lamb, S. Boutin, and S. Gilbert. 2017. The ecological significance of secondary seed dispersal by carnivores. Ecosphere 8.</w:t>
      </w:r>
    </w:p>
    <w:p w14:paraId="5794B5C6"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Harrington, L. A., A. L. Harrington, N. Yamaguchi, M. D. Thom, P. Ferreras, T. R. Windham, and D. W. Macdonald. 2009. The impact of native competitors on an alien invasive: Temporal niche shifts to avoid interspecific aggression? Ecology 90:1207–1216.</w:t>
      </w:r>
    </w:p>
    <w:p w14:paraId="7F0E4D82"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Holdaway, R. J., L. E. Burrows, F. E. Carswell, and A. E. Marburg. 2012. Potential for invasive mammalian herbivore control to result in measurable carbon gains. New Zealand Journal of Ecology 36:252–264.</w:t>
      </w:r>
    </w:p>
    <w:p w14:paraId="62C07999"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Hollings, T., M. Jones, N. Mooney, and H. McCallum. 2016. Disease-induced decline of an apex predator drives invasive dominated states and threatens biodiversity. Ecology 97:394–405.</w:t>
      </w:r>
    </w:p>
    <w:p w14:paraId="0D05C8B6"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Holmes, N. D., R. Griffiths, M. Pott, A. Alifano, D. Will, A. S. Wegmann, and J. C. Russell. 2015. Factors associated with rodent eradication failure. Biological Conservation 185:8–16.</w:t>
      </w:r>
    </w:p>
    <w:p w14:paraId="31F1B7B3"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lastRenderedPageBreak/>
        <w:t>Howald, G., C. J. Donlan, J. P. Galván, J. C. Russell, J. Parkes, A. Samaniego, Y. Wang, D. Veitch, P. Genovesi, M. Pascal, A. Saunders, and B. Tershy. 2007. Invasive rodent eradication on islands. Conservation biology : the journal of the Society for Conservation Biology 21:1258–68.</w:t>
      </w:r>
    </w:p>
    <w:p w14:paraId="21210FBE"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Hulme, P. E. 2014. Invasive species challenge the global response to emerging diseases. Trends in Parasitology 30:267–270.</w:t>
      </w:r>
    </w:p>
    <w:p w14:paraId="0C65AAF7"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Hulme, P. E., M. Vilà, W. Nentwig, and P. Pyšek. 2010. Are the aliens taking over? Invasive species and their increasing impact on biodiversity.</w:t>
      </w:r>
    </w:p>
    <w:p w14:paraId="335C8F63"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Iriarte, J. A., G. A. Lobos, and F. M. Jaksic. 2005. Invasive vertebrate species in Chile and their control and monitoring by governmental agencies. Revista Chilena de Historia Natural 78:143–154.</w:t>
      </w:r>
    </w:p>
    <w:p w14:paraId="00F591A6"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Jojola, S., G. Witmer, and D. Nolte. 2005. Nutria: An Invasive Rodent Pest or Valued Resource? Proceedings of the 11th Wildlife Damage Management Conference:120–126.</w:t>
      </w:r>
    </w:p>
    <w:p w14:paraId="67E1481F"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Jones, H. P., N. D. Holmes, S. H. M. Butchart, B. R. Tershy, P. J. Kappes, I. Corkery, A. Aguirre-Muñoz, D. P. Armstrong, E. Bonnaud, A. A. Burbidge, K. Campbell, F. Courchamp, P. E. Cowan, R. J. Cuthbert, S. Ebbert, P. Genovesi, G. R. Howald, B. S. Keitt, S. W. Kress, C. M. Miskelly, S. Oppel, S. Poncet, M. J. Rauzon, G. Rocamora, J. C. Russell, A. Samaniego-Herrera, P. J. Seddon, D. R. Spatz, D. R. Towns, and D. A. Croll. 2016. Invasive mammal eradication on islands results in substantial conservation gains. Proceedings of the National Academy of Sciences 113:4033–4038.</w:t>
      </w:r>
    </w:p>
    <w:p w14:paraId="4898BDA8"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Jones, H. P., B. R. Tershy, E. S. Zavaleta, D. A. Croll, B. S. Keitt, M. E. Finkelstein, and G. R. Howald. 2008. Severity of the effects of invasive rats on seabirds: A global review. Conservation Biology 22:16–26.</w:t>
      </w:r>
    </w:p>
    <w:p w14:paraId="26B0A6A8"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Julius, Rolanda, S., D. Bastos, Armanda, T. Chimimba, Christian, and H. Brettschneider. 2012. Dynamics of Rodent-Borne Zoonotic Diseases and Their Reservoir Hosts: Invasive Rattus in South Africa. Proceedings of the Vertebrate Pest Conference 25:261–266.</w:t>
      </w:r>
    </w:p>
    <w:p w14:paraId="61F63F97"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Kapos, V., J. Rhind, M. Edwards, M. F. Price, and C. Ravilious. 2000. Developing a map of the world’s mountain forests; Forests in sustainable mountain development: a state of knowledge report for 2000. Pages 1–6 CAB International, Wallingford: 4-9.</w:t>
      </w:r>
    </w:p>
    <w:p w14:paraId="3EF2656A"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Kardol, P., and D. A. Wardle. 2010. How understanding aboveground-belowground linkages can assist restoration ecology. Trends in Ecology and Evolution 25:670–679.</w:t>
      </w:r>
    </w:p>
    <w:p w14:paraId="74295A03"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Kark, S., A. Tulloch, A. Gordon, T. Mazor, N. Bunnefeld, and N. Levin. 2015. Cross-boundary collaboration: Key to the conservation puzzle. Current Opinion in Environmental Sustainability 12:12–24.</w:t>
      </w:r>
    </w:p>
    <w:p w14:paraId="716F225E"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 xml:space="preserve">Keitt, B., K. Campbell, A. Saunders, M. Clout, Y. Wang, R. Heinz, K. Newton, B. Tershy, I. Conservation, S. Cruz, W. M. Centre, I. Species, S. Group, T. Campus, and P. Bag. 2011. The Global Islands Invasive Vertebrate Eradication Database: A tool to improve and facilitate restoration of island ecosystems. Pages 74–77 </w:t>
      </w:r>
      <w:r w:rsidRPr="00A6678D">
        <w:rPr>
          <w:rFonts w:ascii="Times New Roman" w:hAnsi="Times New Roman" w:cs="Times New Roman"/>
          <w:i/>
          <w:iCs/>
          <w:noProof/>
        </w:rPr>
        <w:t>in</w:t>
      </w:r>
      <w:r w:rsidRPr="00A6678D">
        <w:rPr>
          <w:rFonts w:ascii="Times New Roman" w:hAnsi="Times New Roman" w:cs="Times New Roman"/>
          <w:noProof/>
        </w:rPr>
        <w:t xml:space="preserve"> M. N. Clout and D. R. Towns, editors. Island invasives: eradication and management. IUCN, Gland, Switzerland.</w:t>
      </w:r>
    </w:p>
    <w:p w14:paraId="4F8664F6"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Keitt, B. S., C. Wilcox, B. R. Tershy, D. a Croll, and C. J. Donlan. 2002. The effect of feral cats on the population viability of black-vented shearwaters (Puffinus opisthomelas) on NativN1ad Island, Mexico. Animal Conservation 5:217–223.</w:t>
      </w:r>
    </w:p>
    <w:p w14:paraId="71DC1219"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Khlyap, L. A., and A. A. Warshavsky. 2010. Synanthropic and agrophilic rodents as invasive alien mammals. Russian Journal of Biological Invasions 1:301–312.</w:t>
      </w:r>
    </w:p>
    <w:p w14:paraId="22AF3608"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 xml:space="preserve">Lapidge, S., S. Humphrys, and D. Dall. 2004. Global harmonisation in the field of invasive species management product development. Page </w:t>
      </w:r>
      <w:r w:rsidRPr="00A6678D">
        <w:rPr>
          <w:rFonts w:ascii="Times New Roman" w:hAnsi="Times New Roman" w:cs="Times New Roman"/>
          <w:i/>
          <w:iCs/>
          <w:noProof/>
        </w:rPr>
        <w:t>in</w:t>
      </w:r>
      <w:r w:rsidRPr="00A6678D">
        <w:rPr>
          <w:rFonts w:ascii="Times New Roman" w:hAnsi="Times New Roman" w:cs="Times New Roman"/>
          <w:noProof/>
        </w:rPr>
        <w:t xml:space="preserve"> G. W. Witmer, W. C. Pitt, and K. A. </w:t>
      </w:r>
      <w:r w:rsidRPr="00A6678D">
        <w:rPr>
          <w:rFonts w:ascii="Times New Roman" w:hAnsi="Times New Roman" w:cs="Times New Roman"/>
          <w:noProof/>
        </w:rPr>
        <w:lastRenderedPageBreak/>
        <w:t>Fagerstone, editors. Managing vertebrate invasive species. Fort Collins, CO, USA.</w:t>
      </w:r>
    </w:p>
    <w:p w14:paraId="36B88894"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Luna-Mendoza, L., A. Aguirre-Muñoz, F. Méndez-sánchez, J. C. Hernández-Montoya, M. Torres-Aguilar, J. S. García-Carreón, O. Puebla-Hernández, S. Luvianos-Colín, and A. Cárdenas-Tapia. 2019. Ten years after feral goat eradication : the active restoration of plant communities on Guadalupe Island , Mexico. Proceeding of the Island Conference:567–571.</w:t>
      </w:r>
    </w:p>
    <w:p w14:paraId="605C6E08"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Lv, S., Y. Zhang, H. Liu, L. Hu, K. Yang, P. Steinmann, Z. Chen, and X. Zhou. 2009. Invasive Snails and an Emerging Infectious Disease : Results from the First National Survey on Angiostrongylus cantonensis in China. PLoS Neglected Tropical Diseases 3:1–8.</w:t>
      </w:r>
    </w:p>
    <w:p w14:paraId="54F601B2"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Mainka, S. A., and G. W. Howard. 2010. Climate change and invasive species: Double jeopardy. Integrative Zoology 5:102–111.</w:t>
      </w:r>
    </w:p>
    <w:p w14:paraId="7CABECDE"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Martinez, B., A. Dehgan, B. Zamft, D. Baisch, C. McCormick, A. J. Giordano, R. Aicher, S. Selbe, and C. Hoffman. 2018. Advancing federal capacities for the early detection of and rapid response to invasive species through technology innovation. National Invasive Species Council Secretariat: Washington, D.C.:1–43.</w:t>
      </w:r>
    </w:p>
    <w:p w14:paraId="6AAAED5E"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McCarthy, J., and T. A. Moore. 2000. Emerging helminth zoonoses. International Journal for Parasitology 30:1351–1359.</w:t>
      </w:r>
    </w:p>
    <w:p w14:paraId="3A611E91"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McClelland, G. T. W., R. Altwegg, R. J. Van Aarde, S. Ferreira, A. E. Burger, and S. L. Chown. 2018. Climate change leads to increasing population density and impacts of a key island invader: Ecological Applications 28:212–224.</w:t>
      </w:r>
    </w:p>
    <w:p w14:paraId="3ADE7E56"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Medina, F. M., E. Bonnaud, E. Vidal, and M. Nogales. 2014. Underlying impacts of invasive cats on islands: Not only a question of predation. Biodiversity and Conservation 23.</w:t>
      </w:r>
    </w:p>
    <w:p w14:paraId="04A18509"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Meerburg, B. G., G. R. Singleton, and A. Kijlstra. 2009. Rodent-borne diseases and their risks for public health Rodent-borne diseases and their risks for public health. Page Critical Reviews in Microbiology.</w:t>
      </w:r>
    </w:p>
    <w:p w14:paraId="43794AF0"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Morand, S., F. Bordes, H. W. Chen, J. Claude, J. F. Cosson, M. Galan, G. A. Czirják, A. D. Greenwood, A. Latinne, J. Michaux, and A. Ribas. 2015. Global parasite and Rattus rodent invasions: The consequences for rodent-borne diseases. Integrative Zoology 10:409–423.</w:t>
      </w:r>
    </w:p>
    <w:p w14:paraId="1F3CBA86"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Mountain Partnership. 2019. Mountain Partnership. Working together for mountain peoples and environments. http://www.fao.org/mountain-partnership/en/.</w:t>
      </w:r>
    </w:p>
    <w:p w14:paraId="77CC5847"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Nattrass, N., J. Stephens, and J. J. Loubser. 2019. Animal welfare and ecology in the contested ethics of rodent control in Cape Town. Journal of Urban Ecology 5:1–10.</w:t>
      </w:r>
    </w:p>
    <w:p w14:paraId="7563A56F"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Nogales, M., J. L. Rodríguez-Luengo, and P. Marrero. 2006. Ecological effects and distribution of invasive non-native mammals on the Canary Islands. Mammal Review 36:49–65.</w:t>
      </w:r>
    </w:p>
    <w:p w14:paraId="0ACE8718"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Norbury, G. L., R. P. Pech, A. E. Byrom, and J. Innes. 2015. Density-impact functions for terrestrial vertebrate pests and indigenous biota: Guidelines for conservation managers. Biological Conservation 191:409–420.</w:t>
      </w:r>
    </w:p>
    <w:p w14:paraId="30214942"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Parker, J. D., D. E. Burkepile, and M. E. Hayt. 2006. Opposing effects of native and exotic herbivores on plant invasions. Science 311:1459–1461.</w:t>
      </w:r>
    </w:p>
    <w:p w14:paraId="080442E5"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Pascoe, S., C. Wilcox, and C. J. Donlan. 2011. Biodiversity offsets: A cost-effective interim solution to seabird bycatch in fisheries? PLoS ONE 6.</w:t>
      </w:r>
    </w:p>
    <w:p w14:paraId="2686FD78"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Peltzer, D. A., R. B. Allen, G. M. Lovett, D. Whitehead, and D. A. Wardle. 2010. Effects of biological invasions on forest carbon sequestration. Global Change Biology 16:732–746.</w:t>
      </w:r>
    </w:p>
    <w:p w14:paraId="23B6B9DD"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Pimentel, D., R. Zuniga, and D. Morrison. 2005. Update on the environmental and economic costs associated with alien-invasive species in the United States. Ecological Economics 52:273–288.</w:t>
      </w:r>
    </w:p>
    <w:p w14:paraId="340521E3"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 xml:space="preserve">Pyke, C. R., R. Thomas, R. D. Porter, J. J. Hellmann, J. S. Dukes, D. M. Lodge, and G. </w:t>
      </w:r>
      <w:r w:rsidRPr="00A6678D">
        <w:rPr>
          <w:rFonts w:ascii="Times New Roman" w:hAnsi="Times New Roman" w:cs="Times New Roman"/>
          <w:noProof/>
        </w:rPr>
        <w:lastRenderedPageBreak/>
        <w:t>Chavarria. 2008. Current practices and future opportunities for policy on climate change and invasive species. Conservation Biology 22:585–592.</w:t>
      </w:r>
    </w:p>
    <w:p w14:paraId="43F1C9B2"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Robertson, P. A., T. Adriaens, A. Caizergues, P. A. Cranswick, K. Devos, C. Gutiérrez-Expósito, I. Henderson, B. Hughes, A. C. Mill, and G. C. Smith. 2014. Towards the European eradication of the North American ruddy duck. Biological Invasions 17:9–12.</w:t>
      </w:r>
    </w:p>
    <w:p w14:paraId="2DD38F67"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Russell, J. C., and N. D. Holmes. 2015. Tropical island conservation: Rat eradication for species recovery. Biological Conservation 185:1–7.</w:t>
      </w:r>
    </w:p>
    <w:p w14:paraId="28311ED0"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Russell, J. C., J. Y. Meyer, N. D. Holmes, and S. Pagad. 2017. Invasive alien species on islands: Impacts, distribution, interactions and management. Environmental Conservation 44:359–370.</w:t>
      </w:r>
    </w:p>
    <w:p w14:paraId="7F77D478"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Samaniego-Herrera, A., and A. Aguirre-Munoz. 2011. Rodent eradications on Mexican islands: advances and challenges. Pages 350–355 Island invasives: eradication and management.</w:t>
      </w:r>
    </w:p>
    <w:p w14:paraId="331F07AA"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Samaniego-Herrera, A., M. N. Clout, A. Aguirre-Muñoz, and J. C. Russell. 2017. Rodent eradications as ecosystem experiments: a case study from the Mexican tropics. Biological Invasions 19:1761–1779.</w:t>
      </w:r>
    </w:p>
    <w:p w14:paraId="4875D934"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Samaniego-Herrera, A., J. , C. Russell, D. Choquenot, A. Aguirre-Muñoz, and M. , N. Clout. 2014. Invasive Rodents on Tropical Islands: Eradication Recommendations from Mexico. Proceedings of the Vertebrate Pest Conference 26.</w:t>
      </w:r>
    </w:p>
    <w:p w14:paraId="6C1A6E90"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Saunders, G., and C. (eds) Lane. 2011. 15th Australasian Vertebrate Pest Conference Sydney, June 2011. Page Security from the impact of vertebrate pest animals.</w:t>
      </w:r>
    </w:p>
    <w:p w14:paraId="4D107FE0"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Saunders, G., S. Lapidge, W. Fulton, E. Murphy, S. Sarre, C. Buller, and T. Peacock. 2007. The Invasive Animals CRC: a New Research Initiative for Managing some old Problems. Pest or Guest:88–93.</w:t>
      </w:r>
    </w:p>
    <w:p w14:paraId="0D068E11"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Semenza, J. C., and B. Menne. 2009. Climate change and infectious diseases in Europe. The Lancet Infectious Diseases 9:365–375.</w:t>
      </w:r>
    </w:p>
    <w:p w14:paraId="4F84E5E9"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Shiels, A. B., W. C. Pitt, R. T. Sugihara, and G. W. Witmer. 2014. Biology and Impacts of Pacific Island Invasive Species. The Black Rat, Rattus rattus (Rodentia, Muridae). Pacific Science 68:1–99.</w:t>
      </w:r>
    </w:p>
    <w:p w14:paraId="3874FD47"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Simberloff, D., and D. Simberloff. 2010. Invasive species.</w:t>
      </w:r>
    </w:p>
    <w:p w14:paraId="7B255A44"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Spatz, D. R., N. D. Holmes, B. G. Reguero, S. H. M. Butchart, B. R. Tershy, and D. A. Croll. 2017. Managing Invasive Mammals to Conserve Globally Threatened Seabirds in a Changing Climate.</w:t>
      </w:r>
    </w:p>
    <w:p w14:paraId="6304DBDC"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Stenseth, N. C., H. Leirs, A. Skonhoft, S. A. Davis, R. P. Pech, H. P. Andreassen, G. R. Singleton, M. Lima, R. M. Machangu, R. H. Makundi, Z. Zhang, P. R. Brown, D. Shi, and X. Wan. 2003. Mice and rats : the dynamics and bio- economics of agricultural rodents pests In a nutshell : Frontiers in Ecology and the Environment 1:367–375.</w:t>
      </w:r>
    </w:p>
    <w:p w14:paraId="4C737C2F"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Süld, K., H. Valdmann, L. Laurimaa, E. Soe, J. Davison, and U. Saarma. 2014. An invasive vector of zoonotic disease sustained by anthropogenic resources: The raccoon dog in Northern Europe. PLoS ONE 9.</w:t>
      </w:r>
    </w:p>
    <w:p w14:paraId="056FFB2F"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Sutor, A., S. Schwarz, and F. J. Conraths. 2014. The biological potential of the raccoon dog (Nyctereutes procyonoides, Gray 1834) as an invasive species in Europe-new risks for disease spread? Acta Theriologica 59:49–59.</w:t>
      </w:r>
    </w:p>
    <w:p w14:paraId="3403E0F7"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Tappe, D., and D. W. Büttner. 2009. Diagnosis of human visceral pentastomiasis. PLoS Neglected Tropical Diseases 3.</w:t>
      </w:r>
    </w:p>
    <w:p w14:paraId="13DA21A0"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 xml:space="preserve">Tershy, B. R., C. J. Donlan, B. S. Keitt, D. a Croll, J. a Sanchez, B. Wood, M. a Hermosillo, G. R. Howald, and N. Biavaschi. 2002. Island conservation in north-west Mexico: a </w:t>
      </w:r>
      <w:r w:rsidRPr="00A6678D">
        <w:rPr>
          <w:rFonts w:ascii="Times New Roman" w:hAnsi="Times New Roman" w:cs="Times New Roman"/>
          <w:noProof/>
        </w:rPr>
        <w:lastRenderedPageBreak/>
        <w:t>conservation model integrating research, education and exotic mammal eradication. Turning the Tide: the eradication of invasive species.:293–300.</w:t>
      </w:r>
    </w:p>
    <w:p w14:paraId="3248ABF3"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Thibault, M., F. Brescia, H. Jourdan, and E. Vidal. 2017. Invasive rodents, an overlooked threat for skinks in a tropical island hotspot of biodiversity. New Zealand Journal of Ecology 41:74–83.</w:t>
      </w:r>
    </w:p>
    <w:p w14:paraId="28F9654B"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Thompson, R. C. A. 2015. Neglected zoonotic helminths: Hymenolepis nana, Echinococcus canadensis and Ancylostoma ceylanicum. Clinical Microbiology and Infection 21:426–432.</w:t>
      </w:r>
    </w:p>
    <w:p w14:paraId="02AFA3D3"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Thompson, R. C. A., and A. Smith. 2011. Zoonotic enteric protozoa. Veterinary Parasitology 182:70–78.</w:t>
      </w:r>
    </w:p>
    <w:p w14:paraId="272C8442"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Threatened Island Biodiversity Database Partners. 2019. The Threatened Island Biodiversity Database. http://tib.islandconservation.org/.</w:t>
      </w:r>
    </w:p>
    <w:p w14:paraId="71DAB111"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UNESCO. 2019. Natural Heritage.</w:t>
      </w:r>
    </w:p>
    <w:p w14:paraId="6DC7C8E4"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United Nations. 2013. World Economic Situation and Prospects 2014: Global economic outlook. https://www.un.org/en/development/desa/policy/wesp/wesp_current/2014wesp_country_classification.pdf.</w:t>
      </w:r>
    </w:p>
    <w:p w14:paraId="2472CC70"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United Nations. 2015. Transforming our world: the 2030 Agenda for Sustainable Development. United Nations Sustainable knowledge platform. Sustainable Development Goals:1-40a.</w:t>
      </w:r>
    </w:p>
    <w:p w14:paraId="6319B708"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United Nations. 2019. World Economic Situation and Prospects. Page Journal of Chemical Information and Modeling.</w:t>
      </w:r>
    </w:p>
    <w:p w14:paraId="6C8F9FA5"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Wilcox, C., and C. J. Donlan. 2007. Compensatory mitigation as a solution to fisheries bycatch-biodiversity conservation conflicts. Frontiers in Ecology and the Environment 5:325–331.</w:t>
      </w:r>
    </w:p>
    <w:p w14:paraId="5CEC72CD"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de Wit, L. A., D. A. Croll, B. Tershy, K. M. Newton, D. R. Spatz, N. D. Holmes, and A. M. Kilpatrick. 2017. Estimating Burdens of Neglected Tropical Zoonotic Diseases on Islands with Introduced Mammals. American Journal of Tropical Medicine and Hygiene 96:749–757.</w:t>
      </w:r>
    </w:p>
    <w:p w14:paraId="75FD1808"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Witmer, G. , W., W. C. Pitt, and G. Howald. 2014. Invasive Rodent Ecology, Impacts, and Management with an Emphasis on the United States. Proceedings of the Vertebrate Pest Conference 26.</w:t>
      </w:r>
    </w:p>
    <w:p w14:paraId="098FEAE3"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Witmer, G., G. M. Keirn, N. Hawley, C. Martin, and J. K. Reaser. 2009. Human Dimensions of Invasive Vertebrate Species Management. Wildlife Damage Management Conferences - Proceedings - Paper 141.</w:t>
      </w:r>
    </w:p>
    <w:p w14:paraId="7132C33B"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World Bank Group. 2019. Poverty and Equity Data Portal. http://povertydata.worldbank.org/Poverty/Home.</w:t>
      </w:r>
    </w:p>
    <w:p w14:paraId="43789430"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Zavaleta, E. S., R. J. Hobbs, and H. A. Mooney. 2001. Viewing invasive species removal in a whole-ecosystem context. TRENDS in Ecology and Evolution 16:454–458.</w:t>
      </w:r>
    </w:p>
    <w:p w14:paraId="03D9C2B1"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Zavaleta, E. S., J. R. Pasari, K. B. Hulvey, and G. D. Tilman. 2010. Sustaining multiple ecosystem functions in grassland communities requires higher biodiversity. Proceedings of the National Academy of Sciences of the United States of America 107:1443–6.</w:t>
      </w:r>
    </w:p>
    <w:p w14:paraId="540EBE31" w14:textId="77777777" w:rsidR="00A6678D" w:rsidRPr="00A6678D" w:rsidRDefault="00A6678D" w:rsidP="00A6678D">
      <w:pPr>
        <w:widowControl w:val="0"/>
        <w:autoSpaceDE w:val="0"/>
        <w:autoSpaceDN w:val="0"/>
        <w:adjustRightInd w:val="0"/>
        <w:ind w:left="480" w:hanging="480"/>
        <w:rPr>
          <w:rFonts w:ascii="Times New Roman" w:hAnsi="Times New Roman" w:cs="Times New Roman"/>
          <w:noProof/>
        </w:rPr>
      </w:pPr>
      <w:r w:rsidRPr="00A6678D">
        <w:rPr>
          <w:rFonts w:ascii="Times New Roman" w:hAnsi="Times New Roman" w:cs="Times New Roman"/>
          <w:noProof/>
        </w:rPr>
        <w:t>Zengeya, T., P. Ivey, D. J. Woodford, O. Wey, A. Novoa, R. Shackleton, D. Richardson, and B. van Wilgen. 2017. Managing conflict-generating invasive species in South Africa : Challenges and trade-offs. Bothalia - African Biodiversity &amp; Conservation 47:1–11.</w:t>
      </w:r>
    </w:p>
    <w:p w14:paraId="26EEB513" w14:textId="54A338FD" w:rsidR="0012183E" w:rsidRPr="006159FD" w:rsidRDefault="0012183E" w:rsidP="00A6678D">
      <w:pPr>
        <w:widowControl w:val="0"/>
        <w:autoSpaceDE w:val="0"/>
        <w:autoSpaceDN w:val="0"/>
        <w:adjustRightInd w:val="0"/>
        <w:ind w:left="480" w:hanging="480"/>
        <w:rPr>
          <w:rFonts w:ascii="Times New Roman" w:hAnsi="Times New Roman" w:cs="Times New Roman"/>
          <w:color w:val="000000" w:themeColor="text1"/>
        </w:rPr>
      </w:pPr>
      <w:r w:rsidRPr="006159FD">
        <w:rPr>
          <w:rFonts w:ascii="Times New Roman" w:hAnsi="Times New Roman" w:cs="Times New Roman"/>
          <w:color w:val="000000" w:themeColor="text1"/>
        </w:rPr>
        <w:fldChar w:fldCharType="end"/>
      </w:r>
    </w:p>
    <w:p w14:paraId="6F49D0AB" w14:textId="77777777" w:rsidR="003236C0" w:rsidRPr="006159FD" w:rsidRDefault="003236C0" w:rsidP="00B934DE">
      <w:pPr>
        <w:widowControl w:val="0"/>
        <w:autoSpaceDE w:val="0"/>
        <w:autoSpaceDN w:val="0"/>
        <w:adjustRightInd w:val="0"/>
        <w:ind w:left="480" w:hanging="480"/>
        <w:rPr>
          <w:rFonts w:ascii="Times New Roman" w:hAnsi="Times New Roman" w:cs="Times New Roman"/>
          <w:color w:val="000000" w:themeColor="text1"/>
        </w:rPr>
      </w:pPr>
    </w:p>
    <w:sectPr w:rsidR="003236C0" w:rsidRPr="006159FD" w:rsidSect="008F770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4E64732D" w14:textId="77777777" w:rsidR="00A05554" w:rsidRDefault="00A05554" w:rsidP="002135E1">
      <w:r>
        <w:separator/>
      </w:r>
    </w:p>
  </w:endnote>
  <w:endnote w:type="continuationSeparator" w:id="0">
    <w:p w14:paraId="5D567CCC" w14:textId="77777777" w:rsidR="00A05554" w:rsidRDefault="00A05554" w:rsidP="002135E1">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Symbol">
    <w:panose1 w:val="05050102010706020507"/>
    <w:charset w:val="02"/>
    <w:family w:val="decorative"/>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111BF9B" w14:textId="77777777" w:rsidR="00A05554" w:rsidRDefault="00A05554" w:rsidP="002135E1">
      <w:r>
        <w:separator/>
      </w:r>
    </w:p>
  </w:footnote>
  <w:footnote w:type="continuationSeparator" w:id="0">
    <w:p w14:paraId="036B463D" w14:textId="77777777" w:rsidR="00A05554" w:rsidRDefault="00A05554" w:rsidP="002135E1">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022474"/>
    <w:multiLevelType w:val="hybridMultilevel"/>
    <w:tmpl w:val="685C05F6"/>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5B764C8"/>
    <w:multiLevelType w:val="hybridMultilevel"/>
    <w:tmpl w:val="0C90313A"/>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6E237D6"/>
    <w:multiLevelType w:val="hybridMultilevel"/>
    <w:tmpl w:val="C7963B30"/>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B531BE5"/>
    <w:multiLevelType w:val="hybridMultilevel"/>
    <w:tmpl w:val="9F1EBE44"/>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15715027"/>
    <w:multiLevelType w:val="hybridMultilevel"/>
    <w:tmpl w:val="4980FFBE"/>
    <w:lvl w:ilvl="0" w:tplc="A25C401A">
      <w:start w:val="1"/>
      <w:numFmt w:val="bullet"/>
      <w:lvlText w:val="-"/>
      <w:lvlJc w:val="left"/>
      <w:pPr>
        <w:tabs>
          <w:tab w:val="num" w:pos="720"/>
        </w:tabs>
        <w:ind w:left="720" w:hanging="360"/>
      </w:pPr>
      <w:rPr>
        <w:rFonts w:ascii="Arial" w:hAnsi="Arial" w:hint="default"/>
      </w:rPr>
    </w:lvl>
    <w:lvl w:ilvl="1" w:tplc="A51CB0B0" w:tentative="1">
      <w:start w:val="1"/>
      <w:numFmt w:val="bullet"/>
      <w:lvlText w:val="-"/>
      <w:lvlJc w:val="left"/>
      <w:pPr>
        <w:tabs>
          <w:tab w:val="num" w:pos="1440"/>
        </w:tabs>
        <w:ind w:left="1440" w:hanging="360"/>
      </w:pPr>
      <w:rPr>
        <w:rFonts w:ascii="Arial" w:hAnsi="Arial" w:hint="default"/>
      </w:rPr>
    </w:lvl>
    <w:lvl w:ilvl="2" w:tplc="C35E88A2" w:tentative="1">
      <w:start w:val="1"/>
      <w:numFmt w:val="bullet"/>
      <w:lvlText w:val="-"/>
      <w:lvlJc w:val="left"/>
      <w:pPr>
        <w:tabs>
          <w:tab w:val="num" w:pos="2160"/>
        </w:tabs>
        <w:ind w:left="2160" w:hanging="360"/>
      </w:pPr>
      <w:rPr>
        <w:rFonts w:ascii="Arial" w:hAnsi="Arial" w:hint="default"/>
      </w:rPr>
    </w:lvl>
    <w:lvl w:ilvl="3" w:tplc="3CB666B6" w:tentative="1">
      <w:start w:val="1"/>
      <w:numFmt w:val="bullet"/>
      <w:lvlText w:val="-"/>
      <w:lvlJc w:val="left"/>
      <w:pPr>
        <w:tabs>
          <w:tab w:val="num" w:pos="2880"/>
        </w:tabs>
        <w:ind w:left="2880" w:hanging="360"/>
      </w:pPr>
      <w:rPr>
        <w:rFonts w:ascii="Arial" w:hAnsi="Arial" w:hint="default"/>
      </w:rPr>
    </w:lvl>
    <w:lvl w:ilvl="4" w:tplc="AC78FCE8" w:tentative="1">
      <w:start w:val="1"/>
      <w:numFmt w:val="bullet"/>
      <w:lvlText w:val="-"/>
      <w:lvlJc w:val="left"/>
      <w:pPr>
        <w:tabs>
          <w:tab w:val="num" w:pos="3600"/>
        </w:tabs>
        <w:ind w:left="3600" w:hanging="360"/>
      </w:pPr>
      <w:rPr>
        <w:rFonts w:ascii="Arial" w:hAnsi="Arial" w:hint="default"/>
      </w:rPr>
    </w:lvl>
    <w:lvl w:ilvl="5" w:tplc="F508F0CE" w:tentative="1">
      <w:start w:val="1"/>
      <w:numFmt w:val="bullet"/>
      <w:lvlText w:val="-"/>
      <w:lvlJc w:val="left"/>
      <w:pPr>
        <w:tabs>
          <w:tab w:val="num" w:pos="4320"/>
        </w:tabs>
        <w:ind w:left="4320" w:hanging="360"/>
      </w:pPr>
      <w:rPr>
        <w:rFonts w:ascii="Arial" w:hAnsi="Arial" w:hint="default"/>
      </w:rPr>
    </w:lvl>
    <w:lvl w:ilvl="6" w:tplc="B2FA9568" w:tentative="1">
      <w:start w:val="1"/>
      <w:numFmt w:val="bullet"/>
      <w:lvlText w:val="-"/>
      <w:lvlJc w:val="left"/>
      <w:pPr>
        <w:tabs>
          <w:tab w:val="num" w:pos="5040"/>
        </w:tabs>
        <w:ind w:left="5040" w:hanging="360"/>
      </w:pPr>
      <w:rPr>
        <w:rFonts w:ascii="Arial" w:hAnsi="Arial" w:hint="default"/>
      </w:rPr>
    </w:lvl>
    <w:lvl w:ilvl="7" w:tplc="3E78CC2C" w:tentative="1">
      <w:start w:val="1"/>
      <w:numFmt w:val="bullet"/>
      <w:lvlText w:val="-"/>
      <w:lvlJc w:val="left"/>
      <w:pPr>
        <w:tabs>
          <w:tab w:val="num" w:pos="5760"/>
        </w:tabs>
        <w:ind w:left="5760" w:hanging="360"/>
      </w:pPr>
      <w:rPr>
        <w:rFonts w:ascii="Arial" w:hAnsi="Arial" w:hint="default"/>
      </w:rPr>
    </w:lvl>
    <w:lvl w:ilvl="8" w:tplc="46C42562" w:tentative="1">
      <w:start w:val="1"/>
      <w:numFmt w:val="bullet"/>
      <w:lvlText w:val="-"/>
      <w:lvlJc w:val="left"/>
      <w:pPr>
        <w:tabs>
          <w:tab w:val="num" w:pos="6480"/>
        </w:tabs>
        <w:ind w:left="6480" w:hanging="360"/>
      </w:pPr>
      <w:rPr>
        <w:rFonts w:ascii="Arial" w:hAnsi="Arial" w:hint="default"/>
      </w:rPr>
    </w:lvl>
  </w:abstractNum>
  <w:abstractNum w:abstractNumId="5" w15:restartNumberingAfterBreak="0">
    <w:nsid w:val="1BE01442"/>
    <w:multiLevelType w:val="hybridMultilevel"/>
    <w:tmpl w:val="1C14831A"/>
    <w:lvl w:ilvl="0" w:tplc="71A8DE2E">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F050E1"/>
    <w:multiLevelType w:val="hybridMultilevel"/>
    <w:tmpl w:val="5DE81532"/>
    <w:lvl w:ilvl="0" w:tplc="04090013">
      <w:start w:val="1"/>
      <w:numFmt w:val="upperRoman"/>
      <w:lvlText w:val="%1."/>
      <w:lvlJc w:val="right"/>
      <w:pPr>
        <w:ind w:left="720" w:hanging="360"/>
      </w:pPr>
    </w:lvl>
    <w:lvl w:ilvl="1" w:tplc="04090019">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37556DBC"/>
    <w:multiLevelType w:val="hybridMultilevel"/>
    <w:tmpl w:val="C7963B30"/>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3F9459D2"/>
    <w:multiLevelType w:val="hybridMultilevel"/>
    <w:tmpl w:val="C3261CC8"/>
    <w:lvl w:ilvl="0" w:tplc="02E8DB40">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0327C62"/>
    <w:multiLevelType w:val="hybridMultilevel"/>
    <w:tmpl w:val="0B2AAF94"/>
    <w:lvl w:ilvl="0" w:tplc="04090013">
      <w:start w:val="1"/>
      <w:numFmt w:val="upperRoman"/>
      <w:lvlText w:val="%1."/>
      <w:lvlJc w:val="right"/>
      <w:pPr>
        <w:ind w:left="720" w:hanging="360"/>
      </w:pPr>
    </w:lvl>
    <w:lvl w:ilvl="1" w:tplc="04090019">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F4423E3"/>
    <w:multiLevelType w:val="hybridMultilevel"/>
    <w:tmpl w:val="C7963B30"/>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4FA414E3"/>
    <w:multiLevelType w:val="hybridMultilevel"/>
    <w:tmpl w:val="F592939C"/>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5DD867DE"/>
    <w:multiLevelType w:val="hybridMultilevel"/>
    <w:tmpl w:val="162E3D38"/>
    <w:lvl w:ilvl="0" w:tplc="18C21804">
      <w:start w:val="1"/>
      <w:numFmt w:val="bullet"/>
      <w:lvlText w:val="-"/>
      <w:lvlJc w:val="left"/>
      <w:pPr>
        <w:tabs>
          <w:tab w:val="num" w:pos="720"/>
        </w:tabs>
        <w:ind w:left="720" w:hanging="360"/>
      </w:pPr>
      <w:rPr>
        <w:rFonts w:ascii="Arial" w:hAnsi="Arial" w:hint="default"/>
      </w:rPr>
    </w:lvl>
    <w:lvl w:ilvl="1" w:tplc="B4F232D8" w:tentative="1">
      <w:start w:val="1"/>
      <w:numFmt w:val="bullet"/>
      <w:lvlText w:val="-"/>
      <w:lvlJc w:val="left"/>
      <w:pPr>
        <w:tabs>
          <w:tab w:val="num" w:pos="1440"/>
        </w:tabs>
        <w:ind w:left="1440" w:hanging="360"/>
      </w:pPr>
      <w:rPr>
        <w:rFonts w:ascii="Arial" w:hAnsi="Arial" w:hint="default"/>
      </w:rPr>
    </w:lvl>
    <w:lvl w:ilvl="2" w:tplc="FBB04224" w:tentative="1">
      <w:start w:val="1"/>
      <w:numFmt w:val="bullet"/>
      <w:lvlText w:val="-"/>
      <w:lvlJc w:val="left"/>
      <w:pPr>
        <w:tabs>
          <w:tab w:val="num" w:pos="2160"/>
        </w:tabs>
        <w:ind w:left="2160" w:hanging="360"/>
      </w:pPr>
      <w:rPr>
        <w:rFonts w:ascii="Arial" w:hAnsi="Arial" w:hint="default"/>
      </w:rPr>
    </w:lvl>
    <w:lvl w:ilvl="3" w:tplc="F22C10F0" w:tentative="1">
      <w:start w:val="1"/>
      <w:numFmt w:val="bullet"/>
      <w:lvlText w:val="-"/>
      <w:lvlJc w:val="left"/>
      <w:pPr>
        <w:tabs>
          <w:tab w:val="num" w:pos="2880"/>
        </w:tabs>
        <w:ind w:left="2880" w:hanging="360"/>
      </w:pPr>
      <w:rPr>
        <w:rFonts w:ascii="Arial" w:hAnsi="Arial" w:hint="default"/>
      </w:rPr>
    </w:lvl>
    <w:lvl w:ilvl="4" w:tplc="2AB022A4" w:tentative="1">
      <w:start w:val="1"/>
      <w:numFmt w:val="bullet"/>
      <w:lvlText w:val="-"/>
      <w:lvlJc w:val="left"/>
      <w:pPr>
        <w:tabs>
          <w:tab w:val="num" w:pos="3600"/>
        </w:tabs>
        <w:ind w:left="3600" w:hanging="360"/>
      </w:pPr>
      <w:rPr>
        <w:rFonts w:ascii="Arial" w:hAnsi="Arial" w:hint="default"/>
      </w:rPr>
    </w:lvl>
    <w:lvl w:ilvl="5" w:tplc="312CBA28" w:tentative="1">
      <w:start w:val="1"/>
      <w:numFmt w:val="bullet"/>
      <w:lvlText w:val="-"/>
      <w:lvlJc w:val="left"/>
      <w:pPr>
        <w:tabs>
          <w:tab w:val="num" w:pos="4320"/>
        </w:tabs>
        <w:ind w:left="4320" w:hanging="360"/>
      </w:pPr>
      <w:rPr>
        <w:rFonts w:ascii="Arial" w:hAnsi="Arial" w:hint="default"/>
      </w:rPr>
    </w:lvl>
    <w:lvl w:ilvl="6" w:tplc="0960ED8C" w:tentative="1">
      <w:start w:val="1"/>
      <w:numFmt w:val="bullet"/>
      <w:lvlText w:val="-"/>
      <w:lvlJc w:val="left"/>
      <w:pPr>
        <w:tabs>
          <w:tab w:val="num" w:pos="5040"/>
        </w:tabs>
        <w:ind w:left="5040" w:hanging="360"/>
      </w:pPr>
      <w:rPr>
        <w:rFonts w:ascii="Arial" w:hAnsi="Arial" w:hint="default"/>
      </w:rPr>
    </w:lvl>
    <w:lvl w:ilvl="7" w:tplc="C384290A" w:tentative="1">
      <w:start w:val="1"/>
      <w:numFmt w:val="bullet"/>
      <w:lvlText w:val="-"/>
      <w:lvlJc w:val="left"/>
      <w:pPr>
        <w:tabs>
          <w:tab w:val="num" w:pos="5760"/>
        </w:tabs>
        <w:ind w:left="5760" w:hanging="360"/>
      </w:pPr>
      <w:rPr>
        <w:rFonts w:ascii="Arial" w:hAnsi="Arial" w:hint="default"/>
      </w:rPr>
    </w:lvl>
    <w:lvl w:ilvl="8" w:tplc="AB0C9812" w:tentative="1">
      <w:start w:val="1"/>
      <w:numFmt w:val="bullet"/>
      <w:lvlText w:val="-"/>
      <w:lvlJc w:val="left"/>
      <w:pPr>
        <w:tabs>
          <w:tab w:val="num" w:pos="6480"/>
        </w:tabs>
        <w:ind w:left="6480" w:hanging="360"/>
      </w:pPr>
      <w:rPr>
        <w:rFonts w:ascii="Arial" w:hAnsi="Arial" w:hint="default"/>
      </w:rPr>
    </w:lvl>
  </w:abstractNum>
  <w:abstractNum w:abstractNumId="13" w15:restartNumberingAfterBreak="0">
    <w:nsid w:val="5ED14E46"/>
    <w:multiLevelType w:val="hybridMultilevel"/>
    <w:tmpl w:val="44DABEDC"/>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2F473C5"/>
    <w:multiLevelType w:val="hybridMultilevel"/>
    <w:tmpl w:val="12E05B94"/>
    <w:lvl w:ilvl="0" w:tplc="04090013">
      <w:start w:val="1"/>
      <w:numFmt w:val="upperRoman"/>
      <w:lvlText w:val="%1."/>
      <w:lvlJc w:val="right"/>
      <w:pPr>
        <w:ind w:left="720" w:hanging="360"/>
      </w:pPr>
    </w:lvl>
    <w:lvl w:ilvl="1" w:tplc="04090017">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3B016E8"/>
    <w:multiLevelType w:val="hybridMultilevel"/>
    <w:tmpl w:val="03483B82"/>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683515CF"/>
    <w:multiLevelType w:val="hybridMultilevel"/>
    <w:tmpl w:val="9CB6662E"/>
    <w:lvl w:ilvl="0" w:tplc="04090013">
      <w:start w:val="1"/>
      <w:numFmt w:val="upperRoman"/>
      <w:lvlText w:val="%1."/>
      <w:lvlJc w:val="right"/>
      <w:pPr>
        <w:ind w:left="720" w:hanging="360"/>
      </w:pPr>
      <w:rPr>
        <w:rFonts w:hint="default"/>
      </w:rPr>
    </w:lvl>
    <w:lvl w:ilvl="1" w:tplc="A51CB0B0" w:tentative="1">
      <w:start w:val="1"/>
      <w:numFmt w:val="bullet"/>
      <w:lvlText w:val="-"/>
      <w:lvlJc w:val="left"/>
      <w:pPr>
        <w:tabs>
          <w:tab w:val="num" w:pos="1440"/>
        </w:tabs>
        <w:ind w:left="1440" w:hanging="360"/>
      </w:pPr>
      <w:rPr>
        <w:rFonts w:ascii="Arial" w:hAnsi="Arial" w:hint="default"/>
      </w:rPr>
    </w:lvl>
    <w:lvl w:ilvl="2" w:tplc="C35E88A2" w:tentative="1">
      <w:start w:val="1"/>
      <w:numFmt w:val="bullet"/>
      <w:lvlText w:val="-"/>
      <w:lvlJc w:val="left"/>
      <w:pPr>
        <w:tabs>
          <w:tab w:val="num" w:pos="2160"/>
        </w:tabs>
        <w:ind w:left="2160" w:hanging="360"/>
      </w:pPr>
      <w:rPr>
        <w:rFonts w:ascii="Arial" w:hAnsi="Arial" w:hint="default"/>
      </w:rPr>
    </w:lvl>
    <w:lvl w:ilvl="3" w:tplc="3CB666B6" w:tentative="1">
      <w:start w:val="1"/>
      <w:numFmt w:val="bullet"/>
      <w:lvlText w:val="-"/>
      <w:lvlJc w:val="left"/>
      <w:pPr>
        <w:tabs>
          <w:tab w:val="num" w:pos="2880"/>
        </w:tabs>
        <w:ind w:left="2880" w:hanging="360"/>
      </w:pPr>
      <w:rPr>
        <w:rFonts w:ascii="Arial" w:hAnsi="Arial" w:hint="default"/>
      </w:rPr>
    </w:lvl>
    <w:lvl w:ilvl="4" w:tplc="AC78FCE8" w:tentative="1">
      <w:start w:val="1"/>
      <w:numFmt w:val="bullet"/>
      <w:lvlText w:val="-"/>
      <w:lvlJc w:val="left"/>
      <w:pPr>
        <w:tabs>
          <w:tab w:val="num" w:pos="3600"/>
        </w:tabs>
        <w:ind w:left="3600" w:hanging="360"/>
      </w:pPr>
      <w:rPr>
        <w:rFonts w:ascii="Arial" w:hAnsi="Arial" w:hint="default"/>
      </w:rPr>
    </w:lvl>
    <w:lvl w:ilvl="5" w:tplc="F508F0CE" w:tentative="1">
      <w:start w:val="1"/>
      <w:numFmt w:val="bullet"/>
      <w:lvlText w:val="-"/>
      <w:lvlJc w:val="left"/>
      <w:pPr>
        <w:tabs>
          <w:tab w:val="num" w:pos="4320"/>
        </w:tabs>
        <w:ind w:left="4320" w:hanging="360"/>
      </w:pPr>
      <w:rPr>
        <w:rFonts w:ascii="Arial" w:hAnsi="Arial" w:hint="default"/>
      </w:rPr>
    </w:lvl>
    <w:lvl w:ilvl="6" w:tplc="B2FA9568" w:tentative="1">
      <w:start w:val="1"/>
      <w:numFmt w:val="bullet"/>
      <w:lvlText w:val="-"/>
      <w:lvlJc w:val="left"/>
      <w:pPr>
        <w:tabs>
          <w:tab w:val="num" w:pos="5040"/>
        </w:tabs>
        <w:ind w:left="5040" w:hanging="360"/>
      </w:pPr>
      <w:rPr>
        <w:rFonts w:ascii="Arial" w:hAnsi="Arial" w:hint="default"/>
      </w:rPr>
    </w:lvl>
    <w:lvl w:ilvl="7" w:tplc="3E78CC2C" w:tentative="1">
      <w:start w:val="1"/>
      <w:numFmt w:val="bullet"/>
      <w:lvlText w:val="-"/>
      <w:lvlJc w:val="left"/>
      <w:pPr>
        <w:tabs>
          <w:tab w:val="num" w:pos="5760"/>
        </w:tabs>
        <w:ind w:left="5760" w:hanging="360"/>
      </w:pPr>
      <w:rPr>
        <w:rFonts w:ascii="Arial" w:hAnsi="Arial" w:hint="default"/>
      </w:rPr>
    </w:lvl>
    <w:lvl w:ilvl="8" w:tplc="46C42562" w:tentative="1">
      <w:start w:val="1"/>
      <w:numFmt w:val="bullet"/>
      <w:lvlText w:val="-"/>
      <w:lvlJc w:val="left"/>
      <w:pPr>
        <w:tabs>
          <w:tab w:val="num" w:pos="6480"/>
        </w:tabs>
        <w:ind w:left="6480" w:hanging="360"/>
      </w:pPr>
      <w:rPr>
        <w:rFonts w:ascii="Arial" w:hAnsi="Arial" w:hint="default"/>
      </w:rPr>
    </w:lvl>
  </w:abstractNum>
  <w:abstractNum w:abstractNumId="17" w15:restartNumberingAfterBreak="0">
    <w:nsid w:val="7AD6456D"/>
    <w:multiLevelType w:val="hybridMultilevel"/>
    <w:tmpl w:val="7116D7A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AE57718"/>
    <w:multiLevelType w:val="hybridMultilevel"/>
    <w:tmpl w:val="A230BA4C"/>
    <w:lvl w:ilvl="0" w:tplc="7A34A14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C2D2A32"/>
    <w:multiLevelType w:val="hybridMultilevel"/>
    <w:tmpl w:val="0C90313A"/>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2"/>
  </w:num>
  <w:num w:numId="2">
    <w:abstractNumId w:val="10"/>
  </w:num>
  <w:num w:numId="3">
    <w:abstractNumId w:val="5"/>
  </w:num>
  <w:num w:numId="4">
    <w:abstractNumId w:val="4"/>
  </w:num>
  <w:num w:numId="5">
    <w:abstractNumId w:val="16"/>
  </w:num>
  <w:num w:numId="6">
    <w:abstractNumId w:val="1"/>
  </w:num>
  <w:num w:numId="7">
    <w:abstractNumId w:val="11"/>
  </w:num>
  <w:num w:numId="8">
    <w:abstractNumId w:val="3"/>
  </w:num>
  <w:num w:numId="9">
    <w:abstractNumId w:val="6"/>
  </w:num>
  <w:num w:numId="10">
    <w:abstractNumId w:val="17"/>
  </w:num>
  <w:num w:numId="11">
    <w:abstractNumId w:val="15"/>
  </w:num>
  <w:num w:numId="12">
    <w:abstractNumId w:val="0"/>
  </w:num>
  <w:num w:numId="13">
    <w:abstractNumId w:val="13"/>
  </w:num>
  <w:num w:numId="14">
    <w:abstractNumId w:val="14"/>
  </w:num>
  <w:num w:numId="15">
    <w:abstractNumId w:val="9"/>
  </w:num>
  <w:num w:numId="16">
    <w:abstractNumId w:val="7"/>
  </w:num>
  <w:num w:numId="17">
    <w:abstractNumId w:val="2"/>
  </w:num>
  <w:num w:numId="18">
    <w:abstractNumId w:val="19"/>
  </w:num>
  <w:num w:numId="19">
    <w:abstractNumId w:val="8"/>
  </w:num>
  <w:num w:numId="20">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5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86131"/>
    <w:rsid w:val="00031893"/>
    <w:rsid w:val="00086131"/>
    <w:rsid w:val="000B7C81"/>
    <w:rsid w:val="00112694"/>
    <w:rsid w:val="00115CDE"/>
    <w:rsid w:val="0012183E"/>
    <w:rsid w:val="0017086F"/>
    <w:rsid w:val="001942B2"/>
    <w:rsid w:val="001A6F93"/>
    <w:rsid w:val="001B606D"/>
    <w:rsid w:val="001C0B56"/>
    <w:rsid w:val="001E376A"/>
    <w:rsid w:val="001F69D9"/>
    <w:rsid w:val="00205E66"/>
    <w:rsid w:val="002104B2"/>
    <w:rsid w:val="002135E1"/>
    <w:rsid w:val="00241025"/>
    <w:rsid w:val="00241652"/>
    <w:rsid w:val="002439A5"/>
    <w:rsid w:val="0026712D"/>
    <w:rsid w:val="002C459A"/>
    <w:rsid w:val="002F03F3"/>
    <w:rsid w:val="00315D47"/>
    <w:rsid w:val="003236C0"/>
    <w:rsid w:val="00351899"/>
    <w:rsid w:val="003913D6"/>
    <w:rsid w:val="003A235A"/>
    <w:rsid w:val="003E6800"/>
    <w:rsid w:val="003F3B59"/>
    <w:rsid w:val="004109D3"/>
    <w:rsid w:val="00410E2B"/>
    <w:rsid w:val="00414932"/>
    <w:rsid w:val="00452717"/>
    <w:rsid w:val="00453BA6"/>
    <w:rsid w:val="0048606D"/>
    <w:rsid w:val="00525465"/>
    <w:rsid w:val="0052708C"/>
    <w:rsid w:val="00535ED4"/>
    <w:rsid w:val="00554B1B"/>
    <w:rsid w:val="0058672A"/>
    <w:rsid w:val="005B74F6"/>
    <w:rsid w:val="005D01F0"/>
    <w:rsid w:val="005D4796"/>
    <w:rsid w:val="005D75D5"/>
    <w:rsid w:val="005E7A1C"/>
    <w:rsid w:val="006159FD"/>
    <w:rsid w:val="00654CD4"/>
    <w:rsid w:val="00690680"/>
    <w:rsid w:val="00695F71"/>
    <w:rsid w:val="006D119C"/>
    <w:rsid w:val="00721DBB"/>
    <w:rsid w:val="007633F6"/>
    <w:rsid w:val="00765484"/>
    <w:rsid w:val="00801A57"/>
    <w:rsid w:val="008158A4"/>
    <w:rsid w:val="00860443"/>
    <w:rsid w:val="0086589D"/>
    <w:rsid w:val="008915DF"/>
    <w:rsid w:val="008950FD"/>
    <w:rsid w:val="0089793F"/>
    <w:rsid w:val="008F7706"/>
    <w:rsid w:val="009073D8"/>
    <w:rsid w:val="00982893"/>
    <w:rsid w:val="00987869"/>
    <w:rsid w:val="00A05554"/>
    <w:rsid w:val="00A1476A"/>
    <w:rsid w:val="00A6678D"/>
    <w:rsid w:val="00A95042"/>
    <w:rsid w:val="00A96BD3"/>
    <w:rsid w:val="00AB5070"/>
    <w:rsid w:val="00AB73DF"/>
    <w:rsid w:val="00B37D37"/>
    <w:rsid w:val="00B6596C"/>
    <w:rsid w:val="00B934DE"/>
    <w:rsid w:val="00BC1DCD"/>
    <w:rsid w:val="00BF130D"/>
    <w:rsid w:val="00C00674"/>
    <w:rsid w:val="00C60C1A"/>
    <w:rsid w:val="00C93ABE"/>
    <w:rsid w:val="00CA7912"/>
    <w:rsid w:val="00CB6D77"/>
    <w:rsid w:val="00CD5C49"/>
    <w:rsid w:val="00CE6664"/>
    <w:rsid w:val="00D02927"/>
    <w:rsid w:val="00D14D25"/>
    <w:rsid w:val="00D534B2"/>
    <w:rsid w:val="00D60055"/>
    <w:rsid w:val="00D9494D"/>
    <w:rsid w:val="00DD5935"/>
    <w:rsid w:val="00E44F5F"/>
    <w:rsid w:val="00E67F11"/>
    <w:rsid w:val="00E90A36"/>
    <w:rsid w:val="00EA27B9"/>
    <w:rsid w:val="00EF17D5"/>
    <w:rsid w:val="00F06179"/>
    <w:rsid w:val="00F179CF"/>
    <w:rsid w:val="00F43B85"/>
    <w:rsid w:val="00F43DFC"/>
    <w:rsid w:val="00F61518"/>
    <w:rsid w:val="00F70E45"/>
    <w:rsid w:val="00F96914"/>
    <w:rsid w:val="00FC238A"/>
    <w:rsid w:val="00FC4352"/>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BCAC295"/>
  <w15:chartTrackingRefBased/>
  <w15:docId w15:val="{547BBDE9-5259-594E-90E8-438DC49B0A3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236C0"/>
    <w:pPr>
      <w:keepNext/>
      <w:keepLines/>
      <w:spacing w:before="240"/>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086131"/>
    <w:pPr>
      <w:ind w:left="720"/>
      <w:contextualSpacing/>
    </w:pPr>
  </w:style>
  <w:style w:type="character" w:customStyle="1" w:styleId="Heading1Char">
    <w:name w:val="Heading 1 Char"/>
    <w:basedOn w:val="DefaultParagraphFont"/>
    <w:link w:val="Heading1"/>
    <w:uiPriority w:val="9"/>
    <w:rsid w:val="003236C0"/>
    <w:rPr>
      <w:rFonts w:asciiTheme="majorHAnsi" w:eastAsiaTheme="majorEastAsia" w:hAnsiTheme="majorHAnsi" w:cstheme="majorBidi"/>
      <w:color w:val="2F5496" w:themeColor="accent1" w:themeShade="BF"/>
      <w:sz w:val="32"/>
      <w:szCs w:val="32"/>
    </w:rPr>
  </w:style>
  <w:style w:type="character" w:styleId="Hyperlink">
    <w:name w:val="Hyperlink"/>
    <w:basedOn w:val="DefaultParagraphFont"/>
    <w:uiPriority w:val="99"/>
    <w:unhideWhenUsed/>
    <w:rsid w:val="00AB5070"/>
    <w:rPr>
      <w:color w:val="0563C1" w:themeColor="hyperlink"/>
      <w:u w:val="single"/>
    </w:rPr>
  </w:style>
  <w:style w:type="paragraph" w:styleId="TOC1">
    <w:name w:val="toc 1"/>
    <w:basedOn w:val="Normal"/>
    <w:next w:val="Normal"/>
    <w:autoRedefine/>
    <w:uiPriority w:val="39"/>
    <w:unhideWhenUsed/>
    <w:rsid w:val="002F03F3"/>
    <w:pPr>
      <w:spacing w:before="120"/>
    </w:pPr>
    <w:rPr>
      <w:rFonts w:cstheme="minorHAnsi"/>
      <w:b/>
      <w:bCs/>
      <w:i/>
      <w:iCs/>
    </w:rPr>
  </w:style>
  <w:style w:type="paragraph" w:styleId="TOC2">
    <w:name w:val="toc 2"/>
    <w:basedOn w:val="Normal"/>
    <w:next w:val="Normal"/>
    <w:autoRedefine/>
    <w:uiPriority w:val="39"/>
    <w:unhideWhenUsed/>
    <w:rsid w:val="002F03F3"/>
    <w:pPr>
      <w:spacing w:before="120"/>
      <w:ind w:left="240"/>
    </w:pPr>
    <w:rPr>
      <w:rFonts w:cstheme="minorHAnsi"/>
      <w:b/>
      <w:bCs/>
      <w:sz w:val="22"/>
      <w:szCs w:val="22"/>
    </w:rPr>
  </w:style>
  <w:style w:type="paragraph" w:styleId="TOC3">
    <w:name w:val="toc 3"/>
    <w:basedOn w:val="Normal"/>
    <w:next w:val="Normal"/>
    <w:autoRedefine/>
    <w:uiPriority w:val="39"/>
    <w:unhideWhenUsed/>
    <w:rsid w:val="002F03F3"/>
    <w:pPr>
      <w:ind w:left="480"/>
    </w:pPr>
    <w:rPr>
      <w:rFonts w:cstheme="minorHAnsi"/>
      <w:sz w:val="20"/>
      <w:szCs w:val="20"/>
    </w:rPr>
  </w:style>
  <w:style w:type="paragraph" w:styleId="TOC4">
    <w:name w:val="toc 4"/>
    <w:basedOn w:val="Normal"/>
    <w:next w:val="Normal"/>
    <w:autoRedefine/>
    <w:uiPriority w:val="39"/>
    <w:unhideWhenUsed/>
    <w:rsid w:val="002F03F3"/>
    <w:pPr>
      <w:ind w:left="720"/>
    </w:pPr>
    <w:rPr>
      <w:rFonts w:cstheme="minorHAnsi"/>
      <w:sz w:val="20"/>
      <w:szCs w:val="20"/>
    </w:rPr>
  </w:style>
  <w:style w:type="paragraph" w:styleId="TOC5">
    <w:name w:val="toc 5"/>
    <w:basedOn w:val="Normal"/>
    <w:next w:val="Normal"/>
    <w:autoRedefine/>
    <w:uiPriority w:val="39"/>
    <w:unhideWhenUsed/>
    <w:rsid w:val="002F03F3"/>
    <w:pPr>
      <w:ind w:left="960"/>
    </w:pPr>
    <w:rPr>
      <w:rFonts w:cstheme="minorHAnsi"/>
      <w:sz w:val="20"/>
      <w:szCs w:val="20"/>
    </w:rPr>
  </w:style>
  <w:style w:type="paragraph" w:styleId="TOC6">
    <w:name w:val="toc 6"/>
    <w:basedOn w:val="Normal"/>
    <w:next w:val="Normal"/>
    <w:autoRedefine/>
    <w:uiPriority w:val="39"/>
    <w:unhideWhenUsed/>
    <w:rsid w:val="002F03F3"/>
    <w:pPr>
      <w:ind w:left="1200"/>
    </w:pPr>
    <w:rPr>
      <w:rFonts w:cstheme="minorHAnsi"/>
      <w:sz w:val="20"/>
      <w:szCs w:val="20"/>
    </w:rPr>
  </w:style>
  <w:style w:type="paragraph" w:styleId="TOC7">
    <w:name w:val="toc 7"/>
    <w:basedOn w:val="Normal"/>
    <w:next w:val="Normal"/>
    <w:autoRedefine/>
    <w:uiPriority w:val="39"/>
    <w:unhideWhenUsed/>
    <w:rsid w:val="002F03F3"/>
    <w:pPr>
      <w:ind w:left="1440"/>
    </w:pPr>
    <w:rPr>
      <w:rFonts w:cstheme="minorHAnsi"/>
      <w:sz w:val="20"/>
      <w:szCs w:val="20"/>
    </w:rPr>
  </w:style>
  <w:style w:type="paragraph" w:styleId="TOC8">
    <w:name w:val="toc 8"/>
    <w:basedOn w:val="Normal"/>
    <w:next w:val="Normal"/>
    <w:autoRedefine/>
    <w:uiPriority w:val="39"/>
    <w:unhideWhenUsed/>
    <w:rsid w:val="002F03F3"/>
    <w:pPr>
      <w:ind w:left="1680"/>
    </w:pPr>
    <w:rPr>
      <w:rFonts w:cstheme="minorHAnsi"/>
      <w:sz w:val="20"/>
      <w:szCs w:val="20"/>
    </w:rPr>
  </w:style>
  <w:style w:type="paragraph" w:styleId="TOC9">
    <w:name w:val="toc 9"/>
    <w:basedOn w:val="Normal"/>
    <w:next w:val="Normal"/>
    <w:autoRedefine/>
    <w:uiPriority w:val="39"/>
    <w:unhideWhenUsed/>
    <w:rsid w:val="002F03F3"/>
    <w:pPr>
      <w:ind w:left="1920"/>
    </w:pPr>
    <w:rPr>
      <w:rFonts w:cstheme="minorHAnsi"/>
      <w:sz w:val="20"/>
      <w:szCs w:val="20"/>
    </w:rPr>
  </w:style>
  <w:style w:type="paragraph" w:styleId="TOCHeading">
    <w:name w:val="TOC Heading"/>
    <w:basedOn w:val="Heading1"/>
    <w:next w:val="Normal"/>
    <w:uiPriority w:val="39"/>
    <w:unhideWhenUsed/>
    <w:qFormat/>
    <w:rsid w:val="002F03F3"/>
    <w:pPr>
      <w:spacing w:before="480" w:line="276" w:lineRule="auto"/>
      <w:outlineLvl w:val="9"/>
    </w:pPr>
    <w:rPr>
      <w:b/>
      <w:bCs/>
      <w:sz w:val="28"/>
      <w:szCs w:val="28"/>
    </w:rPr>
  </w:style>
  <w:style w:type="character" w:styleId="CommentReference">
    <w:name w:val="annotation reference"/>
    <w:basedOn w:val="DefaultParagraphFont"/>
    <w:uiPriority w:val="99"/>
    <w:semiHidden/>
    <w:unhideWhenUsed/>
    <w:rsid w:val="00AB73DF"/>
    <w:rPr>
      <w:sz w:val="16"/>
      <w:szCs w:val="16"/>
    </w:rPr>
  </w:style>
  <w:style w:type="paragraph" w:styleId="CommentText">
    <w:name w:val="annotation text"/>
    <w:basedOn w:val="Normal"/>
    <w:link w:val="CommentTextChar"/>
    <w:uiPriority w:val="99"/>
    <w:unhideWhenUsed/>
    <w:rsid w:val="00AB73DF"/>
    <w:rPr>
      <w:sz w:val="20"/>
      <w:szCs w:val="20"/>
    </w:rPr>
  </w:style>
  <w:style w:type="character" w:customStyle="1" w:styleId="CommentTextChar">
    <w:name w:val="Comment Text Char"/>
    <w:basedOn w:val="DefaultParagraphFont"/>
    <w:link w:val="CommentText"/>
    <w:uiPriority w:val="99"/>
    <w:rsid w:val="00AB73DF"/>
    <w:rPr>
      <w:sz w:val="20"/>
      <w:szCs w:val="20"/>
    </w:rPr>
  </w:style>
  <w:style w:type="paragraph" w:styleId="BalloonText">
    <w:name w:val="Balloon Text"/>
    <w:basedOn w:val="Normal"/>
    <w:link w:val="BalloonTextChar"/>
    <w:uiPriority w:val="99"/>
    <w:semiHidden/>
    <w:unhideWhenUsed/>
    <w:rsid w:val="00AB73DF"/>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AB73DF"/>
    <w:rPr>
      <w:rFonts w:ascii="Times New Roman" w:hAnsi="Times New Roman" w:cs="Times New Roman"/>
      <w:sz w:val="18"/>
      <w:szCs w:val="18"/>
    </w:rPr>
  </w:style>
  <w:style w:type="paragraph" w:styleId="CommentSubject">
    <w:name w:val="annotation subject"/>
    <w:basedOn w:val="CommentText"/>
    <w:next w:val="CommentText"/>
    <w:link w:val="CommentSubjectChar"/>
    <w:uiPriority w:val="99"/>
    <w:semiHidden/>
    <w:unhideWhenUsed/>
    <w:rsid w:val="00CA7912"/>
    <w:rPr>
      <w:b/>
      <w:bCs/>
    </w:rPr>
  </w:style>
  <w:style w:type="character" w:customStyle="1" w:styleId="CommentSubjectChar">
    <w:name w:val="Comment Subject Char"/>
    <w:basedOn w:val="CommentTextChar"/>
    <w:link w:val="CommentSubject"/>
    <w:uiPriority w:val="99"/>
    <w:semiHidden/>
    <w:rsid w:val="00CA7912"/>
    <w:rPr>
      <w:b/>
      <w:bCs/>
      <w:sz w:val="20"/>
      <w:szCs w:val="20"/>
    </w:rPr>
  </w:style>
  <w:style w:type="paragraph" w:styleId="Header">
    <w:name w:val="header"/>
    <w:basedOn w:val="Normal"/>
    <w:link w:val="HeaderChar"/>
    <w:uiPriority w:val="99"/>
    <w:unhideWhenUsed/>
    <w:rsid w:val="002C459A"/>
    <w:pPr>
      <w:tabs>
        <w:tab w:val="center" w:pos="4680"/>
        <w:tab w:val="right" w:pos="9360"/>
      </w:tabs>
    </w:pPr>
  </w:style>
  <w:style w:type="character" w:customStyle="1" w:styleId="HeaderChar">
    <w:name w:val="Header Char"/>
    <w:basedOn w:val="DefaultParagraphFont"/>
    <w:link w:val="Header"/>
    <w:uiPriority w:val="99"/>
    <w:rsid w:val="002C459A"/>
  </w:style>
  <w:style w:type="paragraph" w:styleId="Footer">
    <w:name w:val="footer"/>
    <w:basedOn w:val="Normal"/>
    <w:link w:val="FooterChar"/>
    <w:uiPriority w:val="99"/>
    <w:unhideWhenUsed/>
    <w:rsid w:val="002C459A"/>
    <w:pPr>
      <w:tabs>
        <w:tab w:val="center" w:pos="4680"/>
        <w:tab w:val="right" w:pos="9360"/>
      </w:tabs>
    </w:pPr>
  </w:style>
  <w:style w:type="character" w:customStyle="1" w:styleId="FooterChar">
    <w:name w:val="Footer Char"/>
    <w:basedOn w:val="DefaultParagraphFont"/>
    <w:link w:val="Footer"/>
    <w:uiPriority w:val="99"/>
    <w:rsid w:val="002C459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677659910">
      <w:bodyDiv w:val="1"/>
      <w:marLeft w:val="0"/>
      <w:marRight w:val="0"/>
      <w:marTop w:val="0"/>
      <w:marBottom w:val="0"/>
      <w:divBdr>
        <w:top w:val="none" w:sz="0" w:space="0" w:color="auto"/>
        <w:left w:val="none" w:sz="0" w:space="0" w:color="auto"/>
        <w:bottom w:val="none" w:sz="0" w:space="0" w:color="auto"/>
        <w:right w:val="none" w:sz="0" w:space="0" w:color="auto"/>
      </w:divBdr>
      <w:divsChild>
        <w:div w:id="315376090">
          <w:marLeft w:val="547"/>
          <w:marRight w:val="0"/>
          <w:marTop w:val="0"/>
          <w:marBottom w:val="0"/>
          <w:divBdr>
            <w:top w:val="none" w:sz="0" w:space="0" w:color="auto"/>
            <w:left w:val="none" w:sz="0" w:space="0" w:color="auto"/>
            <w:bottom w:val="none" w:sz="0" w:space="0" w:color="auto"/>
            <w:right w:val="none" w:sz="0" w:space="0" w:color="auto"/>
          </w:divBdr>
        </w:div>
        <w:div w:id="830409616">
          <w:marLeft w:val="547"/>
          <w:marRight w:val="0"/>
          <w:marTop w:val="0"/>
          <w:marBottom w:val="0"/>
          <w:divBdr>
            <w:top w:val="none" w:sz="0" w:space="0" w:color="auto"/>
            <w:left w:val="none" w:sz="0" w:space="0" w:color="auto"/>
            <w:bottom w:val="none" w:sz="0" w:space="0" w:color="auto"/>
            <w:right w:val="none" w:sz="0" w:space="0" w:color="auto"/>
          </w:divBdr>
        </w:div>
      </w:divsChild>
    </w:div>
    <w:div w:id="2106413979">
      <w:bodyDiv w:val="1"/>
      <w:marLeft w:val="0"/>
      <w:marRight w:val="0"/>
      <w:marTop w:val="0"/>
      <w:marBottom w:val="0"/>
      <w:divBdr>
        <w:top w:val="none" w:sz="0" w:space="0" w:color="auto"/>
        <w:left w:val="none" w:sz="0" w:space="0" w:color="auto"/>
        <w:bottom w:val="none" w:sz="0" w:space="0" w:color="auto"/>
        <w:right w:val="none" w:sz="0" w:space="0" w:color="auto"/>
      </w:divBdr>
      <w:divsChild>
        <w:div w:id="235089019">
          <w:marLeft w:val="547"/>
          <w:marRight w:val="0"/>
          <w:marTop w:val="0"/>
          <w:marBottom w:val="0"/>
          <w:divBdr>
            <w:top w:val="none" w:sz="0" w:space="0" w:color="auto"/>
            <w:left w:val="none" w:sz="0" w:space="0" w:color="auto"/>
            <w:bottom w:val="none" w:sz="0" w:space="0" w:color="auto"/>
            <w:right w:val="none" w:sz="0" w:space="0" w:color="auto"/>
          </w:divBdr>
        </w:div>
        <w:div w:id="992374722">
          <w:marLeft w:val="547"/>
          <w:marRight w:val="0"/>
          <w:marTop w:val="0"/>
          <w:marBottom w:val="0"/>
          <w:divBdr>
            <w:top w:val="none" w:sz="0" w:space="0" w:color="auto"/>
            <w:left w:val="none" w:sz="0" w:space="0" w:color="auto"/>
            <w:bottom w:val="none" w:sz="0" w:space="0" w:color="auto"/>
            <w:right w:val="none" w:sz="0" w:space="0" w:color="auto"/>
          </w:divBdr>
        </w:div>
        <w:div w:id="1309552853">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11.png"/><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3.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hyperlink" Target="http://www.fao.org/mountain-partnership/our-work/focusareas/foodsecurity/en/" TargetMode="External"/><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hyperlink" Target="https://unstats.un.org/sdgs/metadata/files/Metadata-15-04-02.pdf" TargetMode="External"/><Relationship Id="rId10" Type="http://schemas.openxmlformats.org/officeDocument/2006/relationships/endnotes" Target="endnotes.xml"/><Relationship Id="rId19" Type="http://schemas.openxmlformats.org/officeDocument/2006/relationships/image" Target="media/image9.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3688722E62A6234C83677B3A2A304F4B" ma:contentTypeVersion="11" ma:contentTypeDescription="Create a new document." ma:contentTypeScope="" ma:versionID="b80eacc472d11a25de546f1a0f41a59e">
  <xsd:schema xmlns:xsd="http://www.w3.org/2001/XMLSchema" xmlns:xs="http://www.w3.org/2001/XMLSchema" xmlns:p="http://schemas.microsoft.com/office/2006/metadata/properties" xmlns:ns2="1ef34aeb-bb44-4d67-80f1-64326e29a5ac" xmlns:ns3="13bd5df7-df2a-48f5-9b2f-8159a057fd5c" xmlns:ns4="a4e56d88-7366-4162-b9e7-3df1c72f0564" targetNamespace="http://schemas.microsoft.com/office/2006/metadata/properties" ma:root="true" ma:fieldsID="bdf094d19c24590beee3c1ebad214906" ns2:_="" ns3:_="" ns4:_="">
    <xsd:import namespace="1ef34aeb-bb44-4d67-80f1-64326e29a5ac"/>
    <xsd:import namespace="13bd5df7-df2a-48f5-9b2f-8159a057fd5c"/>
    <xsd:import namespace="a4e56d88-7366-4162-b9e7-3df1c72f0564"/>
    <xsd:element name="properties">
      <xsd:complexType>
        <xsd:sequence>
          <xsd:element name="documentManagement">
            <xsd:complexType>
              <xsd:all>
                <xsd:element ref="ns2:TIB_x0020_Task_x003f_" minOccurs="0"/>
                <xsd:element ref="ns2:TIB_x0020_Task_x0020_Complete_x003f_" minOccurs="0"/>
                <xsd:element ref="ns3:SharedWithUsers" minOccurs="0"/>
                <xsd:element ref="ns2:ABOUT" minOccurs="0"/>
                <xsd:element ref="ns4:SharedWithDetails" minOccurs="0"/>
                <xsd:element ref="ns2:MediaServiceMetadata" minOccurs="0"/>
                <xsd:element ref="ns2:MediaServiceFastMetadata" minOccurs="0"/>
                <xsd:element ref="ns2:MediaServiceEventHashCode" minOccurs="0"/>
                <xsd:element ref="ns2:MediaServiceGenerationTime"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ef34aeb-bb44-4d67-80f1-64326e29a5ac" elementFormDefault="qualified">
    <xsd:import namespace="http://schemas.microsoft.com/office/2006/documentManagement/types"/>
    <xsd:import namespace="http://schemas.microsoft.com/office/infopath/2007/PartnerControls"/>
    <xsd:element name="TIB_x0020_Task_x003f_" ma:index="8" nillable="true" ma:displayName="TIB Task?" ma:default="0" ma:description="does a TIB task need to be completed using this sheet?" ma:internalName="TIB_x0020_Task_x003f_">
      <xsd:simpleType>
        <xsd:restriction base="dms:Boolean"/>
      </xsd:simpleType>
    </xsd:element>
    <xsd:element name="TIB_x0020_Task_x0020_Complete_x003f_" ma:index="9" nillable="true" ma:displayName="TIB Task Complete?" ma:default="0" ma:description="IF the document is part of a TIB task, mark when complete" ma:internalName="TIB_x0020_Task_x0020_Complete_x003f_">
      <xsd:simpleType>
        <xsd:restriction base="dms:Boolean"/>
      </xsd:simpleType>
    </xsd:element>
    <xsd:element name="ABOUT" ma:index="11" nillable="true" ma:displayName="About this Document" ma:description="About this file" ma:internalName="ABOUT">
      <xsd:simpleType>
        <xsd:restriction base="dms:Note">
          <xsd:maxLength value="255"/>
        </xsd:restriction>
      </xsd:simpleType>
    </xsd:element>
    <xsd:element name="MediaServiceMetadata" ma:index="13" nillable="true" ma:displayName="MediaServiceMetadata" ma:hidden="true" ma:internalName="MediaServiceMetadata" ma:readOnly="true">
      <xsd:simpleType>
        <xsd:restriction base="dms:Note"/>
      </xsd:simpleType>
    </xsd:element>
    <xsd:element name="MediaServiceFastMetadata" ma:index="14" nillable="true" ma:displayName="MediaServiceFastMetadata"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13bd5df7-df2a-48f5-9b2f-8159a057fd5c"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4e56d88-7366-4162-b9e7-3df1c72f0564" elementFormDefault="qualified">
    <xsd:import namespace="http://schemas.microsoft.com/office/2006/documentManagement/types"/>
    <xsd:import namespace="http://schemas.microsoft.com/office/infopath/2007/PartnerControls"/>
    <xsd:element name="SharedWithDetails" ma:index="12" nillable="true" ma:displayName="Shared With Details" ma:description=""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IB_x0020_Task_x0020_Complete_x003f_ xmlns="1ef34aeb-bb44-4d67-80f1-64326e29a5ac">false</TIB_x0020_Task_x0020_Complete_x003f_>
    <TIB_x0020_Task_x003f_ xmlns="1ef34aeb-bb44-4d67-80f1-64326e29a5ac">false</TIB_x0020_Task_x003f_>
    <ABOUT xmlns="1ef34aeb-bb44-4d67-80f1-64326e29a5ac" xsi:nil="true"/>
  </documentManagement>
</p:properties>
</file>

<file path=customXml/itemProps1.xml><?xml version="1.0" encoding="utf-8"?>
<ds:datastoreItem xmlns:ds="http://schemas.openxmlformats.org/officeDocument/2006/customXml" ds:itemID="{780FF235-0FB0-7045-8BE1-CD3E604DE33C}">
  <ds:schemaRefs>
    <ds:schemaRef ds:uri="http://schemas.openxmlformats.org/officeDocument/2006/bibliography"/>
  </ds:schemaRefs>
</ds:datastoreItem>
</file>

<file path=customXml/itemProps2.xml><?xml version="1.0" encoding="utf-8"?>
<ds:datastoreItem xmlns:ds="http://schemas.openxmlformats.org/officeDocument/2006/customXml" ds:itemID="{E49A253E-3DDB-4C13-9D75-06A6C68F9105}">
  <ds:schemaRefs>
    <ds:schemaRef ds:uri="http://schemas.microsoft.com/sharepoint/v3/contenttype/forms"/>
  </ds:schemaRefs>
</ds:datastoreItem>
</file>

<file path=customXml/itemProps3.xml><?xml version="1.0" encoding="utf-8"?>
<ds:datastoreItem xmlns:ds="http://schemas.openxmlformats.org/officeDocument/2006/customXml" ds:itemID="{AD6F423E-522B-4848-AD9A-0DF3A0802EC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ef34aeb-bb44-4d67-80f1-64326e29a5ac"/>
    <ds:schemaRef ds:uri="13bd5df7-df2a-48f5-9b2f-8159a057fd5c"/>
    <ds:schemaRef ds:uri="a4e56d88-7366-4162-b9e7-3df1c72f056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71F746A-0DDC-4DC2-BDB3-EC0C3B5F855D}">
  <ds:schemaRefs>
    <ds:schemaRef ds:uri="http://schemas.microsoft.com/office/2006/metadata/properties"/>
    <ds:schemaRef ds:uri="http://schemas.microsoft.com/office/infopath/2007/PartnerControls"/>
    <ds:schemaRef ds:uri="1ef34aeb-bb44-4d67-80f1-64326e29a5ac"/>
  </ds:schemaRefs>
</ds:datastoreItem>
</file>

<file path=docProps/app.xml><?xml version="1.0" encoding="utf-8"?>
<Properties xmlns="http://schemas.openxmlformats.org/officeDocument/2006/extended-properties" xmlns:vt="http://schemas.openxmlformats.org/officeDocument/2006/docPropsVTypes">
  <Template>Normal.dotm</Template>
  <TotalTime>3</TotalTime>
  <Pages>21</Pages>
  <Words>87011</Words>
  <Characters>495966</Characters>
  <Application>Microsoft Office Word</Application>
  <DocSecurity>0</DocSecurity>
  <Lines>4133</Lines>
  <Paragraphs>1163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581814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Luz Aura De Wit</dc:creator>
  <cp:keywords/>
  <dc:description/>
  <cp:lastModifiedBy>Luz Aura De Wit</cp:lastModifiedBy>
  <cp:revision>3</cp:revision>
  <dcterms:created xsi:type="dcterms:W3CDTF">2020-06-05T22:35:00Z</dcterms:created>
  <dcterms:modified xsi:type="dcterms:W3CDTF">2020-06-07T23:18:00Z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nique User Id_1">
    <vt:lpwstr>eda0bf9e-6cf9-3be8-85eb-d5c84a83cf87</vt:lpwstr>
  </property>
  <property fmtid="{D5CDD505-2E9C-101B-9397-08002B2CF9AE}" pid="4" name="Mendeley Citation Style_1">
    <vt:lpwstr>http://www.zotero.org/styles/ecology</vt:lpwstr>
  </property>
  <property fmtid="{D5CDD505-2E9C-101B-9397-08002B2CF9AE}" pid="5" name="Mendeley Recent Style Id 0_1">
    <vt:lpwstr>http://www.zotero.org/styles/apa</vt:lpwstr>
  </property>
  <property fmtid="{D5CDD505-2E9C-101B-9397-08002B2CF9AE}" pid="6" name="Mendeley Recent Style Name 0_1">
    <vt:lpwstr>American Psychological Association 6th edition</vt:lpwstr>
  </property>
  <property fmtid="{D5CDD505-2E9C-101B-9397-08002B2CF9AE}" pid="7" name="Mendeley Recent Style Id 1_1">
    <vt:lpwstr>http://www.zotero.org/styles/american-sociological-association</vt:lpwstr>
  </property>
  <property fmtid="{D5CDD505-2E9C-101B-9397-08002B2CF9AE}" pid="8" name="Mendeley Recent Style Name 1_1">
    <vt:lpwstr>American Sociological Association</vt:lpwstr>
  </property>
  <property fmtid="{D5CDD505-2E9C-101B-9397-08002B2CF9AE}" pid="9" name="Mendeley Recent Style Id 2_1">
    <vt:lpwstr>http://www.zotero.org/styles/chicago-author-date</vt:lpwstr>
  </property>
  <property fmtid="{D5CDD505-2E9C-101B-9397-08002B2CF9AE}" pid="10" name="Mendeley Recent Style Name 2_1">
    <vt:lpwstr>Chicago Manual of Style 17th edition (author-date)</vt:lpwstr>
  </property>
  <property fmtid="{D5CDD505-2E9C-101B-9397-08002B2CF9AE}" pid="11" name="Mendeley Recent Style Id 3_1">
    <vt:lpwstr>http://www.zotero.org/styles/harvard-cite-them-right</vt:lpwstr>
  </property>
  <property fmtid="{D5CDD505-2E9C-101B-9397-08002B2CF9AE}" pid="12" name="Mendeley Recent Style Name 3_1">
    <vt:lpwstr>Cite Them Right 10th edition - Harvard</vt:lpwstr>
  </property>
  <property fmtid="{D5CDD505-2E9C-101B-9397-08002B2CF9AE}" pid="13" name="Mendeley Recent Style Id 4_1">
    <vt:lpwstr>http://www.zotero.org/styles/ecology</vt:lpwstr>
  </property>
  <property fmtid="{D5CDD505-2E9C-101B-9397-08002B2CF9AE}" pid="14" name="Mendeley Recent Style Name 4_1">
    <vt:lpwstr>Ecology</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(deprecated)</vt:lpwstr>
  </property>
  <property fmtid="{D5CDD505-2E9C-101B-9397-08002B2CF9AE}" pid="17" name="Mendeley Recent Style Id 6_1">
    <vt:lpwstr>http://www.zotero.org/styles/modern-humanities-research-association</vt:lpwstr>
  </property>
  <property fmtid="{D5CDD505-2E9C-101B-9397-08002B2CF9AE}" pid="18" name="Mendeley Recent Style Name 6_1">
    <vt:lpwstr>Modern Humanities Research Association 3rd edition (note with bibliography)</vt:lpwstr>
  </property>
  <property fmtid="{D5CDD505-2E9C-101B-9397-08002B2CF9AE}" pid="19" name="Mendeley Recent Style Id 7_1">
    <vt:lpwstr>http://www.zotero.org/styles/nature</vt:lpwstr>
  </property>
  <property fmtid="{D5CDD505-2E9C-101B-9397-08002B2CF9AE}" pid="20" name="Mendeley Recent Style Name 7_1">
    <vt:lpwstr>Nature</vt:lpwstr>
  </property>
  <property fmtid="{D5CDD505-2E9C-101B-9397-08002B2CF9AE}" pid="21" name="Mendeley Recent Style Id 8_1">
    <vt:lpwstr>http://www.zotero.org/styles/plos-neglected-tropical-diseases</vt:lpwstr>
  </property>
  <property fmtid="{D5CDD505-2E9C-101B-9397-08002B2CF9AE}" pid="22" name="Mendeley Recent Style Name 8_1">
    <vt:lpwstr>PLOS Neglected Tropical Diseases</vt:lpwstr>
  </property>
  <property fmtid="{D5CDD505-2E9C-101B-9397-08002B2CF9AE}" pid="23" name="Mendeley Recent Style Id 9_1">
    <vt:lpwstr>http://www.zotero.org/styles/vancouver</vt:lpwstr>
  </property>
  <property fmtid="{D5CDD505-2E9C-101B-9397-08002B2CF9AE}" pid="24" name="Mendeley Recent Style Name 9_1">
    <vt:lpwstr>Vancouver</vt:lpwstr>
  </property>
  <property fmtid="{D5CDD505-2E9C-101B-9397-08002B2CF9AE}" pid="25" name="ContentTypeId">
    <vt:lpwstr>0x0101003688722E62A6234C83677B3A2A304F4B</vt:lpwstr>
  </property>
</Properties>
</file>