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C5" w:rsidRDefault="00604FFA" w:rsidP="003D65C5">
      <w:pPr>
        <w:spacing w:line="480" w:lineRule="auto"/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t>Supplementary material</w:t>
      </w:r>
      <w:r w:rsidR="003D65C5" w:rsidRPr="0073127C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3D65C5" w:rsidRPr="00062E5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Private-Land Control and Deforestation Dynamics in the context of implementing the Native Forest Law in the Northern Argentinian Dry Chaco</w:t>
      </w:r>
      <w:r w:rsidR="003D65C5" w:rsidRPr="00062E52"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  <w:t xml:space="preserve"> </w:t>
      </w:r>
    </w:p>
    <w:p w:rsidR="003D65C5" w:rsidRPr="00066280" w:rsidRDefault="003D65C5" w:rsidP="003B5CD5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D40B0" w:rsidRPr="002D6ED3" w:rsidRDefault="009D40B0" w:rsidP="009D40B0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73127C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3D65C5" w:rsidRPr="0073127C">
        <w:rPr>
          <w:rFonts w:ascii="Arial" w:hAnsi="Arial" w:cs="Arial"/>
          <w:b/>
          <w:color w:val="000000" w:themeColor="text1"/>
          <w:sz w:val="24"/>
          <w:szCs w:val="24"/>
        </w:rPr>
        <w:t xml:space="preserve">nnex </w:t>
      </w:r>
      <w:r w:rsidR="006D7A8F" w:rsidRPr="0073127C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3D65C5" w:rsidRPr="0073127C">
        <w:rPr>
          <w:rFonts w:ascii="Arial" w:hAnsi="Arial" w:cs="Arial"/>
          <w:b/>
          <w:color w:val="000000" w:themeColor="text1"/>
          <w:sz w:val="24"/>
          <w:szCs w:val="24"/>
        </w:rPr>
        <w:t xml:space="preserve"> (A.</w:t>
      </w:r>
      <w:r w:rsidR="006D7A8F" w:rsidRPr="0073127C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3D65C5" w:rsidRPr="0073127C">
        <w:rPr>
          <w:rFonts w:ascii="Arial" w:hAnsi="Arial" w:cs="Arial"/>
          <w:b/>
          <w:color w:val="000000" w:themeColor="text1"/>
          <w:sz w:val="24"/>
          <w:szCs w:val="24"/>
        </w:rPr>
        <w:t>):</w:t>
      </w:r>
      <w:r w:rsidRPr="009D40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D6ED3">
        <w:rPr>
          <w:rFonts w:ascii="Arial" w:hAnsi="Arial" w:cs="Arial"/>
          <w:color w:val="000000" w:themeColor="text1"/>
          <w:sz w:val="24"/>
          <w:szCs w:val="24"/>
          <w:u w:val="single"/>
        </w:rPr>
        <w:t>Social actors and historical land-use changes</w:t>
      </w:r>
    </w:p>
    <w:p w:rsidR="009D40B0" w:rsidRPr="002D6ED3" w:rsidRDefault="009D40B0" w:rsidP="009D40B0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Inhabitants in the Chaco are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culturally and ethnically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diverse</w:t>
      </w:r>
      <w:r>
        <w:rPr>
          <w:rFonts w:ascii="Arial" w:hAnsi="Arial" w:cs="Arial"/>
          <w:color w:val="000000" w:themeColor="text1"/>
          <w:sz w:val="24"/>
          <w:szCs w:val="24"/>
        </w:rPr>
        <w:t>. H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istor</w:t>
      </w:r>
      <w:r>
        <w:rPr>
          <w:rFonts w:ascii="Arial" w:hAnsi="Arial" w:cs="Arial"/>
          <w:color w:val="000000" w:themeColor="text1"/>
          <w:sz w:val="24"/>
          <w:szCs w:val="24"/>
        </w:rPr>
        <w:t>icall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y </w:t>
      </w:r>
      <w:r>
        <w:rPr>
          <w:rFonts w:ascii="Arial" w:hAnsi="Arial" w:cs="Arial"/>
          <w:color w:val="000000" w:themeColor="text1"/>
          <w:sz w:val="24"/>
          <w:szCs w:val="24"/>
        </w:rPr>
        <w:t>the social and landscape structures have been changing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. The original landscape was mostly grassland with patches of forests, kept stable by periodic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fire management by indigenous people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2015). </w:t>
      </w:r>
      <w:r>
        <w:rPr>
          <w:rFonts w:ascii="Arial" w:hAnsi="Arial" w:cs="Arial"/>
          <w:color w:val="000000" w:themeColor="text1"/>
          <w:sz w:val="24"/>
          <w:szCs w:val="24"/>
        </w:rPr>
        <w:t>The C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haco’s original people are mostly nomadic with economies based </w:t>
      </w:r>
      <w:r>
        <w:rPr>
          <w:rFonts w:ascii="Arial" w:hAnsi="Arial" w:cs="Arial"/>
          <w:color w:val="000000" w:themeColor="text1"/>
          <w:sz w:val="24"/>
          <w:szCs w:val="24"/>
        </w:rPr>
        <w:t>on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fishing, hunting and gathering. The arrival of the Europeans and the domestic cattle changed the frequency and intensity of the fires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drastically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leading to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shrub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encroachment of the region (Bucher and </w:t>
      </w:r>
      <w:r>
        <w:rPr>
          <w:rFonts w:ascii="Arial" w:hAnsi="Arial" w:cs="Arial"/>
          <w:color w:val="000000" w:themeColor="text1"/>
          <w:sz w:val="24"/>
          <w:szCs w:val="24"/>
        </w:rPr>
        <w:t>Schofield 1981;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2015) and, at the same time,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to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the displacement of indigenous communities.  </w:t>
      </w:r>
    </w:p>
    <w:p w:rsidR="009D40B0" w:rsidRPr="002D6ED3" w:rsidRDefault="009D40B0" w:rsidP="009D40B0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The expansion of the railroads and colonization programs into the region since the 1880s allowed </w:t>
      </w:r>
      <w:r>
        <w:rPr>
          <w:rFonts w:ascii="Arial" w:hAnsi="Arial" w:cs="Arial"/>
          <w:color w:val="000000" w:themeColor="text1"/>
          <w:sz w:val="24"/>
          <w:szCs w:val="24"/>
        </w:rPr>
        <w:t>greater dispersal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of the peasants (i.e.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campesinos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or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criollos</w:t>
      </w:r>
      <w:proofErr w:type="spellEnd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 xml:space="preserve">;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local people of European and indigenous descent;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Mastrangelo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2019) into the forests, with the practices of extensive cattle ranching and wood extraction (Bucher and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Huszar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1999). This process generated a constant transformation of the forests, with small settlements for cattle ranching including a water source, and basic infrastructure locally known as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puestos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>
        <w:rPr>
          <w:rFonts w:ascii="Arial" w:hAnsi="Arial" w:cs="Arial"/>
          <w:color w:val="000000" w:themeColor="text1"/>
          <w:sz w:val="24"/>
          <w:szCs w:val="24"/>
        </w:rPr>
        <w:t>see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2008,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Macchi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2012). Progressive impoverishment of forests by unplanned logging and overgrazing</w:t>
      </w:r>
      <w:r>
        <w:rPr>
          <w:rFonts w:ascii="Arial" w:hAnsi="Arial" w:cs="Arial"/>
          <w:color w:val="000000" w:themeColor="text1"/>
          <w:sz w:val="24"/>
          <w:szCs w:val="24"/>
        </w:rPr>
        <w:t>,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coupled with lack of rural employment opportunities, stimulated the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migration of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young </w:t>
      </w:r>
      <w:r>
        <w:rPr>
          <w:rFonts w:ascii="Arial" w:hAnsi="Arial" w:cs="Arial"/>
          <w:color w:val="000000" w:themeColor="text1"/>
          <w:sz w:val="24"/>
          <w:szCs w:val="24"/>
        </w:rPr>
        <w:t>people to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the periphery of the cities (Bucher and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Huszar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1999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). The current population, still at a very low density (</w:t>
      </w:r>
      <w:r>
        <w:rPr>
          <w:rFonts w:ascii="Arial" w:hAnsi="Arial" w:cs="Arial"/>
          <w:color w:val="000000" w:themeColor="text1"/>
          <w:sz w:val="24"/>
          <w:szCs w:val="24"/>
        </w:rPr>
        <w:t>&lt;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3.1 inhabitants</w:t>
      </w:r>
      <w:r>
        <w:rPr>
          <w:rFonts w:ascii="Arial" w:hAnsi="Arial" w:cs="Arial"/>
          <w:color w:val="000000" w:themeColor="text1"/>
          <w:sz w:val="24"/>
          <w:szCs w:val="24"/>
        </w:rPr>
        <w:t>/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km</w:t>
      </w:r>
      <w:r w:rsidRPr="002D6ED3">
        <w:rPr>
          <w:rFonts w:ascii="Arial" w:hAnsi="Arial" w:cs="Arial"/>
          <w:color w:val="000000" w:themeColor="text1"/>
          <w:sz w:val="24"/>
          <w:szCs w:val="24"/>
          <w:vertAlign w:val="superscript"/>
        </w:rPr>
        <w:t>2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), accounts for </w:t>
      </w:r>
      <w:r w:rsidRPr="00AD7E7E">
        <w:rPr>
          <w:rFonts w:ascii="Arial" w:hAnsi="Arial" w:cs="Arial"/>
          <w:i/>
          <w:iCs/>
          <w:color w:val="000000" w:themeColor="text1"/>
          <w:sz w:val="24"/>
          <w:szCs w:val="24"/>
        </w:rPr>
        <w:t>c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. 550 000 inhabitants (in 2010), </w:t>
      </w:r>
      <w:r>
        <w:rPr>
          <w:rFonts w:ascii="Arial" w:hAnsi="Arial" w:cs="Arial"/>
          <w:color w:val="000000" w:themeColor="text1"/>
          <w:sz w:val="24"/>
          <w:szCs w:val="24"/>
        </w:rPr>
        <w:t>or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68% of </w:t>
      </w:r>
      <w:r>
        <w:rPr>
          <w:rFonts w:ascii="Arial" w:hAnsi="Arial" w:cs="Arial"/>
          <w:color w:val="000000" w:themeColor="text1"/>
          <w:sz w:val="24"/>
          <w:szCs w:val="24"/>
        </w:rPr>
        <w:t>the total rural population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(INDEC, National Census 2010, www.indec.gob.ar). </w:t>
      </w:r>
    </w:p>
    <w:p w:rsidR="009D40B0" w:rsidRPr="002D6ED3" w:rsidRDefault="009D40B0" w:rsidP="009D40B0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Local r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ural people are peasants and indigenous communities, mostly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Wichí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within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the study area, but also other ethnic groups in different regions, such as Qom,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Pilagá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Guarani and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Lule-Vilela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communities (INAI 2020). Both social groups, peasants and indigenous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peoples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>
        <w:rPr>
          <w:rFonts w:ascii="Arial" w:hAnsi="Arial" w:cs="Arial"/>
          <w:color w:val="000000" w:themeColor="text1"/>
          <w:sz w:val="24"/>
          <w:szCs w:val="24"/>
        </w:rPr>
        <w:t>have amongst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the highest poverty levels of Argentina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Longhi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2014;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Krapovickas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2016). </w:t>
      </w:r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Their access to natural resources was traditionally 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>open</w:t>
      </w:r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, and goods were considered and used in practice as a common-pool resource.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They have </w:t>
      </w:r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historically used firewood as the main source of energy, and bush meat as an important source of protein (Bucher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and</w:t>
      </w:r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>Huszar</w:t>
      </w:r>
      <w:proofErr w:type="spellEnd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 1999; </w:t>
      </w:r>
      <w:proofErr w:type="spellStart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>Altrichter</w:t>
      </w:r>
      <w:proofErr w:type="spellEnd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and</w:t>
      </w:r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>Basurto</w:t>
      </w:r>
      <w:proofErr w:type="spellEnd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 2008; </w:t>
      </w:r>
      <w:proofErr w:type="spellStart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>Krapovickas</w:t>
      </w:r>
      <w:proofErr w:type="spellEnd"/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 et al. 2016). Their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economy is mainly based on crops for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their own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consumption, selective logging, hunting and gathering. </w:t>
      </w:r>
      <w:r w:rsidRPr="002D6ED3">
        <w:rPr>
          <w:rFonts w:ascii="Arial" w:eastAsia="Arial" w:hAnsi="Arial" w:cs="Arial"/>
          <w:color w:val="000000" w:themeColor="text1"/>
          <w:sz w:val="24"/>
          <w:szCs w:val="24"/>
        </w:rPr>
        <w:t xml:space="preserve">While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indigenous people live aggregated in communities (</w:t>
      </w:r>
      <w:r>
        <w:rPr>
          <w:rFonts w:ascii="Arial" w:hAnsi="Arial" w:cs="Arial"/>
          <w:color w:val="000000" w:themeColor="text1"/>
          <w:sz w:val="24"/>
          <w:szCs w:val="24"/>
        </w:rPr>
        <w:t>&gt;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50% of the indigenous people of Argentina live within the study area;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Cervera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-Novo 2010), peasants are highly dispersed across the forest, and are mainly cattle breeders </w:t>
      </w:r>
      <w:r>
        <w:rPr>
          <w:rFonts w:ascii="Arial" w:hAnsi="Arial" w:cs="Arial"/>
          <w:color w:val="000000" w:themeColor="text1"/>
          <w:sz w:val="24"/>
          <w:szCs w:val="24"/>
        </w:rPr>
        <w:t>that practice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extensive ranching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Marinaro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2017). </w:t>
      </w:r>
    </w:p>
    <w:p w:rsidR="009D40B0" w:rsidRDefault="009D40B0" w:rsidP="00DE0502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D6ED3">
        <w:rPr>
          <w:rFonts w:ascii="Arial" w:hAnsi="Arial" w:cs="Arial"/>
          <w:color w:val="000000" w:themeColor="text1"/>
          <w:sz w:val="24"/>
          <w:szCs w:val="24"/>
        </w:rPr>
        <w:t>The arrival of genetically modified soybean in the 1980s brought a new type of social actor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into the region, namely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large-scale producers. They came to the region with technology, capital, know-how and machinery to develop intensified agricultural activities, </w:t>
      </w:r>
      <w:r>
        <w:rPr>
          <w:rFonts w:ascii="Arial" w:hAnsi="Arial" w:cs="Arial"/>
          <w:color w:val="000000" w:themeColor="text1"/>
          <w:sz w:val="24"/>
          <w:szCs w:val="24"/>
        </w:rPr>
        <w:t>often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renting the land (le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Polain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Waroux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2018). Soybean cultivation started in the early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1970s in the Pampa ecoregion, which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displaced most ranching into the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Espinal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ecoregion and the more isolated areas of the Chaco ecoregion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Pengue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2014;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Viglizzo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2011;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Piquer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-Rodríguez et al. 2018). By the 1990s, soybean had expanded into the Chaco and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Espinal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regions, due to increasing soybean prices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Cáceres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2015;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Leguizamón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2016) and new political and economic reforms that facilitated the increased production of crops in Argentina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Pengue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2005), including genetically modiﬁed soybean varieties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Cáceres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2015;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Leguizamón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2016). These land-use changes resulted in </w:t>
      </w:r>
      <w:r w:rsidRPr="00F24303">
        <w:rPr>
          <w:rFonts w:ascii="Arial" w:hAnsi="Arial" w:cs="Arial"/>
          <w:i/>
          <w:iCs/>
          <w:color w:val="000000" w:themeColor="text1"/>
          <w:sz w:val="24"/>
          <w:szCs w:val="24"/>
        </w:rPr>
        <w:t>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14% of the Argentinian Chaco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being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converted into agriculture by 2015 (Baumann et al. 2016).</w:t>
      </w:r>
    </w:p>
    <w:p w:rsidR="00684313" w:rsidRDefault="00684313" w:rsidP="00DE0502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84313" w:rsidRDefault="00684313" w:rsidP="00DE0502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3630EC">
        <w:rPr>
          <w:rFonts w:ascii="Arial" w:hAnsi="Arial" w:cs="Arial"/>
          <w:color w:val="000000" w:themeColor="text1"/>
          <w:sz w:val="24"/>
          <w:szCs w:val="24"/>
          <w:u w:val="single"/>
        </w:rPr>
        <w:t>References</w:t>
      </w:r>
    </w:p>
    <w:p w:rsidR="0077288A" w:rsidRPr="002D6ED3" w:rsidRDefault="0077288A" w:rsidP="0077288A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77288A">
        <w:rPr>
          <w:rFonts w:ascii="Arial" w:hAnsi="Arial" w:cs="Arial"/>
          <w:sz w:val="24"/>
          <w:szCs w:val="24"/>
        </w:rPr>
        <w:t xml:space="preserve">Baumann M, </w:t>
      </w:r>
      <w:proofErr w:type="spellStart"/>
      <w:r w:rsidRPr="0077288A">
        <w:rPr>
          <w:rFonts w:ascii="Arial" w:hAnsi="Arial" w:cs="Arial"/>
          <w:sz w:val="24"/>
          <w:szCs w:val="24"/>
        </w:rPr>
        <w:t>Gasparri</w:t>
      </w:r>
      <w:proofErr w:type="spellEnd"/>
      <w:r w:rsidRPr="0077288A">
        <w:rPr>
          <w:rFonts w:ascii="Arial" w:hAnsi="Arial" w:cs="Arial"/>
          <w:sz w:val="24"/>
          <w:szCs w:val="24"/>
        </w:rPr>
        <w:t xml:space="preserve"> NI, </w:t>
      </w:r>
      <w:proofErr w:type="spellStart"/>
      <w:r w:rsidRPr="0077288A">
        <w:rPr>
          <w:rFonts w:ascii="Arial" w:hAnsi="Arial" w:cs="Arial"/>
          <w:sz w:val="24"/>
          <w:szCs w:val="24"/>
        </w:rPr>
        <w:t>Piquer</w:t>
      </w:r>
      <w:proofErr w:type="spellEnd"/>
      <w:r w:rsidRPr="0077288A">
        <w:rPr>
          <w:rFonts w:ascii="Arial" w:hAnsi="Arial" w:cs="Arial"/>
          <w:sz w:val="24"/>
          <w:szCs w:val="24"/>
        </w:rPr>
        <w:t xml:space="preserve">-Rodríguez M, </w:t>
      </w:r>
      <w:proofErr w:type="spellStart"/>
      <w:r w:rsidRPr="0077288A">
        <w:rPr>
          <w:rFonts w:ascii="Arial" w:hAnsi="Arial" w:cs="Arial"/>
          <w:sz w:val="24"/>
          <w:szCs w:val="24"/>
        </w:rPr>
        <w:t>Gavier</w:t>
      </w:r>
      <w:proofErr w:type="spellEnd"/>
      <w:r w:rsidRPr="0077288A">
        <w:rPr>
          <w:rFonts w:ascii="Arial" w:hAnsi="Arial" w:cs="Arial"/>
          <w:sz w:val="24"/>
          <w:szCs w:val="24"/>
        </w:rPr>
        <w:t xml:space="preserve"> Pizarro G, Gri</w:t>
      </w:r>
      <w:r w:rsidRPr="002D6ED3">
        <w:rPr>
          <w:rFonts w:ascii="Arial" w:hAnsi="Arial" w:cs="Arial"/>
          <w:sz w:val="24"/>
          <w:szCs w:val="24"/>
        </w:rPr>
        <w:t>ﬃ</w:t>
      </w:r>
      <w:r w:rsidRPr="0077288A">
        <w:rPr>
          <w:rFonts w:ascii="Arial" w:hAnsi="Arial" w:cs="Arial"/>
          <w:sz w:val="24"/>
          <w:szCs w:val="24"/>
        </w:rPr>
        <w:t xml:space="preserve">ths P, </w:t>
      </w:r>
      <w:proofErr w:type="spellStart"/>
      <w:r w:rsidRPr="0077288A">
        <w:rPr>
          <w:rFonts w:ascii="Arial" w:hAnsi="Arial" w:cs="Arial"/>
          <w:sz w:val="24"/>
          <w:szCs w:val="24"/>
        </w:rPr>
        <w:t>Hostert</w:t>
      </w:r>
      <w:proofErr w:type="spellEnd"/>
      <w:r w:rsidRPr="0077288A">
        <w:rPr>
          <w:rFonts w:ascii="Arial" w:hAnsi="Arial" w:cs="Arial"/>
          <w:sz w:val="24"/>
          <w:szCs w:val="24"/>
        </w:rPr>
        <w:t xml:space="preserve"> P, et al. </w:t>
      </w:r>
      <w:r w:rsidRPr="002D6ED3">
        <w:rPr>
          <w:rFonts w:ascii="Arial" w:hAnsi="Arial" w:cs="Arial"/>
          <w:sz w:val="24"/>
          <w:szCs w:val="24"/>
        </w:rPr>
        <w:t xml:space="preserve">(2016) Carbon emissions from agricultural expansion and intensiﬁcation in the Chaco. </w:t>
      </w:r>
      <w:r w:rsidRPr="002D6ED3">
        <w:rPr>
          <w:rFonts w:ascii="Arial" w:hAnsi="Arial" w:cs="Arial"/>
          <w:i/>
          <w:sz w:val="24"/>
          <w:szCs w:val="24"/>
        </w:rPr>
        <w:t>Global Change Biology</w:t>
      </w:r>
      <w:r w:rsidRPr="002D6ED3">
        <w:rPr>
          <w:rFonts w:ascii="Arial" w:hAnsi="Arial" w:cs="Arial"/>
          <w:sz w:val="24"/>
          <w:szCs w:val="24"/>
        </w:rPr>
        <w:t>. http://dx.doi.org/10.1111/gcb.13521.</w:t>
      </w:r>
    </w:p>
    <w:p w:rsidR="0077288A" w:rsidRPr="002D6ED3" w:rsidRDefault="0077288A" w:rsidP="0077288A">
      <w:pPr>
        <w:spacing w:after="120" w:line="480" w:lineRule="auto"/>
        <w:rPr>
          <w:rStyle w:val="Hipervnculo"/>
          <w:rFonts w:ascii="Arial" w:hAnsi="Arial" w:cs="Arial"/>
          <w:bCs/>
          <w:sz w:val="24"/>
          <w:szCs w:val="24"/>
        </w:rPr>
      </w:pPr>
    </w:p>
    <w:p w:rsidR="00E47BEA" w:rsidRDefault="003E4A7A" w:rsidP="00E47BEA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  <w:r w:rsidRPr="002D6ED3">
        <w:rPr>
          <w:rFonts w:ascii="Arial" w:hAnsi="Arial" w:cs="Arial"/>
          <w:sz w:val="24"/>
          <w:szCs w:val="24"/>
        </w:rPr>
        <w:t xml:space="preserve">Bucher EH, Schofield CJ (1981) Economic assault on Chagas disease. </w:t>
      </w:r>
      <w:r w:rsidRPr="003E4A7A">
        <w:rPr>
          <w:rFonts w:ascii="Arial" w:hAnsi="Arial" w:cs="Arial"/>
          <w:i/>
          <w:sz w:val="24"/>
          <w:szCs w:val="24"/>
        </w:rPr>
        <w:t>New Scientist</w:t>
      </w:r>
      <w:r w:rsidRPr="003E4A7A">
        <w:rPr>
          <w:rFonts w:ascii="Arial" w:hAnsi="Arial" w:cs="Arial"/>
          <w:sz w:val="24"/>
          <w:szCs w:val="24"/>
        </w:rPr>
        <w:t xml:space="preserve"> 92: 321-324.</w:t>
      </w:r>
    </w:p>
    <w:p w:rsidR="00E47BEA" w:rsidRDefault="00E47BEA" w:rsidP="00E47BEA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</w:p>
    <w:p w:rsidR="00E47BEA" w:rsidRPr="002D6ED3" w:rsidRDefault="00E47BEA" w:rsidP="00E47BEA">
      <w:pPr>
        <w:autoSpaceDE w:val="0"/>
        <w:autoSpaceDN w:val="0"/>
        <w:adjustRightInd w:val="0"/>
        <w:spacing w:after="120" w:line="480" w:lineRule="auto"/>
        <w:rPr>
          <w:rStyle w:val="Hipervnculo"/>
          <w:rFonts w:ascii="Arial" w:hAnsi="Arial" w:cs="Arial"/>
          <w:sz w:val="24"/>
          <w:szCs w:val="24"/>
        </w:rPr>
      </w:pP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Bucher EH,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Huszar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PC (1999) Sustainable management of the Gran Chaco of South America: ecological promise and economic constraints.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Journal of Environmental Management 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57: 99–108. </w:t>
      </w:r>
      <w:r w:rsidRPr="002D6ED3">
        <w:rPr>
          <w:rFonts w:ascii="Arial" w:hAnsi="Arial" w:cs="Arial"/>
          <w:sz w:val="24"/>
          <w:szCs w:val="24"/>
        </w:rPr>
        <w:t>https://doi.org/10.1006/jema.1999.0290</w:t>
      </w:r>
    </w:p>
    <w:p w:rsidR="00E47BEA" w:rsidRDefault="00E47BEA" w:rsidP="00E47BEA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</w:p>
    <w:p w:rsidR="005F3432" w:rsidRPr="005F3432" w:rsidRDefault="005F3432" w:rsidP="005F3432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Cáceres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DM (2015) Accumulation by dispossession and socio-environmental conﬂicts caused by the expansion of agribusiness in Argentina.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 </w:t>
      </w:r>
      <w:proofErr w:type="spellStart"/>
      <w:r w:rsidRPr="005F3432">
        <w:rPr>
          <w:rFonts w:ascii="Arial" w:eastAsiaTheme="minorHAnsi" w:hAnsi="Arial" w:cs="Arial"/>
          <w:i/>
          <w:sz w:val="24"/>
          <w:szCs w:val="24"/>
          <w:lang w:val="es-ES" w:eastAsia="en-US"/>
        </w:rPr>
        <w:t>Journal</w:t>
      </w:r>
      <w:proofErr w:type="spellEnd"/>
      <w:r w:rsidRPr="005F3432">
        <w:rPr>
          <w:rFonts w:ascii="Arial" w:eastAsiaTheme="minorHAnsi" w:hAnsi="Arial" w:cs="Arial"/>
          <w:i/>
          <w:sz w:val="24"/>
          <w:szCs w:val="24"/>
          <w:lang w:val="es-ES" w:eastAsia="en-US"/>
        </w:rPr>
        <w:t xml:space="preserve"> of </w:t>
      </w:r>
      <w:proofErr w:type="spellStart"/>
      <w:r w:rsidRPr="005F3432">
        <w:rPr>
          <w:rFonts w:ascii="Arial" w:eastAsiaTheme="minorHAnsi" w:hAnsi="Arial" w:cs="Arial"/>
          <w:i/>
          <w:sz w:val="24"/>
          <w:szCs w:val="24"/>
          <w:lang w:val="es-ES" w:eastAsia="en-US"/>
        </w:rPr>
        <w:t>Agrarian</w:t>
      </w:r>
      <w:proofErr w:type="spellEnd"/>
      <w:r w:rsidRPr="005F3432">
        <w:rPr>
          <w:rFonts w:ascii="Arial" w:eastAsiaTheme="minorHAnsi" w:hAnsi="Arial" w:cs="Arial"/>
          <w:i/>
          <w:sz w:val="24"/>
          <w:szCs w:val="24"/>
          <w:lang w:val="es-ES" w:eastAsia="en-US"/>
        </w:rPr>
        <w:t xml:space="preserve"> </w:t>
      </w:r>
      <w:proofErr w:type="spellStart"/>
      <w:r w:rsidRPr="005F3432">
        <w:rPr>
          <w:rFonts w:ascii="Arial" w:eastAsiaTheme="minorHAnsi" w:hAnsi="Arial" w:cs="Arial"/>
          <w:i/>
          <w:sz w:val="24"/>
          <w:szCs w:val="24"/>
          <w:lang w:val="es-ES" w:eastAsia="en-US"/>
        </w:rPr>
        <w:t>Change</w:t>
      </w:r>
      <w:proofErr w:type="spellEnd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15:116–147.</w:t>
      </w:r>
    </w:p>
    <w:p w:rsidR="005F3432" w:rsidRPr="005F3432" w:rsidRDefault="005F3432" w:rsidP="005F3432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</w:p>
    <w:p w:rsidR="00106191" w:rsidRPr="002D6ED3" w:rsidRDefault="00106191" w:rsidP="00106191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AR" w:eastAsia="en-US"/>
        </w:rPr>
      </w:pPr>
      <w:r w:rsidRPr="002D6ED3">
        <w:rPr>
          <w:rFonts w:ascii="Arial" w:eastAsiaTheme="minorHAnsi" w:hAnsi="Arial" w:cs="Arial"/>
          <w:sz w:val="24"/>
          <w:szCs w:val="24"/>
          <w:lang w:val="es-AR" w:eastAsia="en-US"/>
        </w:rPr>
        <w:t xml:space="preserve">Cervera-Novo JP (2010) </w:t>
      </w:r>
      <w:r w:rsidRPr="002D6ED3">
        <w:rPr>
          <w:rFonts w:ascii="Arial" w:eastAsiaTheme="minorHAnsi" w:hAnsi="Arial" w:cs="Arial"/>
          <w:i/>
          <w:iCs/>
          <w:sz w:val="24"/>
          <w:szCs w:val="24"/>
          <w:lang w:val="es-AR" w:eastAsia="en-US"/>
        </w:rPr>
        <w:t>La cuestión indígena en la Argentina, un estudio de actualización</w:t>
      </w:r>
      <w:r w:rsidRPr="002D6ED3">
        <w:rPr>
          <w:rFonts w:ascii="Arial" w:eastAsiaTheme="minorHAnsi" w:hAnsi="Arial" w:cs="Arial"/>
          <w:sz w:val="24"/>
          <w:szCs w:val="24"/>
          <w:lang w:val="es-AR" w:eastAsia="en-US"/>
        </w:rPr>
        <w:t>. Buenos Aires: Ministerio de Agricultura, Ganadería y Pesca de la Nación.</w:t>
      </w:r>
    </w:p>
    <w:p w:rsidR="00106191" w:rsidRPr="002D6ED3" w:rsidRDefault="00106191" w:rsidP="00106191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AR" w:eastAsia="en-US"/>
        </w:rPr>
      </w:pPr>
    </w:p>
    <w:p w:rsidR="00E47BEA" w:rsidRPr="002D6ED3" w:rsidRDefault="00E47BEA" w:rsidP="00E47BEA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Grau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HR,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Gasparri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NI, Aide TM (2008) Balancing food production and nature conservation in the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neotropical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dry forest of northern Argentina.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>Global Change Biology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14: 985–97. </w:t>
      </w:r>
      <w:r w:rsidRPr="002D6ED3">
        <w:rPr>
          <w:rFonts w:ascii="Arial" w:hAnsi="Arial" w:cs="Arial"/>
          <w:sz w:val="24"/>
          <w:szCs w:val="24"/>
        </w:rPr>
        <w:t>DOI: 10.1111/j.1365-2486.</w:t>
      </w:r>
      <w:proofErr w:type="gramStart"/>
      <w:r w:rsidRPr="002D6ED3">
        <w:rPr>
          <w:rFonts w:ascii="Arial" w:hAnsi="Arial" w:cs="Arial"/>
          <w:sz w:val="24"/>
          <w:szCs w:val="24"/>
        </w:rPr>
        <w:t>2008.01554.x</w:t>
      </w:r>
      <w:proofErr w:type="gramEnd"/>
    </w:p>
    <w:p w:rsidR="00E47BEA" w:rsidRPr="00E6443E" w:rsidRDefault="00E47BEA" w:rsidP="00E47BE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n-CA" w:eastAsia="en-US"/>
        </w:rPr>
      </w:pPr>
    </w:p>
    <w:p w:rsidR="003E4A7A" w:rsidRDefault="003E4A7A" w:rsidP="003E4A7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n-CA" w:eastAsia="en-US"/>
        </w:rPr>
      </w:pP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Grau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HR, Torres R, </w:t>
      </w: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Gasparri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NI, </w:t>
      </w: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Blendinger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PG, </w:t>
      </w: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Marinaro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S, </w:t>
      </w: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Macchi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L (2015) Natural grasslands in the Chaco. A neglected ecosystem under threat by agriculture expansion and forest-oriented conservation policies. </w:t>
      </w:r>
      <w:r w:rsidRPr="00E6443E">
        <w:rPr>
          <w:rFonts w:ascii="Arial" w:eastAsiaTheme="minorHAnsi" w:hAnsi="Arial" w:cs="Arial"/>
          <w:i/>
          <w:sz w:val="24"/>
          <w:szCs w:val="24"/>
          <w:lang w:val="en-CA" w:eastAsia="en-US"/>
        </w:rPr>
        <w:t xml:space="preserve">Journal of Arid Environment </w:t>
      </w:r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123: 40-45 </w:t>
      </w:r>
      <w:r w:rsidRPr="006118E9">
        <w:rPr>
          <w:rFonts w:ascii="Arial" w:eastAsiaTheme="minorHAnsi" w:hAnsi="Arial" w:cs="Arial"/>
          <w:sz w:val="24"/>
          <w:szCs w:val="24"/>
          <w:lang w:val="en-CA" w:eastAsia="en-US"/>
        </w:rPr>
        <w:t>https://doi.org/10.1016/j.jaridenv.2014.12.006</w:t>
      </w:r>
    </w:p>
    <w:p w:rsidR="003E4A7A" w:rsidRDefault="003E4A7A" w:rsidP="003E4A7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n-CA" w:eastAsia="en-US"/>
        </w:rPr>
      </w:pPr>
    </w:p>
    <w:p w:rsidR="00E33F94" w:rsidRPr="002D6ED3" w:rsidRDefault="00E33F94" w:rsidP="00E33F94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  <w:r w:rsidRPr="00E6443E">
        <w:rPr>
          <w:rFonts w:ascii="Arial" w:hAnsi="Arial" w:cs="Arial"/>
          <w:sz w:val="24"/>
          <w:szCs w:val="24"/>
        </w:rPr>
        <w:t xml:space="preserve">INAI (Argentinian Institute of Indigenous Issues) (2020) </w:t>
      </w:r>
      <w:proofErr w:type="spellStart"/>
      <w:r w:rsidRPr="00E6443E">
        <w:rPr>
          <w:rFonts w:ascii="Arial" w:hAnsi="Arial" w:cs="Arial"/>
          <w:sz w:val="24"/>
          <w:szCs w:val="24"/>
        </w:rPr>
        <w:t>Mapa</w:t>
      </w:r>
      <w:proofErr w:type="spellEnd"/>
      <w:r w:rsidRPr="00E6443E">
        <w:rPr>
          <w:rFonts w:ascii="Arial" w:hAnsi="Arial" w:cs="Arial"/>
          <w:sz w:val="24"/>
          <w:szCs w:val="24"/>
        </w:rPr>
        <w:t xml:space="preserve"> de Pueblos </w:t>
      </w:r>
      <w:proofErr w:type="spellStart"/>
      <w:r w:rsidRPr="00E6443E">
        <w:rPr>
          <w:rFonts w:ascii="Arial" w:hAnsi="Arial" w:cs="Arial"/>
          <w:sz w:val="24"/>
          <w:szCs w:val="24"/>
        </w:rPr>
        <w:t>Originarios</w:t>
      </w:r>
      <w:proofErr w:type="spellEnd"/>
      <w:r w:rsidRPr="00E64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443E">
        <w:rPr>
          <w:rFonts w:ascii="Arial" w:hAnsi="Arial" w:cs="Arial"/>
          <w:sz w:val="24"/>
          <w:szCs w:val="24"/>
        </w:rPr>
        <w:t>en</w:t>
      </w:r>
      <w:proofErr w:type="spellEnd"/>
      <w:r w:rsidRPr="00E64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443E">
        <w:rPr>
          <w:rFonts w:ascii="Arial" w:hAnsi="Arial" w:cs="Arial"/>
          <w:sz w:val="24"/>
          <w:szCs w:val="24"/>
        </w:rPr>
        <w:t>Territorios</w:t>
      </w:r>
      <w:proofErr w:type="spellEnd"/>
      <w:r w:rsidRPr="00E644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6443E">
        <w:rPr>
          <w:rFonts w:ascii="Arial" w:hAnsi="Arial" w:cs="Arial"/>
          <w:sz w:val="24"/>
          <w:szCs w:val="24"/>
        </w:rPr>
        <w:t>Indígenas</w:t>
      </w:r>
      <w:proofErr w:type="spellEnd"/>
      <w:r w:rsidRPr="00E6443E">
        <w:rPr>
          <w:rFonts w:ascii="Arial" w:hAnsi="Arial" w:cs="Arial"/>
          <w:sz w:val="24"/>
          <w:szCs w:val="24"/>
        </w:rPr>
        <w:t xml:space="preserve">. </w:t>
      </w:r>
      <w:r w:rsidRPr="002D6ED3">
        <w:rPr>
          <w:rFonts w:ascii="Arial" w:hAnsi="Arial" w:cs="Arial"/>
          <w:sz w:val="24"/>
          <w:szCs w:val="24"/>
        </w:rPr>
        <w:t>Last access: July 14</w:t>
      </w:r>
      <w:r w:rsidRPr="002D6ED3">
        <w:rPr>
          <w:rFonts w:ascii="Arial" w:hAnsi="Arial" w:cs="Arial"/>
          <w:sz w:val="24"/>
          <w:szCs w:val="24"/>
          <w:vertAlign w:val="superscript"/>
        </w:rPr>
        <w:t>th</w:t>
      </w:r>
      <w:r w:rsidRPr="002D6ED3">
        <w:rPr>
          <w:rFonts w:ascii="Arial" w:hAnsi="Arial" w:cs="Arial"/>
          <w:sz w:val="24"/>
          <w:szCs w:val="24"/>
        </w:rPr>
        <w:t>, 2020. https://www.argentina.gob.ar/derechoshumanos/inai/mapa</w:t>
      </w:r>
    </w:p>
    <w:p w:rsidR="00E33F94" w:rsidRPr="00E33F94" w:rsidRDefault="00E33F94" w:rsidP="003E4A7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6118E9" w:rsidRPr="002D6ED3" w:rsidRDefault="006118E9" w:rsidP="006118E9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  <w:r w:rsidRPr="00E33F94">
        <w:rPr>
          <w:rFonts w:ascii="Arial" w:hAnsi="Arial" w:cs="Arial"/>
          <w:sz w:val="24"/>
          <w:szCs w:val="24"/>
        </w:rPr>
        <w:t xml:space="preserve">INDEC (Argentinian Institute of Statistics and Census) (2010) </w:t>
      </w:r>
      <w:proofErr w:type="spellStart"/>
      <w:r w:rsidRPr="00E33F94">
        <w:rPr>
          <w:rFonts w:ascii="Arial" w:hAnsi="Arial" w:cs="Arial"/>
          <w:sz w:val="24"/>
          <w:szCs w:val="24"/>
        </w:rPr>
        <w:t>Censo</w:t>
      </w:r>
      <w:proofErr w:type="spellEnd"/>
      <w:r w:rsidRPr="00E33F9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3F94">
        <w:rPr>
          <w:rFonts w:ascii="Arial" w:hAnsi="Arial" w:cs="Arial"/>
          <w:sz w:val="24"/>
          <w:szCs w:val="24"/>
        </w:rPr>
        <w:t>nacional</w:t>
      </w:r>
      <w:proofErr w:type="spellEnd"/>
      <w:r w:rsidRPr="00E33F94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E33F94">
        <w:rPr>
          <w:rFonts w:ascii="Arial" w:hAnsi="Arial" w:cs="Arial"/>
          <w:sz w:val="24"/>
          <w:szCs w:val="24"/>
        </w:rPr>
        <w:t>población</w:t>
      </w:r>
      <w:proofErr w:type="spellEnd"/>
      <w:r w:rsidRPr="00E33F94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33F94">
        <w:rPr>
          <w:rFonts w:ascii="Arial" w:hAnsi="Arial" w:cs="Arial"/>
          <w:sz w:val="24"/>
          <w:szCs w:val="24"/>
        </w:rPr>
        <w:t>hogares</w:t>
      </w:r>
      <w:proofErr w:type="spellEnd"/>
      <w:r w:rsidRPr="00E33F94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E33F94">
        <w:rPr>
          <w:rFonts w:ascii="Arial" w:hAnsi="Arial" w:cs="Arial"/>
          <w:sz w:val="24"/>
          <w:szCs w:val="24"/>
        </w:rPr>
        <w:t>viviendas</w:t>
      </w:r>
      <w:proofErr w:type="spellEnd"/>
      <w:r w:rsidRPr="00E33F94">
        <w:rPr>
          <w:rFonts w:ascii="Arial" w:hAnsi="Arial" w:cs="Arial"/>
          <w:sz w:val="24"/>
          <w:szCs w:val="24"/>
        </w:rPr>
        <w:t xml:space="preserve"> 2010. </w:t>
      </w:r>
      <w:r w:rsidRPr="002D6ED3">
        <w:rPr>
          <w:rFonts w:ascii="Arial" w:hAnsi="Arial" w:cs="Arial"/>
          <w:sz w:val="24"/>
          <w:szCs w:val="24"/>
        </w:rPr>
        <w:t xml:space="preserve">Buenos Aires, Argentina. www.indec.gob.ar </w:t>
      </w:r>
    </w:p>
    <w:p w:rsidR="006118E9" w:rsidRDefault="006118E9" w:rsidP="006118E9">
      <w:pPr>
        <w:autoSpaceDE w:val="0"/>
        <w:autoSpaceDN w:val="0"/>
        <w:adjustRightInd w:val="0"/>
        <w:spacing w:after="120" w:line="480" w:lineRule="auto"/>
        <w:rPr>
          <w:rStyle w:val="highwire-citation-author"/>
          <w:rFonts w:ascii="Arial" w:hAnsi="Arial" w:cs="Arial"/>
          <w:sz w:val="24"/>
          <w:szCs w:val="24"/>
        </w:rPr>
      </w:pPr>
    </w:p>
    <w:p w:rsidR="00AE3E7F" w:rsidRDefault="00AE3E7F" w:rsidP="00AE3E7F">
      <w:pPr>
        <w:spacing w:after="120" w:line="480" w:lineRule="auto"/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  <w:lang w:val="es-ES"/>
        </w:rPr>
      </w:pPr>
      <w:proofErr w:type="spellStart"/>
      <w:r w:rsidRPr="002D6ED3">
        <w:rPr>
          <w:rFonts w:ascii="Arial" w:hAnsi="Arial" w:cs="Arial"/>
          <w:sz w:val="24"/>
          <w:szCs w:val="24"/>
          <w:shd w:val="clear" w:color="auto" w:fill="FFFFFF"/>
        </w:rPr>
        <w:t>Krapovickas</w:t>
      </w:r>
      <w:proofErr w:type="spellEnd"/>
      <w:r w:rsidRPr="002D6ED3">
        <w:rPr>
          <w:rFonts w:ascii="Arial" w:hAnsi="Arial" w:cs="Arial"/>
          <w:sz w:val="24"/>
          <w:szCs w:val="24"/>
          <w:shd w:val="clear" w:color="auto" w:fill="FFFFFF"/>
        </w:rPr>
        <w:t xml:space="preserve"> J, </w:t>
      </w:r>
      <w:proofErr w:type="spellStart"/>
      <w:r w:rsidRPr="002D6ED3">
        <w:rPr>
          <w:rFonts w:ascii="Arial" w:hAnsi="Arial" w:cs="Arial"/>
          <w:sz w:val="24"/>
          <w:szCs w:val="24"/>
          <w:shd w:val="clear" w:color="auto" w:fill="FFFFFF"/>
        </w:rPr>
        <w:t>Sacchi</w:t>
      </w:r>
      <w:proofErr w:type="spellEnd"/>
      <w:r w:rsidRPr="002D6ED3">
        <w:rPr>
          <w:rFonts w:ascii="Arial" w:hAnsi="Arial" w:cs="Arial"/>
          <w:sz w:val="24"/>
          <w:szCs w:val="24"/>
          <w:shd w:val="clear" w:color="auto" w:fill="FFFFFF"/>
        </w:rPr>
        <w:t xml:space="preserve"> LV, </w:t>
      </w:r>
      <w:proofErr w:type="spellStart"/>
      <w:r w:rsidRPr="002D6ED3">
        <w:rPr>
          <w:rFonts w:ascii="Arial" w:hAnsi="Arial" w:cs="Arial"/>
          <w:sz w:val="24"/>
          <w:szCs w:val="24"/>
          <w:shd w:val="clear" w:color="auto" w:fill="FFFFFF"/>
        </w:rPr>
        <w:t>Hafner</w:t>
      </w:r>
      <w:proofErr w:type="spellEnd"/>
      <w:r w:rsidRPr="002D6ED3">
        <w:rPr>
          <w:rFonts w:ascii="Arial" w:hAnsi="Arial" w:cs="Arial"/>
          <w:sz w:val="24"/>
          <w:szCs w:val="24"/>
          <w:shd w:val="clear" w:color="auto" w:fill="FFFFFF"/>
        </w:rPr>
        <w:t xml:space="preserve"> R (2016) Firewood supply and consumption in the context of agrarian change: </w:t>
      </w:r>
      <w:proofErr w:type="gramStart"/>
      <w:r w:rsidRPr="002D6ED3">
        <w:rPr>
          <w:rFonts w:ascii="Arial" w:hAnsi="Arial" w:cs="Arial"/>
          <w:sz w:val="24"/>
          <w:szCs w:val="24"/>
          <w:shd w:val="clear" w:color="auto" w:fill="FFFFFF"/>
        </w:rPr>
        <w:t>the</w:t>
      </w:r>
      <w:proofErr w:type="gramEnd"/>
      <w:r w:rsidRPr="002D6ED3">
        <w:rPr>
          <w:rFonts w:ascii="Arial" w:hAnsi="Arial" w:cs="Arial"/>
          <w:sz w:val="24"/>
          <w:szCs w:val="24"/>
          <w:shd w:val="clear" w:color="auto" w:fill="FFFFFF"/>
        </w:rPr>
        <w:t xml:space="preserve"> North Argentine Chaco from 1990 to 2010. </w:t>
      </w:r>
      <w:r w:rsidRPr="002D6ED3">
        <w:rPr>
          <w:rFonts w:ascii="Arial" w:hAnsi="Arial" w:cs="Arial"/>
          <w:i/>
          <w:iCs/>
          <w:sz w:val="24"/>
          <w:szCs w:val="24"/>
          <w:bdr w:val="none" w:sz="0" w:space="0" w:color="auto" w:frame="1"/>
          <w:shd w:val="clear" w:color="auto" w:fill="FFFFFF"/>
          <w:lang w:val="es-ES"/>
        </w:rPr>
        <w:t xml:space="preserve">International </w:t>
      </w:r>
      <w:proofErr w:type="spellStart"/>
      <w:r w:rsidRPr="002D6ED3">
        <w:rPr>
          <w:rFonts w:ascii="Arial" w:hAnsi="Arial" w:cs="Arial"/>
          <w:i/>
          <w:iCs/>
          <w:sz w:val="24"/>
          <w:szCs w:val="24"/>
          <w:bdr w:val="none" w:sz="0" w:space="0" w:color="auto" w:frame="1"/>
          <w:shd w:val="clear" w:color="auto" w:fill="FFFFFF"/>
          <w:lang w:val="es-ES"/>
        </w:rPr>
        <w:t>Journal</w:t>
      </w:r>
      <w:proofErr w:type="spellEnd"/>
      <w:r w:rsidRPr="002D6ED3">
        <w:rPr>
          <w:rFonts w:ascii="Arial" w:hAnsi="Arial" w:cs="Arial"/>
          <w:i/>
          <w:iCs/>
          <w:sz w:val="24"/>
          <w:szCs w:val="24"/>
          <w:bdr w:val="none" w:sz="0" w:space="0" w:color="auto" w:frame="1"/>
          <w:shd w:val="clear" w:color="auto" w:fill="FFFFFF"/>
          <w:lang w:val="es-ES"/>
        </w:rPr>
        <w:t xml:space="preserve"> of </w:t>
      </w:r>
      <w:proofErr w:type="spellStart"/>
      <w:r w:rsidRPr="002D6ED3">
        <w:rPr>
          <w:rFonts w:ascii="Arial" w:hAnsi="Arial" w:cs="Arial"/>
          <w:i/>
          <w:iCs/>
          <w:sz w:val="24"/>
          <w:szCs w:val="24"/>
          <w:bdr w:val="none" w:sz="0" w:space="0" w:color="auto" w:frame="1"/>
          <w:shd w:val="clear" w:color="auto" w:fill="FFFFFF"/>
          <w:lang w:val="es-ES"/>
        </w:rPr>
        <w:t>the</w:t>
      </w:r>
      <w:proofErr w:type="spellEnd"/>
      <w:r w:rsidRPr="002D6ED3">
        <w:rPr>
          <w:rFonts w:ascii="Arial" w:hAnsi="Arial" w:cs="Arial"/>
          <w:i/>
          <w:iCs/>
          <w:sz w:val="24"/>
          <w:szCs w:val="24"/>
          <w:bdr w:val="none" w:sz="0" w:space="0" w:color="auto" w:frame="1"/>
          <w:shd w:val="clear" w:color="auto" w:fill="FFFFFF"/>
          <w:lang w:val="es-ES"/>
        </w:rPr>
        <w:t xml:space="preserve"> </w:t>
      </w:r>
      <w:proofErr w:type="spellStart"/>
      <w:r w:rsidRPr="002D6ED3">
        <w:rPr>
          <w:rFonts w:ascii="Arial" w:hAnsi="Arial" w:cs="Arial"/>
          <w:i/>
          <w:iCs/>
          <w:sz w:val="24"/>
          <w:szCs w:val="24"/>
          <w:bdr w:val="none" w:sz="0" w:space="0" w:color="auto" w:frame="1"/>
          <w:shd w:val="clear" w:color="auto" w:fill="FFFFFF"/>
          <w:lang w:val="es-ES"/>
        </w:rPr>
        <w:t>Commons</w:t>
      </w:r>
      <w:proofErr w:type="spellEnd"/>
      <w:r w:rsidRPr="002D6ED3">
        <w:rPr>
          <w:rFonts w:ascii="Arial" w:hAnsi="Arial" w:cs="Arial"/>
          <w:sz w:val="24"/>
          <w:szCs w:val="24"/>
          <w:shd w:val="clear" w:color="auto" w:fill="FFFFFF"/>
          <w:lang w:val="es-ES"/>
        </w:rPr>
        <w:t xml:space="preserve"> 10(1): 220–243. </w:t>
      </w:r>
      <w:r w:rsidR="00AE4C8B" w:rsidRPr="00AE4C8B"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  <w:lang w:val="es-ES"/>
        </w:rPr>
        <w:t>http://doi.org/10.18352/ijc.609</w:t>
      </w:r>
    </w:p>
    <w:p w:rsidR="00AE4C8B" w:rsidRDefault="00AE4C8B" w:rsidP="00AE3E7F">
      <w:pPr>
        <w:spacing w:after="120" w:line="480" w:lineRule="auto"/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  <w:lang w:val="es-ES"/>
        </w:rPr>
      </w:pPr>
    </w:p>
    <w:p w:rsidR="00AE4C8B" w:rsidRPr="002D6ED3" w:rsidRDefault="00AE4C8B" w:rsidP="00AE4C8B">
      <w:pPr>
        <w:spacing w:after="120" w:line="480" w:lineRule="auto"/>
        <w:rPr>
          <w:rFonts w:ascii="Arial" w:hAnsi="Arial" w:cs="Arial"/>
          <w:sz w:val="24"/>
          <w:szCs w:val="24"/>
        </w:rPr>
      </w:pPr>
      <w:proofErr w:type="spellStart"/>
      <w:r w:rsidRPr="002D6ED3">
        <w:rPr>
          <w:rFonts w:ascii="Arial" w:hAnsi="Arial" w:cs="Arial"/>
          <w:sz w:val="24"/>
          <w:szCs w:val="24"/>
        </w:rPr>
        <w:t>Leguizamón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A. (2016) Disappearing nature? Agribusiness, biotechnology and distance in Argentine soybean production. </w:t>
      </w:r>
      <w:r w:rsidRPr="002D6ED3">
        <w:rPr>
          <w:rFonts w:ascii="Arial" w:hAnsi="Arial" w:cs="Arial"/>
          <w:i/>
          <w:sz w:val="24"/>
          <w:szCs w:val="24"/>
        </w:rPr>
        <w:t>Journal of Peasant Studies</w:t>
      </w:r>
      <w:r w:rsidRPr="002D6ED3">
        <w:rPr>
          <w:rFonts w:ascii="Arial" w:hAnsi="Arial" w:cs="Arial"/>
          <w:sz w:val="24"/>
          <w:szCs w:val="24"/>
        </w:rPr>
        <w:t xml:space="preserve"> 43:313–330.</w:t>
      </w:r>
    </w:p>
    <w:p w:rsidR="00AE4C8B" w:rsidRPr="002D6ED3" w:rsidRDefault="00AE4C8B" w:rsidP="00AE4C8B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FD30E3" w:rsidRPr="002D6ED3" w:rsidRDefault="00FD30E3" w:rsidP="00FD30E3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AE4C8B">
        <w:rPr>
          <w:rFonts w:ascii="Arial" w:hAnsi="Arial" w:cs="Arial"/>
          <w:sz w:val="24"/>
          <w:szCs w:val="24"/>
        </w:rPr>
        <w:t xml:space="preserve">le </w:t>
      </w:r>
      <w:proofErr w:type="spellStart"/>
      <w:r w:rsidRPr="00AE4C8B">
        <w:rPr>
          <w:rFonts w:ascii="Arial" w:hAnsi="Arial" w:cs="Arial"/>
          <w:sz w:val="24"/>
          <w:szCs w:val="24"/>
        </w:rPr>
        <w:t>Polain</w:t>
      </w:r>
      <w:proofErr w:type="spellEnd"/>
      <w:r w:rsidRPr="00AE4C8B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E4C8B">
        <w:rPr>
          <w:rFonts w:ascii="Arial" w:hAnsi="Arial" w:cs="Arial"/>
          <w:sz w:val="24"/>
          <w:szCs w:val="24"/>
        </w:rPr>
        <w:t>Waroux</w:t>
      </w:r>
      <w:proofErr w:type="spellEnd"/>
      <w:r w:rsidRPr="00AE4C8B">
        <w:rPr>
          <w:rFonts w:ascii="Arial" w:hAnsi="Arial" w:cs="Arial"/>
          <w:sz w:val="24"/>
          <w:szCs w:val="24"/>
        </w:rPr>
        <w:t xml:space="preserve"> Y, Baumann M, </w:t>
      </w:r>
      <w:proofErr w:type="spellStart"/>
      <w:r w:rsidRPr="00AE4C8B">
        <w:rPr>
          <w:rFonts w:ascii="Arial" w:hAnsi="Arial" w:cs="Arial"/>
          <w:sz w:val="24"/>
          <w:szCs w:val="24"/>
        </w:rPr>
        <w:t>Gasparri</w:t>
      </w:r>
      <w:proofErr w:type="spellEnd"/>
      <w:r w:rsidRPr="00AE4C8B">
        <w:rPr>
          <w:rFonts w:ascii="Arial" w:hAnsi="Arial" w:cs="Arial"/>
          <w:sz w:val="24"/>
          <w:szCs w:val="24"/>
        </w:rPr>
        <w:t xml:space="preserve"> NI, </w:t>
      </w:r>
      <w:proofErr w:type="spellStart"/>
      <w:r w:rsidRPr="00AE4C8B">
        <w:rPr>
          <w:rFonts w:ascii="Arial" w:hAnsi="Arial" w:cs="Arial"/>
          <w:sz w:val="24"/>
          <w:szCs w:val="24"/>
        </w:rPr>
        <w:t>Gavier</w:t>
      </w:r>
      <w:proofErr w:type="spellEnd"/>
      <w:r w:rsidRPr="00AE4C8B">
        <w:rPr>
          <w:rFonts w:ascii="Arial" w:hAnsi="Arial" w:cs="Arial"/>
          <w:sz w:val="24"/>
          <w:szCs w:val="24"/>
        </w:rPr>
        <w:t xml:space="preserve">-Pizarro GI, </w:t>
      </w:r>
      <w:proofErr w:type="spellStart"/>
      <w:r w:rsidRPr="00AE4C8B">
        <w:rPr>
          <w:rFonts w:ascii="Arial" w:hAnsi="Arial" w:cs="Arial"/>
          <w:sz w:val="24"/>
          <w:szCs w:val="24"/>
        </w:rPr>
        <w:t>Godar</w:t>
      </w:r>
      <w:proofErr w:type="spellEnd"/>
      <w:r w:rsidRPr="00AE4C8B">
        <w:rPr>
          <w:rFonts w:ascii="Arial" w:hAnsi="Arial" w:cs="Arial"/>
          <w:sz w:val="24"/>
          <w:szCs w:val="24"/>
        </w:rPr>
        <w:t xml:space="preserve"> J, </w:t>
      </w:r>
      <w:proofErr w:type="spellStart"/>
      <w:r w:rsidRPr="00AE4C8B">
        <w:rPr>
          <w:rFonts w:ascii="Arial" w:hAnsi="Arial" w:cs="Arial"/>
          <w:sz w:val="24"/>
          <w:szCs w:val="24"/>
        </w:rPr>
        <w:t>Kuemmerle</w:t>
      </w:r>
      <w:proofErr w:type="spellEnd"/>
      <w:r w:rsidRPr="00AE4C8B">
        <w:rPr>
          <w:rFonts w:ascii="Arial" w:hAnsi="Arial" w:cs="Arial"/>
          <w:sz w:val="24"/>
          <w:szCs w:val="24"/>
        </w:rPr>
        <w:t xml:space="preserve"> T, Müller R, et al. </w:t>
      </w:r>
      <w:r w:rsidRPr="002D6ED3">
        <w:rPr>
          <w:rFonts w:ascii="Arial" w:hAnsi="Arial" w:cs="Arial"/>
          <w:sz w:val="24"/>
          <w:szCs w:val="24"/>
        </w:rPr>
        <w:t xml:space="preserve">(2018). Rents, Actors, and the Expansion of Commodity Frontiers in the Gran Chaco. </w:t>
      </w:r>
      <w:r w:rsidRPr="002D6ED3">
        <w:rPr>
          <w:rFonts w:ascii="Arial" w:hAnsi="Arial" w:cs="Arial"/>
          <w:i/>
          <w:sz w:val="24"/>
          <w:szCs w:val="24"/>
        </w:rPr>
        <w:t xml:space="preserve">Annals of the American Association of Geographers </w:t>
      </w:r>
      <w:r w:rsidRPr="002D6ED3">
        <w:rPr>
          <w:rFonts w:ascii="Arial" w:hAnsi="Arial" w:cs="Arial"/>
          <w:sz w:val="24"/>
          <w:szCs w:val="24"/>
        </w:rPr>
        <w:t>108(1): 204–225. https://doi.org/10.1080/24694452.2017.1360761</w:t>
      </w:r>
    </w:p>
    <w:p w:rsidR="00FD30E3" w:rsidRPr="002D6ED3" w:rsidRDefault="00FD30E3" w:rsidP="00FD30E3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077C37" w:rsidRPr="002D6ED3" w:rsidRDefault="00077C37" w:rsidP="00077C37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val="es-AR" w:eastAsia="en-US"/>
        </w:rPr>
        <w:t>Longhi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AR" w:eastAsia="en-US"/>
        </w:rPr>
        <w:t xml:space="preserve"> F (2014) Desnutrición y Muerte en la Niñez argentina en los Albores del Siglo XXI: Un Análisis Espacial. </w:t>
      </w:r>
      <w:r w:rsidRPr="002D6ED3">
        <w:rPr>
          <w:rFonts w:ascii="Arial" w:eastAsiaTheme="minorHAnsi" w:hAnsi="Arial" w:cs="Arial"/>
          <w:i/>
          <w:iCs/>
          <w:sz w:val="24"/>
          <w:szCs w:val="24"/>
          <w:lang w:eastAsia="en-US"/>
        </w:rPr>
        <w:t>Journal of Latin American Geography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13(2):41–65.</w:t>
      </w:r>
    </w:p>
    <w:p w:rsidR="00077C37" w:rsidRPr="002D6ED3" w:rsidRDefault="00077C37" w:rsidP="006118E9">
      <w:pPr>
        <w:autoSpaceDE w:val="0"/>
        <w:autoSpaceDN w:val="0"/>
        <w:adjustRightInd w:val="0"/>
        <w:spacing w:after="120" w:line="480" w:lineRule="auto"/>
        <w:rPr>
          <w:rStyle w:val="highwire-citation-author"/>
          <w:rFonts w:ascii="Arial" w:hAnsi="Arial" w:cs="Arial"/>
          <w:sz w:val="24"/>
          <w:szCs w:val="24"/>
        </w:rPr>
      </w:pPr>
    </w:p>
    <w:p w:rsidR="007C4E93" w:rsidRPr="002D6ED3" w:rsidRDefault="007C4E93" w:rsidP="007C4E93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lastRenderedPageBreak/>
        <w:t>Macchi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L,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Grau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HR (2012)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Piospheres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in the dry Chaco. Contrasting effects of livestock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puestos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on forest vegetation and bird communities.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>Journal of Arid Environment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87:176–87</w:t>
      </w:r>
    </w:p>
    <w:p w:rsidR="007C4E93" w:rsidRDefault="007C4E93" w:rsidP="003E4A7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323910" w:rsidRPr="002D6ED3" w:rsidRDefault="00323910" w:rsidP="0032391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2D6ED3">
        <w:rPr>
          <w:rFonts w:ascii="Arial" w:hAnsi="Arial" w:cs="Arial"/>
          <w:sz w:val="24"/>
          <w:szCs w:val="24"/>
        </w:rPr>
        <w:t>Marinaro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S, </w:t>
      </w:r>
      <w:proofErr w:type="spellStart"/>
      <w:r w:rsidRPr="002D6ED3">
        <w:rPr>
          <w:rFonts w:ascii="Arial" w:hAnsi="Arial" w:cs="Arial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HR, </w:t>
      </w:r>
      <w:proofErr w:type="spellStart"/>
      <w:r w:rsidRPr="002D6ED3">
        <w:rPr>
          <w:rFonts w:ascii="Arial" w:hAnsi="Arial" w:cs="Arial"/>
          <w:sz w:val="24"/>
          <w:szCs w:val="24"/>
        </w:rPr>
        <w:t>Gasparri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NI, </w:t>
      </w:r>
      <w:proofErr w:type="spellStart"/>
      <w:r w:rsidRPr="002D6ED3">
        <w:rPr>
          <w:rFonts w:ascii="Arial" w:hAnsi="Arial" w:cs="Arial"/>
          <w:sz w:val="24"/>
          <w:szCs w:val="24"/>
        </w:rPr>
        <w:t>Kuemmerle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T, Baumann M (2017) 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Differences in production, carbon stocks and biodiversity outcomes of land tenure regimes in the Argentine Dry Chaco.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 xml:space="preserve">Environmental Research Letters 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>12: 045003 https://doi.org/10.1088/1748-9326/aa625c</w:t>
      </w:r>
    </w:p>
    <w:p w:rsidR="00323910" w:rsidRPr="002D6ED3" w:rsidRDefault="00323910" w:rsidP="0032391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3E4A7A" w:rsidRPr="002D6ED3" w:rsidRDefault="003E4A7A" w:rsidP="003E4A7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Mastrangelo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ME, Sun Z,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Seghezzo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L, Muller D (2019) Survey-based modeling of land-use intensity in agricultural frontiers of the Argentine dry Chaco.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>Land Use Policy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88(2019) 104183.</w:t>
      </w:r>
    </w:p>
    <w:p w:rsidR="003E4A7A" w:rsidRPr="00E6443E" w:rsidRDefault="003E4A7A" w:rsidP="003E4A7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n-CA" w:eastAsia="en-US"/>
        </w:rPr>
      </w:pPr>
    </w:p>
    <w:p w:rsidR="00066280" w:rsidRPr="00066280" w:rsidRDefault="00066280" w:rsidP="0006628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Pengue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WA (2005) Transgenic crops in Argentina: The ecological and social debt. </w:t>
      </w:r>
      <w:r w:rsidRPr="00066280">
        <w:rPr>
          <w:rFonts w:ascii="Arial" w:eastAsiaTheme="minorHAnsi" w:hAnsi="Arial" w:cs="Arial"/>
          <w:i/>
          <w:sz w:val="24"/>
          <w:szCs w:val="24"/>
          <w:lang w:val="es-ES" w:eastAsia="en-US"/>
        </w:rPr>
        <w:t>Bulletin of Science, Technology &amp; Society</w:t>
      </w:r>
      <w:r w:rsidRPr="00066280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25: 314–322.</w:t>
      </w:r>
    </w:p>
    <w:p w:rsidR="00066280" w:rsidRPr="00066280" w:rsidRDefault="00066280" w:rsidP="0006628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</w:p>
    <w:p w:rsidR="00066280" w:rsidRDefault="00066280" w:rsidP="0006628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Pengue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W (2014) Cambios y escenarios en la agricultura argentina del siglo XXI. Fundación Heinrich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Böll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.</w:t>
      </w:r>
    </w:p>
    <w:p w:rsidR="005F3432" w:rsidRDefault="005F3432" w:rsidP="0006628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</w:p>
    <w:p w:rsidR="005F3432" w:rsidRPr="002D6ED3" w:rsidRDefault="005F3432" w:rsidP="005F3432">
      <w:pPr>
        <w:autoSpaceDE w:val="0"/>
        <w:autoSpaceDN w:val="0"/>
        <w:adjustRightInd w:val="0"/>
        <w:spacing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 xml:space="preserve">Piquer-Rodríguez M, </w:t>
      </w:r>
      <w:proofErr w:type="spellStart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>Butsic</w:t>
      </w:r>
      <w:proofErr w:type="spellEnd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V, </w:t>
      </w:r>
      <w:proofErr w:type="spellStart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>Gärtner</w:t>
      </w:r>
      <w:proofErr w:type="spellEnd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P, Macchi L, </w:t>
      </w:r>
      <w:proofErr w:type="spellStart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>Baumann</w:t>
      </w:r>
      <w:proofErr w:type="spellEnd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M, </w:t>
      </w:r>
      <w:proofErr w:type="spellStart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>Gavier</w:t>
      </w:r>
      <w:proofErr w:type="spellEnd"/>
      <w:r w:rsidRPr="005F3432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Pizarro G. et al. 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(2018) Drivers of agricultural land-use change in the Argentine Pampas 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lastRenderedPageBreak/>
        <w:t xml:space="preserve">and Chaco regions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>Applied Geography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91 (2018) 111–122 https://doi.org/10.1016/j.apgeog.2018.01.004</w:t>
      </w:r>
    </w:p>
    <w:p w:rsidR="00AE05E7" w:rsidRPr="005F3432" w:rsidRDefault="00AE05E7" w:rsidP="0006628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684313" w:rsidRPr="003630EC" w:rsidRDefault="00AE05E7" w:rsidP="003630EC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  <w:u w:val="single"/>
        </w:rPr>
      </w:pP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Viglizzo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EF, Carreño LV, Pereyra H,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Ricard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F,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Clatt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J,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Pincén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D (2011) Dinámica de la frontera agropecuaria y cambio </w:t>
      </w:r>
      <w:bookmarkStart w:id="0" w:name="_GoBack"/>
      <w:r w:rsidRPr="002D6ED3">
        <w:rPr>
          <w:rFonts w:ascii="Arial" w:hAnsi="Arial" w:cs="Arial"/>
          <w:sz w:val="24"/>
          <w:szCs w:val="24"/>
          <w:lang w:val="es-ES"/>
        </w:rPr>
        <w:t xml:space="preserve">tecnológico. In E. F.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Viglizzo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, &amp; E.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Jobbagy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(Eds.). Expansión de la frontera agropecuaria en Argentina y su impacto ecológico-ambiental. Buenos Aires: INTA.</w:t>
      </w:r>
      <w:bookmarkEnd w:id="0"/>
    </w:p>
    <w:sectPr w:rsidR="00684313" w:rsidRPr="003630EC" w:rsidSect="00A9013A"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D5"/>
    <w:rsid w:val="00066280"/>
    <w:rsid w:val="00077C37"/>
    <w:rsid w:val="00106191"/>
    <w:rsid w:val="00201C55"/>
    <w:rsid w:val="00323910"/>
    <w:rsid w:val="003630EC"/>
    <w:rsid w:val="003B20CD"/>
    <w:rsid w:val="003B5CD5"/>
    <w:rsid w:val="003D65C5"/>
    <w:rsid w:val="003E4A7A"/>
    <w:rsid w:val="005F3432"/>
    <w:rsid w:val="005F38E8"/>
    <w:rsid w:val="00604FFA"/>
    <w:rsid w:val="006118E9"/>
    <w:rsid w:val="00684313"/>
    <w:rsid w:val="006D7A8F"/>
    <w:rsid w:val="0073127C"/>
    <w:rsid w:val="0077288A"/>
    <w:rsid w:val="007C4E93"/>
    <w:rsid w:val="009D40B0"/>
    <w:rsid w:val="00A9013A"/>
    <w:rsid w:val="00AE05E7"/>
    <w:rsid w:val="00AE3E7F"/>
    <w:rsid w:val="00AE4C8B"/>
    <w:rsid w:val="00B513BC"/>
    <w:rsid w:val="00DE0502"/>
    <w:rsid w:val="00E33F94"/>
    <w:rsid w:val="00E47BEA"/>
    <w:rsid w:val="00EB2341"/>
    <w:rsid w:val="00FD26E2"/>
    <w:rsid w:val="00FD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BF72A"/>
  <w15:chartTrackingRefBased/>
  <w15:docId w15:val="{1DA5894F-369C-42B7-94F5-760A1F27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CD5"/>
    <w:pPr>
      <w:spacing w:after="0" w:line="240" w:lineRule="auto"/>
    </w:pPr>
    <w:rPr>
      <w:rFonts w:ascii="Times New Roman" w:eastAsia="Times New Roman" w:hAnsi="Times New Roman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3B5CD5"/>
    <w:rPr>
      <w:rFonts w:cs="Calibri"/>
      <w:lang w:eastAsia="zh-CN" w:bidi="hi-IN"/>
    </w:rPr>
  </w:style>
  <w:style w:type="character" w:styleId="Nmerodelnea">
    <w:name w:val="line number"/>
    <w:basedOn w:val="Fuentedeprrafopredeter"/>
    <w:uiPriority w:val="99"/>
    <w:semiHidden/>
    <w:unhideWhenUsed/>
    <w:rsid w:val="00A9013A"/>
  </w:style>
  <w:style w:type="paragraph" w:styleId="Textodeglobo">
    <w:name w:val="Balloon Text"/>
    <w:basedOn w:val="Normal"/>
    <w:link w:val="TextodegloboCar"/>
    <w:uiPriority w:val="99"/>
    <w:semiHidden/>
    <w:unhideWhenUsed/>
    <w:rsid w:val="0068431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4313"/>
    <w:rPr>
      <w:rFonts w:ascii="Segoe UI" w:eastAsia="Times New Roman" w:hAnsi="Segoe UI" w:cs="Segoe UI"/>
      <w:sz w:val="18"/>
      <w:szCs w:val="18"/>
      <w:lang w:eastAsia="es-AR"/>
    </w:rPr>
  </w:style>
  <w:style w:type="character" w:styleId="Hipervnculo">
    <w:name w:val="Hyperlink"/>
    <w:basedOn w:val="Fuentedeprrafopredeter"/>
    <w:uiPriority w:val="99"/>
    <w:unhideWhenUsed/>
    <w:rsid w:val="003E4A7A"/>
    <w:rPr>
      <w:color w:val="0563C1" w:themeColor="hyperlink"/>
      <w:u w:val="single"/>
    </w:rPr>
  </w:style>
  <w:style w:type="character" w:customStyle="1" w:styleId="highwire-citation-author">
    <w:name w:val="highwire-citation-author"/>
    <w:basedOn w:val="Fuentedeprrafopredeter"/>
    <w:qFormat/>
    <w:rsid w:val="00611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1201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22</cp:revision>
  <dcterms:created xsi:type="dcterms:W3CDTF">2020-08-12T18:30:00Z</dcterms:created>
  <dcterms:modified xsi:type="dcterms:W3CDTF">2020-08-12T19:28:00Z</dcterms:modified>
</cp:coreProperties>
</file>