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32B" w:rsidRPr="00410310" w:rsidRDefault="0060132B" w:rsidP="0060132B">
      <w:pPr>
        <w:autoSpaceDE w:val="0"/>
        <w:autoSpaceDN w:val="0"/>
        <w:adjustRightInd w:val="0"/>
        <w:spacing w:line="480" w:lineRule="auto"/>
        <w:rPr>
          <w:rFonts w:ascii="Arial" w:eastAsia="Arial Unicode MS" w:hAnsi="Arial" w:cs="Arial"/>
          <w:color w:val="000000" w:themeColor="text1"/>
          <w:sz w:val="24"/>
          <w:szCs w:val="24"/>
          <w:lang w:eastAsia="en-US"/>
        </w:rPr>
      </w:pPr>
      <w:r w:rsidRPr="00410310">
        <w:rPr>
          <w:rFonts w:ascii="Arial" w:eastAsia="Arial Unicode MS" w:hAnsi="Arial" w:cs="Arial"/>
          <w:b/>
          <w:color w:val="000000" w:themeColor="text1"/>
          <w:sz w:val="24"/>
          <w:szCs w:val="24"/>
          <w:lang w:eastAsia="en-US"/>
        </w:rPr>
        <w:t>Article title:</w:t>
      </w:r>
      <w:r w:rsidRPr="00410310">
        <w:rPr>
          <w:rFonts w:ascii="Arial" w:eastAsia="Arial Unicode MS" w:hAnsi="Arial" w:cs="Arial"/>
          <w:color w:val="000000" w:themeColor="text1"/>
          <w:sz w:val="24"/>
          <w:szCs w:val="24"/>
          <w:lang w:eastAsia="en-US"/>
        </w:rPr>
        <w:t xml:space="preserve"> </w:t>
      </w:r>
      <w:r w:rsidRPr="00410310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Private-Land Control and Deforestation Dynamics in the context of implementing the Native Forest Law in the Northern Argentinian Dry Chaco</w:t>
      </w:r>
      <w:r w:rsidRPr="00410310">
        <w:rPr>
          <w:rFonts w:ascii="Arial" w:eastAsia="Arial Unicode MS" w:hAnsi="Arial" w:cs="Arial"/>
          <w:color w:val="000000" w:themeColor="text1"/>
          <w:sz w:val="24"/>
          <w:szCs w:val="24"/>
          <w:lang w:eastAsia="en-US"/>
        </w:rPr>
        <w:t xml:space="preserve"> </w:t>
      </w:r>
    </w:p>
    <w:p w:rsidR="009322F7" w:rsidRPr="00AE4F1A" w:rsidRDefault="009322F7" w:rsidP="009322F7">
      <w:pPr>
        <w:autoSpaceDE w:val="0"/>
        <w:autoSpaceDN w:val="0"/>
        <w:adjustRightInd w:val="0"/>
        <w:spacing w:line="480" w:lineRule="auto"/>
        <w:rPr>
          <w:rFonts w:ascii="Arial" w:eastAsia="Arial Unicode MS" w:hAnsi="Arial" w:cs="Arial"/>
          <w:b/>
          <w:sz w:val="24"/>
          <w:szCs w:val="24"/>
          <w:lang w:eastAsia="en-US"/>
        </w:rPr>
      </w:pPr>
    </w:p>
    <w:p w:rsidR="00F11C9B" w:rsidRPr="009322F7" w:rsidRDefault="00F11C9B" w:rsidP="009322F7">
      <w:pPr>
        <w:autoSpaceDE w:val="0"/>
        <w:autoSpaceDN w:val="0"/>
        <w:adjustRightInd w:val="0"/>
        <w:spacing w:line="480" w:lineRule="auto"/>
        <w:rPr>
          <w:rFonts w:ascii="Arial" w:eastAsia="Arial Unicode MS" w:hAnsi="Arial" w:cs="Arial"/>
          <w:sz w:val="24"/>
          <w:szCs w:val="24"/>
          <w:lang w:eastAsia="en-US"/>
        </w:rPr>
      </w:pPr>
      <w:r w:rsidRPr="009322F7">
        <w:rPr>
          <w:rFonts w:ascii="Arial" w:eastAsia="Arial Unicode MS" w:hAnsi="Arial" w:cs="Arial"/>
          <w:b/>
          <w:sz w:val="24"/>
          <w:szCs w:val="24"/>
          <w:lang w:eastAsia="en-US"/>
        </w:rPr>
        <w:t>Journal name:</w:t>
      </w:r>
      <w:r w:rsidRPr="009322F7">
        <w:rPr>
          <w:rFonts w:ascii="Arial" w:eastAsia="Arial Unicode MS" w:hAnsi="Arial" w:cs="Arial"/>
          <w:sz w:val="24"/>
          <w:szCs w:val="24"/>
          <w:lang w:eastAsia="en-US"/>
        </w:rPr>
        <w:t xml:space="preserve"> </w:t>
      </w:r>
      <w:r w:rsidR="009322F7" w:rsidRPr="009322F7">
        <w:rPr>
          <w:rFonts w:ascii="Arial" w:eastAsia="Arial Unicode MS" w:hAnsi="Arial" w:cs="Arial"/>
          <w:sz w:val="24"/>
          <w:szCs w:val="24"/>
          <w:lang w:eastAsia="en-US"/>
        </w:rPr>
        <w:t>Environmental Conservation</w:t>
      </w:r>
    </w:p>
    <w:p w:rsidR="00F11C9B" w:rsidRPr="009322F7" w:rsidRDefault="00F11C9B" w:rsidP="009322F7">
      <w:pPr>
        <w:spacing w:line="480" w:lineRule="auto"/>
        <w:jc w:val="center"/>
        <w:rPr>
          <w:rFonts w:ascii="Arial" w:hAnsi="Arial" w:cs="Arial"/>
          <w:smallCaps/>
          <w:sz w:val="24"/>
          <w:szCs w:val="24"/>
        </w:rPr>
      </w:pPr>
    </w:p>
    <w:p w:rsidR="0060132B" w:rsidRPr="00AE4F1A" w:rsidRDefault="0060132B" w:rsidP="0060132B">
      <w:pPr>
        <w:spacing w:line="480" w:lineRule="auto"/>
        <w:rPr>
          <w:rFonts w:ascii="Arial" w:hAnsi="Arial" w:cs="Arial"/>
          <w:color w:val="000000" w:themeColor="text1"/>
          <w:sz w:val="24"/>
          <w:szCs w:val="24"/>
          <w:vertAlign w:val="superscript"/>
        </w:rPr>
      </w:pPr>
      <w:r w:rsidRPr="00AE4F1A">
        <w:rPr>
          <w:rFonts w:ascii="Arial" w:hAnsi="Arial" w:cs="Arial"/>
          <w:b/>
          <w:color w:val="000000" w:themeColor="text1"/>
          <w:sz w:val="24"/>
          <w:szCs w:val="24"/>
        </w:rPr>
        <w:t>Authors:</w:t>
      </w:r>
      <w:r w:rsidRPr="00AE4F1A">
        <w:rPr>
          <w:rFonts w:ascii="Arial" w:hAnsi="Arial" w:cs="Arial"/>
          <w:color w:val="000000" w:themeColor="text1"/>
          <w:sz w:val="24"/>
          <w:szCs w:val="24"/>
        </w:rPr>
        <w:t xml:space="preserve"> MARINARO, SOFIA</w:t>
      </w:r>
      <w:r w:rsidRPr="00AE4F1A">
        <w:rPr>
          <w:rFonts w:ascii="Arial" w:hAnsi="Arial" w:cs="Arial"/>
          <w:color w:val="000000" w:themeColor="text1"/>
          <w:sz w:val="24"/>
          <w:szCs w:val="24"/>
          <w:vertAlign w:val="superscript"/>
        </w:rPr>
        <w:t>1,2</w:t>
      </w:r>
      <w:r w:rsidRPr="00AE4F1A">
        <w:rPr>
          <w:rFonts w:ascii="Arial" w:hAnsi="Arial" w:cs="Arial"/>
          <w:color w:val="000000" w:themeColor="text1"/>
          <w:sz w:val="24"/>
          <w:szCs w:val="24"/>
        </w:rPr>
        <w:t>; GASPARRI, NESTOR IGNACIO</w:t>
      </w:r>
      <w:r w:rsidRPr="00AE4F1A">
        <w:rPr>
          <w:rFonts w:ascii="Arial" w:hAnsi="Arial" w:cs="Arial"/>
          <w:color w:val="000000" w:themeColor="text1"/>
          <w:sz w:val="24"/>
          <w:szCs w:val="24"/>
          <w:vertAlign w:val="superscript"/>
        </w:rPr>
        <w:t>1,3</w:t>
      </w:r>
      <w:r w:rsidRPr="00AE4F1A">
        <w:rPr>
          <w:rFonts w:ascii="Arial" w:hAnsi="Arial" w:cs="Arial"/>
          <w:color w:val="000000" w:themeColor="text1"/>
          <w:sz w:val="24"/>
          <w:szCs w:val="24"/>
        </w:rPr>
        <w:t>; and PIRIZ-CARRILLO, VERONICA</w:t>
      </w:r>
      <w:r w:rsidRPr="00AE4F1A">
        <w:rPr>
          <w:rFonts w:ascii="Arial" w:hAnsi="Arial" w:cs="Arial"/>
          <w:color w:val="000000" w:themeColor="text1"/>
          <w:sz w:val="24"/>
          <w:szCs w:val="24"/>
          <w:vertAlign w:val="superscript"/>
        </w:rPr>
        <w:t>4</w:t>
      </w:r>
    </w:p>
    <w:p w:rsidR="00F11C9B" w:rsidRPr="004818C3" w:rsidRDefault="00F11C9B" w:rsidP="009322F7">
      <w:pPr>
        <w:spacing w:line="480" w:lineRule="auto"/>
        <w:rPr>
          <w:rFonts w:ascii="Arial" w:hAnsi="Arial" w:cs="Arial"/>
          <w:b/>
          <w:sz w:val="24"/>
          <w:szCs w:val="24"/>
        </w:rPr>
      </w:pPr>
    </w:p>
    <w:p w:rsidR="00F11C9B" w:rsidRPr="00C83710" w:rsidRDefault="00F11C9B" w:rsidP="009322F7">
      <w:pPr>
        <w:spacing w:line="480" w:lineRule="auto"/>
        <w:rPr>
          <w:rFonts w:ascii="Arial" w:hAnsi="Arial" w:cs="Arial"/>
          <w:sz w:val="24"/>
          <w:szCs w:val="24"/>
        </w:rPr>
      </w:pPr>
      <w:r w:rsidRPr="00AE4F1A">
        <w:rPr>
          <w:rFonts w:ascii="Arial" w:hAnsi="Arial" w:cs="Arial"/>
          <w:b/>
          <w:sz w:val="24"/>
          <w:szCs w:val="24"/>
        </w:rPr>
        <w:t>Affiliations:</w:t>
      </w:r>
      <w:r w:rsidRPr="00AE4F1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E4F1A">
        <w:rPr>
          <w:rFonts w:ascii="Arial" w:hAnsi="Arial" w:cs="Arial"/>
          <w:sz w:val="24"/>
          <w:szCs w:val="24"/>
        </w:rPr>
        <w:t>Instituto</w:t>
      </w:r>
      <w:proofErr w:type="spellEnd"/>
      <w:r w:rsidRPr="00AE4F1A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AE4F1A">
        <w:rPr>
          <w:rFonts w:ascii="Arial" w:hAnsi="Arial" w:cs="Arial"/>
          <w:sz w:val="24"/>
          <w:szCs w:val="24"/>
        </w:rPr>
        <w:t>Ecología</w:t>
      </w:r>
      <w:proofErr w:type="spellEnd"/>
      <w:r w:rsidRPr="00AE4F1A">
        <w:rPr>
          <w:rFonts w:ascii="Arial" w:hAnsi="Arial" w:cs="Arial"/>
          <w:sz w:val="24"/>
          <w:szCs w:val="24"/>
        </w:rPr>
        <w:t xml:space="preserve"> Regional (CONICET-UNT)</w:t>
      </w:r>
      <w:r w:rsidRPr="00AE4F1A">
        <w:rPr>
          <w:rFonts w:ascii="Arial" w:hAnsi="Arial" w:cs="Arial"/>
          <w:sz w:val="24"/>
          <w:szCs w:val="24"/>
          <w:vertAlign w:val="superscript"/>
        </w:rPr>
        <w:t>1</w:t>
      </w:r>
      <w:r w:rsidRPr="00AE4F1A">
        <w:rPr>
          <w:rFonts w:ascii="Arial" w:hAnsi="Arial" w:cs="Arial"/>
          <w:sz w:val="24"/>
          <w:szCs w:val="24"/>
        </w:rPr>
        <w:t xml:space="preserve">; Centro de </w:t>
      </w:r>
      <w:proofErr w:type="spellStart"/>
      <w:r w:rsidRPr="00AE4F1A">
        <w:rPr>
          <w:rFonts w:ascii="Arial" w:hAnsi="Arial" w:cs="Arial"/>
          <w:sz w:val="24"/>
          <w:szCs w:val="24"/>
        </w:rPr>
        <w:t>Estudio</w:t>
      </w:r>
      <w:proofErr w:type="spellEnd"/>
      <w:r w:rsidRPr="00AE4F1A">
        <w:rPr>
          <w:rFonts w:ascii="Arial" w:hAnsi="Arial" w:cs="Arial"/>
          <w:sz w:val="24"/>
          <w:szCs w:val="24"/>
        </w:rPr>
        <w:t xml:space="preserve"> y </w:t>
      </w:r>
      <w:proofErr w:type="spellStart"/>
      <w:r w:rsidRPr="00AE4F1A">
        <w:rPr>
          <w:rFonts w:ascii="Arial" w:hAnsi="Arial" w:cs="Arial"/>
          <w:sz w:val="24"/>
          <w:szCs w:val="24"/>
        </w:rPr>
        <w:t>Aplicación</w:t>
      </w:r>
      <w:proofErr w:type="spellEnd"/>
      <w:r w:rsidRPr="00AE4F1A">
        <w:rPr>
          <w:rFonts w:ascii="Arial" w:hAnsi="Arial" w:cs="Arial"/>
          <w:sz w:val="24"/>
          <w:szCs w:val="24"/>
        </w:rPr>
        <w:t xml:space="preserve"> del </w:t>
      </w:r>
      <w:proofErr w:type="spellStart"/>
      <w:r w:rsidRPr="00AE4F1A">
        <w:rPr>
          <w:rFonts w:ascii="Arial" w:hAnsi="Arial" w:cs="Arial"/>
          <w:sz w:val="24"/>
          <w:szCs w:val="24"/>
        </w:rPr>
        <w:t>Ciclo</w:t>
      </w:r>
      <w:proofErr w:type="spellEnd"/>
      <w:r w:rsidRPr="00AE4F1A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AE4F1A">
        <w:rPr>
          <w:rFonts w:ascii="Arial" w:hAnsi="Arial" w:cs="Arial"/>
          <w:sz w:val="24"/>
          <w:szCs w:val="24"/>
        </w:rPr>
        <w:t>Indagación</w:t>
      </w:r>
      <w:proofErr w:type="spellEnd"/>
      <w:r w:rsidRPr="00AE4F1A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AE4F1A">
        <w:rPr>
          <w:rFonts w:ascii="Arial" w:hAnsi="Arial" w:cs="Arial"/>
          <w:sz w:val="24"/>
          <w:szCs w:val="24"/>
        </w:rPr>
        <w:t>CEyACI</w:t>
      </w:r>
      <w:proofErr w:type="spellEnd"/>
      <w:r w:rsidRPr="00AE4F1A">
        <w:rPr>
          <w:rFonts w:ascii="Arial" w:hAnsi="Arial" w:cs="Arial"/>
          <w:sz w:val="24"/>
          <w:szCs w:val="24"/>
        </w:rPr>
        <w:t xml:space="preserve">), Fac. de Cs. </w:t>
      </w:r>
      <w:proofErr w:type="spellStart"/>
      <w:r w:rsidRPr="00C83710">
        <w:rPr>
          <w:rFonts w:ascii="Arial" w:hAnsi="Arial" w:cs="Arial"/>
          <w:sz w:val="24"/>
          <w:szCs w:val="24"/>
        </w:rPr>
        <w:t>Naturales</w:t>
      </w:r>
      <w:proofErr w:type="spellEnd"/>
      <w:r w:rsidRPr="00C83710">
        <w:rPr>
          <w:rFonts w:ascii="Arial" w:hAnsi="Arial" w:cs="Arial"/>
          <w:sz w:val="24"/>
          <w:szCs w:val="24"/>
        </w:rPr>
        <w:t xml:space="preserve"> e IML</w:t>
      </w:r>
      <w:r w:rsidRPr="00C83710">
        <w:rPr>
          <w:rFonts w:ascii="Arial" w:hAnsi="Arial" w:cs="Arial"/>
          <w:sz w:val="24"/>
          <w:szCs w:val="24"/>
          <w:vertAlign w:val="superscript"/>
        </w:rPr>
        <w:t>2</w:t>
      </w:r>
      <w:r w:rsidRPr="00C83710">
        <w:rPr>
          <w:rFonts w:ascii="Arial" w:hAnsi="Arial" w:cs="Arial"/>
          <w:sz w:val="24"/>
          <w:szCs w:val="24"/>
        </w:rPr>
        <w:t xml:space="preserve">; </w:t>
      </w:r>
      <w:proofErr w:type="spellStart"/>
      <w:r w:rsidRPr="00C83710">
        <w:rPr>
          <w:rFonts w:ascii="Arial" w:hAnsi="Arial" w:cs="Arial"/>
          <w:sz w:val="24"/>
          <w:szCs w:val="24"/>
        </w:rPr>
        <w:t>Facultad</w:t>
      </w:r>
      <w:proofErr w:type="spellEnd"/>
      <w:r w:rsidRPr="00C83710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C83710">
        <w:rPr>
          <w:rFonts w:ascii="Arial" w:hAnsi="Arial" w:cs="Arial"/>
          <w:sz w:val="24"/>
          <w:szCs w:val="24"/>
        </w:rPr>
        <w:t>Ciencias</w:t>
      </w:r>
      <w:proofErr w:type="spellEnd"/>
      <w:r w:rsidRPr="00C8371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83710">
        <w:rPr>
          <w:rFonts w:ascii="Arial" w:hAnsi="Arial" w:cs="Arial"/>
          <w:sz w:val="24"/>
          <w:szCs w:val="24"/>
        </w:rPr>
        <w:t>Naturales</w:t>
      </w:r>
      <w:proofErr w:type="spellEnd"/>
      <w:r w:rsidRPr="00C83710">
        <w:rPr>
          <w:rFonts w:ascii="Arial" w:hAnsi="Arial" w:cs="Arial"/>
          <w:sz w:val="24"/>
          <w:szCs w:val="24"/>
        </w:rPr>
        <w:t xml:space="preserve"> e IML</w:t>
      </w:r>
      <w:r w:rsidRPr="00C83710">
        <w:rPr>
          <w:rFonts w:ascii="Arial" w:hAnsi="Arial" w:cs="Arial"/>
          <w:sz w:val="24"/>
          <w:szCs w:val="24"/>
          <w:vertAlign w:val="superscript"/>
        </w:rPr>
        <w:t>3</w:t>
      </w:r>
      <w:r w:rsidRPr="00C83710">
        <w:rPr>
          <w:rFonts w:ascii="Arial" w:hAnsi="Arial" w:cs="Arial"/>
          <w:sz w:val="24"/>
          <w:szCs w:val="24"/>
        </w:rPr>
        <w:t>; Independent professional</w:t>
      </w:r>
      <w:r w:rsidRPr="00C83710">
        <w:rPr>
          <w:rFonts w:ascii="Arial" w:hAnsi="Arial" w:cs="Arial"/>
          <w:sz w:val="24"/>
          <w:szCs w:val="24"/>
          <w:vertAlign w:val="superscript"/>
        </w:rPr>
        <w:t>4</w:t>
      </w:r>
    </w:p>
    <w:p w:rsidR="00F11C9B" w:rsidRPr="00C83710" w:rsidRDefault="00F11C9B" w:rsidP="009322F7">
      <w:pPr>
        <w:spacing w:line="480" w:lineRule="auto"/>
        <w:rPr>
          <w:rFonts w:ascii="Arial" w:hAnsi="Arial" w:cs="Arial"/>
          <w:sz w:val="24"/>
          <w:szCs w:val="24"/>
        </w:rPr>
      </w:pPr>
    </w:p>
    <w:p w:rsidR="00F11C9B" w:rsidRPr="00AE4F1A" w:rsidRDefault="00F11C9B" w:rsidP="009322F7">
      <w:pPr>
        <w:spacing w:line="480" w:lineRule="auto"/>
        <w:rPr>
          <w:rStyle w:val="Hipervnculo"/>
          <w:rFonts w:ascii="Arial" w:hAnsi="Arial" w:cs="Arial"/>
          <w:color w:val="auto"/>
          <w:sz w:val="24"/>
          <w:szCs w:val="24"/>
          <w:u w:val="none"/>
        </w:rPr>
      </w:pPr>
      <w:r w:rsidRPr="00AE4F1A">
        <w:rPr>
          <w:rStyle w:val="Hipervnculo"/>
          <w:rFonts w:ascii="Arial" w:hAnsi="Arial" w:cs="Arial"/>
          <w:b/>
          <w:color w:val="auto"/>
          <w:sz w:val="24"/>
          <w:szCs w:val="24"/>
          <w:u w:val="none"/>
        </w:rPr>
        <w:t>Corresponding author:</w:t>
      </w:r>
      <w:r w:rsidRPr="00AE4F1A">
        <w:rPr>
          <w:rStyle w:val="Hipervnculo"/>
          <w:rFonts w:ascii="Arial" w:hAnsi="Arial" w:cs="Arial"/>
          <w:color w:val="auto"/>
          <w:sz w:val="24"/>
          <w:szCs w:val="24"/>
          <w:u w:val="none"/>
        </w:rPr>
        <w:t xml:space="preserve"> </w:t>
      </w:r>
      <w:proofErr w:type="spellStart"/>
      <w:r w:rsidRPr="00AE4F1A">
        <w:rPr>
          <w:rFonts w:ascii="Arial" w:hAnsi="Arial" w:cs="Arial"/>
          <w:sz w:val="24"/>
          <w:szCs w:val="24"/>
        </w:rPr>
        <w:t>Marinaro</w:t>
      </w:r>
      <w:proofErr w:type="spellEnd"/>
      <w:r w:rsidRPr="00AE4F1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AE4F1A">
        <w:rPr>
          <w:rFonts w:ascii="Arial" w:hAnsi="Arial" w:cs="Arial"/>
          <w:sz w:val="24"/>
          <w:szCs w:val="24"/>
        </w:rPr>
        <w:t>Sofía</w:t>
      </w:r>
      <w:proofErr w:type="spellEnd"/>
      <w:r w:rsidRPr="00AE4F1A">
        <w:rPr>
          <w:rFonts w:ascii="Arial" w:hAnsi="Arial" w:cs="Arial"/>
          <w:sz w:val="24"/>
          <w:szCs w:val="24"/>
        </w:rPr>
        <w:t xml:space="preserve">: </w:t>
      </w:r>
      <w:hyperlink r:id="rId6" w:history="1">
        <w:r w:rsidRPr="00AE4F1A">
          <w:rPr>
            <w:rStyle w:val="Hipervnculo"/>
            <w:rFonts w:ascii="Arial" w:hAnsi="Arial" w:cs="Arial"/>
            <w:color w:val="auto"/>
            <w:sz w:val="24"/>
            <w:szCs w:val="24"/>
            <w:u w:val="none"/>
          </w:rPr>
          <w:t>sofiamarinaro@gmail.com</w:t>
        </w:r>
      </w:hyperlink>
    </w:p>
    <w:p w:rsidR="001D6687" w:rsidRPr="00AE4F1A" w:rsidRDefault="001D6687" w:rsidP="009322F7">
      <w:pPr>
        <w:shd w:val="clear" w:color="auto" w:fill="FFFFFF"/>
        <w:spacing w:line="480" w:lineRule="auto"/>
        <w:rPr>
          <w:rFonts w:ascii="Arial" w:hAnsi="Arial" w:cs="Arial"/>
          <w:sz w:val="24"/>
          <w:szCs w:val="24"/>
        </w:rPr>
      </w:pPr>
    </w:p>
    <w:p w:rsidR="004818C3" w:rsidRPr="00AE4F1A" w:rsidRDefault="004818C3" w:rsidP="009322F7">
      <w:pPr>
        <w:spacing w:after="120" w:line="480" w:lineRule="auto"/>
        <w:jc w:val="center"/>
        <w:rPr>
          <w:rFonts w:ascii="Arial" w:hAnsi="Arial" w:cs="Arial"/>
          <w:b/>
          <w:sz w:val="24"/>
          <w:szCs w:val="24"/>
        </w:rPr>
      </w:pPr>
    </w:p>
    <w:p w:rsidR="001D6687" w:rsidRPr="00AE4F1A" w:rsidRDefault="004818C3" w:rsidP="009322F7">
      <w:pPr>
        <w:spacing w:after="120" w:line="480" w:lineRule="auto"/>
        <w:jc w:val="center"/>
        <w:rPr>
          <w:rFonts w:ascii="Arial" w:hAnsi="Arial" w:cs="Arial"/>
          <w:b/>
          <w:sz w:val="24"/>
          <w:szCs w:val="24"/>
        </w:rPr>
      </w:pPr>
      <w:r w:rsidRPr="00AE4F1A">
        <w:rPr>
          <w:rFonts w:ascii="Arial" w:hAnsi="Arial" w:cs="Arial"/>
          <w:b/>
          <w:sz w:val="24"/>
          <w:szCs w:val="24"/>
        </w:rPr>
        <w:t>Supplementary material legends</w:t>
      </w:r>
    </w:p>
    <w:p w:rsidR="0060132B" w:rsidRDefault="006354B9" w:rsidP="009322F7">
      <w:pPr>
        <w:spacing w:after="12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Table </w:t>
      </w:r>
      <w:r w:rsidR="0060132B">
        <w:rPr>
          <w:rFonts w:ascii="Arial" w:hAnsi="Arial" w:cs="Arial"/>
          <w:b/>
          <w:sz w:val="24"/>
          <w:szCs w:val="24"/>
        </w:rPr>
        <w:t xml:space="preserve">S.1: </w:t>
      </w:r>
      <w:r w:rsidR="009903AE" w:rsidRPr="009903AE">
        <w:rPr>
          <w:rFonts w:ascii="Arial" w:hAnsi="Arial" w:cs="Arial"/>
          <w:sz w:val="24"/>
          <w:szCs w:val="24"/>
        </w:rPr>
        <w:t xml:space="preserve">Summary of attributes of the three classes of the territorial forests’ zonation framed in the Native Forest Law (own elaboration based on the text of the Law 26,331, see </w:t>
      </w:r>
      <w:hyperlink r:id="rId7" w:history="1">
        <w:r w:rsidR="009903AE" w:rsidRPr="009903AE">
          <w:rPr>
            <w:rStyle w:val="Hipervnculo"/>
            <w:rFonts w:ascii="Arial" w:hAnsi="Arial" w:cs="Arial"/>
            <w:color w:val="auto"/>
            <w:sz w:val="24"/>
            <w:szCs w:val="24"/>
            <w:u w:val="none"/>
          </w:rPr>
          <w:t>http://servicios.infoleg.gob.ar/infolegInternet/anexos/135000-139999/136125/norma.htm</w:t>
        </w:r>
      </w:hyperlink>
      <w:r w:rsidR="009903AE">
        <w:rPr>
          <w:rFonts w:ascii="Arial" w:hAnsi="Arial" w:cs="Arial"/>
          <w:sz w:val="24"/>
          <w:szCs w:val="24"/>
        </w:rPr>
        <w:t>).</w:t>
      </w:r>
      <w:r w:rsidR="009903AE" w:rsidRPr="009903AE">
        <w:rPr>
          <w:rFonts w:ascii="Arial" w:hAnsi="Arial" w:cs="Arial"/>
          <w:sz w:val="24"/>
          <w:szCs w:val="24"/>
        </w:rPr>
        <w:t xml:space="preserve"> </w:t>
      </w:r>
    </w:p>
    <w:p w:rsidR="006354B9" w:rsidRDefault="006354B9" w:rsidP="009322F7">
      <w:pPr>
        <w:spacing w:after="120" w:line="480" w:lineRule="auto"/>
        <w:rPr>
          <w:rFonts w:ascii="Arial" w:hAnsi="Arial" w:cs="Arial"/>
          <w:sz w:val="24"/>
          <w:szCs w:val="24"/>
        </w:rPr>
      </w:pPr>
    </w:p>
    <w:p w:rsidR="006354B9" w:rsidRPr="009322F7" w:rsidRDefault="006354B9" w:rsidP="006354B9">
      <w:pPr>
        <w:spacing w:after="12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Table S.2</w:t>
      </w:r>
      <w:r w:rsidRPr="009322F7">
        <w:rPr>
          <w:rFonts w:ascii="Arial" w:hAnsi="Arial" w:cs="Arial"/>
          <w:b/>
          <w:sz w:val="24"/>
          <w:szCs w:val="24"/>
        </w:rPr>
        <w:t xml:space="preserve">: </w:t>
      </w:r>
      <w:r w:rsidRPr="009322F7">
        <w:rPr>
          <w:rFonts w:ascii="Arial" w:hAnsi="Arial" w:cs="Arial"/>
          <w:sz w:val="24"/>
          <w:szCs w:val="24"/>
        </w:rPr>
        <w:t xml:space="preserve">Area </w:t>
      </w:r>
      <w:r w:rsidR="00C83710">
        <w:rPr>
          <w:rFonts w:ascii="Arial" w:hAnsi="Arial" w:cs="Arial"/>
          <w:sz w:val="24"/>
          <w:szCs w:val="24"/>
        </w:rPr>
        <w:t>fenced and later deforested</w:t>
      </w:r>
      <w:r w:rsidRPr="009322F7">
        <w:rPr>
          <w:rFonts w:ascii="Arial" w:hAnsi="Arial" w:cs="Arial"/>
          <w:sz w:val="24"/>
          <w:szCs w:val="24"/>
        </w:rPr>
        <w:t xml:space="preserve"> (DPF units)</w:t>
      </w:r>
      <w:r>
        <w:rPr>
          <w:rFonts w:ascii="Arial" w:hAnsi="Arial" w:cs="Arial"/>
          <w:sz w:val="24"/>
          <w:szCs w:val="24"/>
        </w:rPr>
        <w:t>,</w:t>
      </w:r>
      <w:r w:rsidRPr="009322F7">
        <w:rPr>
          <w:rFonts w:ascii="Arial" w:hAnsi="Arial" w:cs="Arial"/>
          <w:sz w:val="24"/>
          <w:szCs w:val="24"/>
        </w:rPr>
        <w:t xml:space="preserve"> along the three periods</w:t>
      </w:r>
      <w:r>
        <w:rPr>
          <w:rFonts w:ascii="Arial" w:hAnsi="Arial" w:cs="Arial"/>
          <w:sz w:val="24"/>
          <w:szCs w:val="24"/>
        </w:rPr>
        <w:t xml:space="preserve"> of analysis</w:t>
      </w:r>
      <w:r w:rsidRPr="009322F7">
        <w:rPr>
          <w:rFonts w:ascii="Arial" w:hAnsi="Arial" w:cs="Arial"/>
          <w:sz w:val="24"/>
          <w:szCs w:val="24"/>
        </w:rPr>
        <w:t xml:space="preserve">, by province and department </w:t>
      </w:r>
      <w:r>
        <w:rPr>
          <w:rFonts w:ascii="Arial" w:hAnsi="Arial" w:cs="Arial"/>
          <w:sz w:val="24"/>
          <w:szCs w:val="24"/>
        </w:rPr>
        <w:t>in</w:t>
      </w:r>
      <w:r w:rsidRPr="009322F7">
        <w:rPr>
          <w:rFonts w:ascii="Arial" w:hAnsi="Arial" w:cs="Arial"/>
          <w:sz w:val="24"/>
          <w:szCs w:val="24"/>
        </w:rPr>
        <w:t xml:space="preserve"> the NADC region: DPF 2007 units </w:t>
      </w:r>
      <w:r>
        <w:rPr>
          <w:rFonts w:ascii="Arial" w:hAnsi="Arial" w:cs="Arial"/>
          <w:sz w:val="24"/>
          <w:szCs w:val="24"/>
        </w:rPr>
        <w:t>(i.e. during</w:t>
      </w:r>
      <w:r w:rsidR="00C83710">
        <w:rPr>
          <w:rFonts w:ascii="Arial" w:hAnsi="Arial" w:cs="Arial"/>
          <w:sz w:val="24"/>
          <w:szCs w:val="24"/>
        </w:rPr>
        <w:t xml:space="preserve"> ‘</w:t>
      </w:r>
      <w:r w:rsidRPr="009322F7">
        <w:rPr>
          <w:rFonts w:ascii="Arial" w:hAnsi="Arial" w:cs="Arial"/>
          <w:sz w:val="24"/>
          <w:szCs w:val="24"/>
        </w:rPr>
        <w:t>control period</w:t>
      </w:r>
      <w:r w:rsidR="00C83710">
        <w:rPr>
          <w:rFonts w:ascii="Arial" w:hAnsi="Arial" w:cs="Arial"/>
          <w:sz w:val="24"/>
          <w:szCs w:val="24"/>
        </w:rPr>
        <w:t>’</w:t>
      </w:r>
      <w:r w:rsidRPr="009322F7">
        <w:rPr>
          <w:rFonts w:ascii="Arial" w:hAnsi="Arial" w:cs="Arial"/>
          <w:sz w:val="24"/>
          <w:szCs w:val="24"/>
        </w:rPr>
        <w:t>, 2000-2007</w:t>
      </w:r>
      <w:r>
        <w:rPr>
          <w:rFonts w:ascii="Arial" w:hAnsi="Arial" w:cs="Arial"/>
          <w:sz w:val="24"/>
          <w:szCs w:val="24"/>
        </w:rPr>
        <w:t>)</w:t>
      </w:r>
      <w:r w:rsidRPr="009322F7">
        <w:rPr>
          <w:rFonts w:ascii="Arial" w:hAnsi="Arial" w:cs="Arial"/>
          <w:sz w:val="24"/>
          <w:szCs w:val="24"/>
        </w:rPr>
        <w:t xml:space="preserve">; DPF 2011 units </w:t>
      </w:r>
      <w:r>
        <w:rPr>
          <w:rFonts w:ascii="Arial" w:hAnsi="Arial" w:cs="Arial"/>
          <w:sz w:val="24"/>
          <w:szCs w:val="24"/>
        </w:rPr>
        <w:t>(i.e. during 2007-</w:t>
      </w:r>
      <w:r>
        <w:rPr>
          <w:rFonts w:ascii="Arial" w:hAnsi="Arial" w:cs="Arial"/>
          <w:sz w:val="24"/>
          <w:szCs w:val="24"/>
        </w:rPr>
        <w:lastRenderedPageBreak/>
        <w:t>2011,</w:t>
      </w:r>
      <w:r w:rsidR="00C83710">
        <w:rPr>
          <w:rFonts w:ascii="Arial" w:hAnsi="Arial" w:cs="Arial"/>
          <w:sz w:val="24"/>
          <w:szCs w:val="24"/>
        </w:rPr>
        <w:t xml:space="preserve"> ‘</w:t>
      </w:r>
      <w:proofErr w:type="gramStart"/>
      <w:r w:rsidRPr="009322F7">
        <w:rPr>
          <w:rFonts w:ascii="Arial" w:hAnsi="Arial" w:cs="Arial"/>
          <w:sz w:val="24"/>
          <w:szCs w:val="24"/>
        </w:rPr>
        <w:t>early</w:t>
      </w:r>
      <w:proofErr w:type="gramEnd"/>
      <w:r w:rsidRPr="009322F7">
        <w:rPr>
          <w:rFonts w:ascii="Arial" w:hAnsi="Arial" w:cs="Arial"/>
          <w:sz w:val="24"/>
          <w:szCs w:val="24"/>
        </w:rPr>
        <w:t>-Law period</w:t>
      </w:r>
      <w:r w:rsidR="00C83710">
        <w:rPr>
          <w:rFonts w:ascii="Arial" w:hAnsi="Arial" w:cs="Arial"/>
          <w:sz w:val="24"/>
          <w:szCs w:val="24"/>
        </w:rPr>
        <w:t>’</w:t>
      </w:r>
      <w:r>
        <w:rPr>
          <w:rFonts w:ascii="Arial" w:hAnsi="Arial" w:cs="Arial"/>
          <w:sz w:val="24"/>
          <w:szCs w:val="24"/>
        </w:rPr>
        <w:t>)</w:t>
      </w:r>
      <w:r w:rsidRPr="009322F7">
        <w:rPr>
          <w:rFonts w:ascii="Arial" w:hAnsi="Arial" w:cs="Arial"/>
          <w:sz w:val="24"/>
          <w:szCs w:val="24"/>
        </w:rPr>
        <w:t xml:space="preserve">; and finally, DPF 2017 units </w:t>
      </w:r>
      <w:r>
        <w:rPr>
          <w:rFonts w:ascii="Arial" w:hAnsi="Arial" w:cs="Arial"/>
          <w:sz w:val="24"/>
          <w:szCs w:val="24"/>
        </w:rPr>
        <w:t>(i.e. during 2011-2017,</w:t>
      </w:r>
      <w:r w:rsidRPr="009322F7">
        <w:rPr>
          <w:rFonts w:ascii="Arial" w:hAnsi="Arial" w:cs="Arial"/>
          <w:sz w:val="24"/>
          <w:szCs w:val="24"/>
        </w:rPr>
        <w:t xml:space="preserve"> </w:t>
      </w:r>
      <w:r w:rsidR="00C83710">
        <w:rPr>
          <w:rFonts w:ascii="Arial" w:hAnsi="Arial" w:cs="Arial"/>
          <w:sz w:val="24"/>
          <w:szCs w:val="24"/>
        </w:rPr>
        <w:t>‘</w:t>
      </w:r>
      <w:r w:rsidRPr="009322F7">
        <w:rPr>
          <w:rFonts w:ascii="Arial" w:hAnsi="Arial" w:cs="Arial"/>
          <w:sz w:val="24"/>
          <w:szCs w:val="24"/>
        </w:rPr>
        <w:t>post-</w:t>
      </w:r>
      <w:r>
        <w:rPr>
          <w:rFonts w:ascii="Arial" w:hAnsi="Arial" w:cs="Arial"/>
          <w:sz w:val="24"/>
          <w:szCs w:val="24"/>
        </w:rPr>
        <w:t>zonation</w:t>
      </w:r>
      <w:r w:rsidRPr="009322F7">
        <w:rPr>
          <w:rFonts w:ascii="Arial" w:hAnsi="Arial" w:cs="Arial"/>
          <w:sz w:val="24"/>
          <w:szCs w:val="24"/>
        </w:rPr>
        <w:t xml:space="preserve"> period</w:t>
      </w:r>
      <w:r w:rsidR="00C83710">
        <w:rPr>
          <w:rFonts w:ascii="Arial" w:hAnsi="Arial" w:cs="Arial"/>
          <w:sz w:val="24"/>
          <w:szCs w:val="24"/>
        </w:rPr>
        <w:t>’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). </w:t>
      </w:r>
      <w:r w:rsidRPr="009322F7">
        <w:rPr>
          <w:rFonts w:ascii="Arial" w:hAnsi="Arial" w:cs="Arial"/>
          <w:sz w:val="24"/>
          <w:szCs w:val="24"/>
        </w:rPr>
        <w:t xml:space="preserve">The percentage </w:t>
      </w:r>
      <w:r>
        <w:rPr>
          <w:rFonts w:ascii="Arial" w:hAnsi="Arial" w:cs="Arial"/>
          <w:sz w:val="24"/>
          <w:szCs w:val="24"/>
        </w:rPr>
        <w:t xml:space="preserve">that the area within DPF units represents, </w:t>
      </w:r>
      <w:r w:rsidRPr="009322F7">
        <w:rPr>
          <w:rFonts w:ascii="Arial" w:hAnsi="Arial" w:cs="Arial"/>
          <w:sz w:val="24"/>
          <w:szCs w:val="24"/>
        </w:rPr>
        <w:t xml:space="preserve">of the total </w:t>
      </w:r>
      <w:r>
        <w:rPr>
          <w:rFonts w:ascii="Arial" w:hAnsi="Arial" w:cs="Arial"/>
          <w:sz w:val="24"/>
          <w:szCs w:val="24"/>
        </w:rPr>
        <w:t xml:space="preserve">area deforested in the NADC, is also shown. Finally, </w:t>
      </w:r>
      <w:r w:rsidRPr="009322F7">
        <w:rPr>
          <w:rFonts w:ascii="Arial" w:hAnsi="Arial" w:cs="Arial"/>
          <w:sz w:val="24"/>
          <w:szCs w:val="24"/>
        </w:rPr>
        <w:t>the percentage of area deforested regarding the tot</w:t>
      </w:r>
      <w:r>
        <w:rPr>
          <w:rFonts w:ascii="Arial" w:hAnsi="Arial" w:cs="Arial"/>
          <w:sz w:val="24"/>
          <w:szCs w:val="24"/>
        </w:rPr>
        <w:t xml:space="preserve">al </w:t>
      </w:r>
      <w:r w:rsidRPr="009322F7">
        <w:rPr>
          <w:rFonts w:ascii="Arial" w:hAnsi="Arial" w:cs="Arial"/>
          <w:sz w:val="24"/>
          <w:szCs w:val="24"/>
        </w:rPr>
        <w:t xml:space="preserve">area, </w:t>
      </w:r>
      <w:r>
        <w:rPr>
          <w:rFonts w:ascii="Arial" w:hAnsi="Arial" w:cs="Arial"/>
          <w:sz w:val="24"/>
          <w:szCs w:val="24"/>
        </w:rPr>
        <w:t>is reported.</w:t>
      </w:r>
    </w:p>
    <w:p w:rsidR="00854D34" w:rsidRPr="009903AE" w:rsidRDefault="00854D34" w:rsidP="009322F7">
      <w:pPr>
        <w:spacing w:after="120" w:line="480" w:lineRule="auto"/>
        <w:rPr>
          <w:rFonts w:ascii="Arial" w:hAnsi="Arial" w:cs="Arial"/>
          <w:sz w:val="24"/>
          <w:szCs w:val="24"/>
        </w:rPr>
      </w:pPr>
    </w:p>
    <w:p w:rsidR="00AE4F1A" w:rsidRPr="00AE4F1A" w:rsidRDefault="006354B9" w:rsidP="00AE4F1A">
      <w:pPr>
        <w:spacing w:after="12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Fig. </w:t>
      </w:r>
      <w:r w:rsidR="00AE4F1A">
        <w:rPr>
          <w:rFonts w:ascii="Arial" w:hAnsi="Arial" w:cs="Arial"/>
          <w:b/>
          <w:sz w:val="24"/>
          <w:szCs w:val="24"/>
        </w:rPr>
        <w:t>S.</w:t>
      </w:r>
      <w:r>
        <w:rPr>
          <w:rFonts w:ascii="Arial" w:hAnsi="Arial" w:cs="Arial"/>
          <w:b/>
          <w:sz w:val="24"/>
          <w:szCs w:val="24"/>
        </w:rPr>
        <w:t>1</w:t>
      </w:r>
      <w:r w:rsidR="00AE4F1A" w:rsidRPr="00AE4F1A">
        <w:rPr>
          <w:rFonts w:ascii="Arial" w:hAnsi="Arial" w:cs="Arial"/>
          <w:sz w:val="24"/>
          <w:szCs w:val="24"/>
        </w:rPr>
        <w:t>: Landsat images subset for years 2000, 2007 and 2017 to show examples of</w:t>
      </w:r>
      <w:r w:rsidR="00726758">
        <w:rPr>
          <w:rFonts w:ascii="Arial" w:hAnsi="Arial" w:cs="Arial"/>
          <w:sz w:val="24"/>
          <w:szCs w:val="24"/>
        </w:rPr>
        <w:t xml:space="preserve"> possible trajectories regarding land-use changes</w:t>
      </w:r>
      <w:r w:rsidR="00AE4F1A" w:rsidRPr="00AE4F1A">
        <w:rPr>
          <w:rFonts w:ascii="Arial" w:hAnsi="Arial" w:cs="Arial"/>
          <w:sz w:val="24"/>
          <w:szCs w:val="24"/>
        </w:rPr>
        <w:t xml:space="preserve">: A) </w:t>
      </w:r>
      <w:r w:rsidR="00607814">
        <w:rPr>
          <w:rFonts w:ascii="Arial" w:hAnsi="Arial" w:cs="Arial"/>
          <w:sz w:val="24"/>
          <w:szCs w:val="24"/>
        </w:rPr>
        <w:t>a peasant ranch persisting</w:t>
      </w:r>
      <w:r w:rsidR="00AE4F1A" w:rsidRPr="00AE4F1A">
        <w:rPr>
          <w:rFonts w:ascii="Arial" w:hAnsi="Arial" w:cs="Arial"/>
          <w:sz w:val="24"/>
          <w:szCs w:val="24"/>
        </w:rPr>
        <w:t xml:space="preserve"> along the </w:t>
      </w:r>
      <w:r w:rsidR="00607814">
        <w:rPr>
          <w:rFonts w:ascii="Arial" w:hAnsi="Arial" w:cs="Arial"/>
          <w:sz w:val="24"/>
          <w:szCs w:val="24"/>
        </w:rPr>
        <w:t>time</w:t>
      </w:r>
      <w:r w:rsidR="00AE4F1A" w:rsidRPr="00AE4F1A">
        <w:rPr>
          <w:rFonts w:ascii="Arial" w:hAnsi="Arial" w:cs="Arial"/>
          <w:sz w:val="24"/>
          <w:szCs w:val="24"/>
        </w:rPr>
        <w:t xml:space="preserve">; B) a </w:t>
      </w:r>
      <w:r w:rsidR="003D55CB">
        <w:rPr>
          <w:rFonts w:ascii="Arial" w:hAnsi="Arial" w:cs="Arial"/>
          <w:sz w:val="24"/>
          <w:szCs w:val="24"/>
        </w:rPr>
        <w:t xml:space="preserve">forest area fenced </w:t>
      </w:r>
      <w:r w:rsidR="00AE4F1A" w:rsidRPr="00AE4F1A">
        <w:rPr>
          <w:rFonts w:ascii="Arial" w:hAnsi="Arial" w:cs="Arial"/>
          <w:sz w:val="24"/>
          <w:szCs w:val="24"/>
        </w:rPr>
        <w:t>in 2007</w:t>
      </w:r>
      <w:r w:rsidR="003D55CB">
        <w:rPr>
          <w:rFonts w:ascii="Arial" w:hAnsi="Arial" w:cs="Arial"/>
          <w:sz w:val="24"/>
          <w:szCs w:val="24"/>
        </w:rPr>
        <w:t xml:space="preserve"> and later </w:t>
      </w:r>
      <w:r w:rsidR="00AE4F1A" w:rsidRPr="00AE4F1A">
        <w:rPr>
          <w:rFonts w:ascii="Arial" w:hAnsi="Arial" w:cs="Arial"/>
          <w:sz w:val="24"/>
          <w:szCs w:val="24"/>
        </w:rPr>
        <w:t>deforested</w:t>
      </w:r>
      <w:r w:rsidR="003D55CB">
        <w:rPr>
          <w:rFonts w:ascii="Arial" w:hAnsi="Arial" w:cs="Arial"/>
          <w:sz w:val="24"/>
          <w:szCs w:val="24"/>
        </w:rPr>
        <w:t>,</w:t>
      </w:r>
      <w:r w:rsidR="00AE4F1A" w:rsidRPr="00AE4F1A">
        <w:rPr>
          <w:rFonts w:ascii="Arial" w:hAnsi="Arial" w:cs="Arial"/>
          <w:sz w:val="24"/>
          <w:szCs w:val="24"/>
        </w:rPr>
        <w:t xml:space="preserve"> in 2017</w:t>
      </w:r>
      <w:r w:rsidR="003D55CB">
        <w:rPr>
          <w:rFonts w:ascii="Arial" w:hAnsi="Arial" w:cs="Arial"/>
          <w:sz w:val="24"/>
          <w:szCs w:val="24"/>
        </w:rPr>
        <w:t xml:space="preserve"> (i.e. a DPF 2017 unit)</w:t>
      </w:r>
      <w:r w:rsidR="003228EE">
        <w:rPr>
          <w:rFonts w:ascii="Arial" w:hAnsi="Arial" w:cs="Arial"/>
          <w:sz w:val="24"/>
          <w:szCs w:val="24"/>
        </w:rPr>
        <w:t>; C</w:t>
      </w:r>
      <w:r w:rsidR="00AE4F1A" w:rsidRPr="00AE4F1A">
        <w:rPr>
          <w:rFonts w:ascii="Arial" w:hAnsi="Arial" w:cs="Arial"/>
          <w:sz w:val="24"/>
          <w:szCs w:val="24"/>
        </w:rPr>
        <w:t xml:space="preserve">) a </w:t>
      </w:r>
      <w:r w:rsidR="003D55CB">
        <w:rPr>
          <w:rFonts w:ascii="Arial" w:hAnsi="Arial" w:cs="Arial"/>
          <w:sz w:val="24"/>
          <w:szCs w:val="24"/>
        </w:rPr>
        <w:t>forest area fenced</w:t>
      </w:r>
      <w:r w:rsidR="00AE4F1A" w:rsidRPr="00AE4F1A">
        <w:rPr>
          <w:rFonts w:ascii="Arial" w:hAnsi="Arial" w:cs="Arial"/>
          <w:sz w:val="24"/>
          <w:szCs w:val="24"/>
        </w:rPr>
        <w:t xml:space="preserve"> in 2007</w:t>
      </w:r>
      <w:r w:rsidR="003D55CB">
        <w:rPr>
          <w:rFonts w:ascii="Arial" w:hAnsi="Arial" w:cs="Arial"/>
          <w:sz w:val="24"/>
          <w:szCs w:val="24"/>
        </w:rPr>
        <w:t>, keeping forest</w:t>
      </w:r>
      <w:r w:rsidR="00AE4F1A" w:rsidRPr="00AE4F1A">
        <w:rPr>
          <w:rFonts w:ascii="Arial" w:hAnsi="Arial" w:cs="Arial"/>
          <w:sz w:val="24"/>
          <w:szCs w:val="24"/>
        </w:rPr>
        <w:t xml:space="preserve"> in 2017</w:t>
      </w:r>
      <w:r w:rsidR="003D55CB">
        <w:rPr>
          <w:rFonts w:ascii="Arial" w:hAnsi="Arial" w:cs="Arial"/>
          <w:sz w:val="24"/>
          <w:szCs w:val="24"/>
        </w:rPr>
        <w:t xml:space="preserve"> (thus, this is not a DPF unit)</w:t>
      </w:r>
      <w:r w:rsidR="00AE4F1A" w:rsidRPr="00AE4F1A">
        <w:rPr>
          <w:rFonts w:ascii="Arial" w:hAnsi="Arial" w:cs="Arial"/>
          <w:sz w:val="24"/>
          <w:szCs w:val="24"/>
        </w:rPr>
        <w:t xml:space="preserve">; </w:t>
      </w:r>
      <w:r w:rsidR="003D55CB">
        <w:rPr>
          <w:rFonts w:ascii="Arial" w:hAnsi="Arial" w:cs="Arial"/>
          <w:sz w:val="24"/>
          <w:szCs w:val="24"/>
        </w:rPr>
        <w:t xml:space="preserve">and </w:t>
      </w:r>
      <w:r w:rsidR="00AE4F1A" w:rsidRPr="00AE4F1A">
        <w:rPr>
          <w:rFonts w:ascii="Arial" w:hAnsi="Arial" w:cs="Arial"/>
          <w:sz w:val="24"/>
          <w:szCs w:val="24"/>
        </w:rPr>
        <w:t xml:space="preserve">D) a </w:t>
      </w:r>
      <w:r w:rsidR="00726758">
        <w:rPr>
          <w:rFonts w:ascii="Arial" w:hAnsi="Arial" w:cs="Arial"/>
          <w:sz w:val="24"/>
          <w:szCs w:val="24"/>
        </w:rPr>
        <w:t>settlement of fences in forest area in year</w:t>
      </w:r>
      <w:r w:rsidR="00AE4F1A" w:rsidRPr="00AE4F1A">
        <w:rPr>
          <w:rFonts w:ascii="Arial" w:hAnsi="Arial" w:cs="Arial"/>
          <w:sz w:val="24"/>
          <w:szCs w:val="24"/>
        </w:rPr>
        <w:t xml:space="preserve"> 2017.</w:t>
      </w:r>
    </w:p>
    <w:p w:rsidR="0060132B" w:rsidRDefault="0060132B" w:rsidP="009322F7">
      <w:pPr>
        <w:spacing w:after="120" w:line="480" w:lineRule="auto"/>
        <w:rPr>
          <w:rFonts w:ascii="Arial" w:hAnsi="Arial" w:cs="Arial"/>
          <w:b/>
          <w:sz w:val="24"/>
          <w:szCs w:val="24"/>
        </w:rPr>
      </w:pPr>
    </w:p>
    <w:p w:rsidR="009322F7" w:rsidRPr="009322F7" w:rsidRDefault="006354B9" w:rsidP="009322F7">
      <w:pPr>
        <w:spacing w:after="12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Fig. </w:t>
      </w:r>
      <w:r w:rsidR="009322F7" w:rsidRPr="009322F7">
        <w:rPr>
          <w:rFonts w:ascii="Arial" w:hAnsi="Arial" w:cs="Arial"/>
          <w:b/>
          <w:sz w:val="24"/>
          <w:szCs w:val="24"/>
        </w:rPr>
        <w:t>S.</w:t>
      </w:r>
      <w:r>
        <w:rPr>
          <w:rFonts w:ascii="Arial" w:hAnsi="Arial" w:cs="Arial"/>
          <w:b/>
          <w:sz w:val="24"/>
          <w:szCs w:val="24"/>
        </w:rPr>
        <w:t>2</w:t>
      </w:r>
      <w:r w:rsidR="009322F7" w:rsidRPr="009322F7">
        <w:rPr>
          <w:rFonts w:ascii="Arial" w:hAnsi="Arial" w:cs="Arial"/>
          <w:b/>
          <w:sz w:val="24"/>
          <w:szCs w:val="24"/>
        </w:rPr>
        <w:t>:</w:t>
      </w:r>
      <w:r w:rsidR="009322F7" w:rsidRPr="009322F7">
        <w:rPr>
          <w:rFonts w:ascii="Arial" w:hAnsi="Arial" w:cs="Arial"/>
          <w:sz w:val="24"/>
          <w:szCs w:val="24"/>
        </w:rPr>
        <w:t xml:space="preserve"> Location of the Northern Argentinian Dry Chaco</w:t>
      </w:r>
      <w:r w:rsidR="009903AE">
        <w:rPr>
          <w:rFonts w:ascii="Arial" w:hAnsi="Arial" w:cs="Arial"/>
          <w:sz w:val="24"/>
          <w:szCs w:val="24"/>
        </w:rPr>
        <w:t xml:space="preserve"> (NA</w:t>
      </w:r>
      <w:r w:rsidR="009322F7" w:rsidRPr="009322F7">
        <w:rPr>
          <w:rFonts w:ascii="Arial" w:hAnsi="Arial" w:cs="Arial"/>
          <w:sz w:val="24"/>
          <w:szCs w:val="24"/>
        </w:rPr>
        <w:t xml:space="preserve">DC) in South America, with a zoom to the study area. Numbers indicate the name of the departments </w:t>
      </w:r>
      <w:r w:rsidR="0060132B">
        <w:rPr>
          <w:rFonts w:ascii="Arial" w:hAnsi="Arial" w:cs="Arial"/>
          <w:sz w:val="24"/>
          <w:szCs w:val="24"/>
        </w:rPr>
        <w:t>included in</w:t>
      </w:r>
      <w:r w:rsidR="009322F7" w:rsidRPr="009322F7">
        <w:rPr>
          <w:rFonts w:ascii="Arial" w:hAnsi="Arial" w:cs="Arial"/>
          <w:sz w:val="24"/>
          <w:szCs w:val="24"/>
        </w:rPr>
        <w:t xml:space="preserve"> the study area; and different </w:t>
      </w:r>
      <w:r w:rsidR="006B417E">
        <w:rPr>
          <w:rFonts w:ascii="Arial" w:hAnsi="Arial" w:cs="Arial"/>
          <w:sz w:val="24"/>
          <w:szCs w:val="24"/>
        </w:rPr>
        <w:t>grey-tones</w:t>
      </w:r>
      <w:r w:rsidR="009322F7" w:rsidRPr="009322F7">
        <w:rPr>
          <w:rFonts w:ascii="Arial" w:hAnsi="Arial" w:cs="Arial"/>
          <w:sz w:val="24"/>
          <w:szCs w:val="24"/>
        </w:rPr>
        <w:t xml:space="preserve"> indicate provinces (Salta: departments 1-6; Tucumán: departments 7 and 8; Santiago del Estero: departments 9-10; Chaco province: departments 12 and 13; and finally, Formosa province: departments 14-17).</w:t>
      </w:r>
    </w:p>
    <w:p w:rsidR="009322F7" w:rsidRPr="009322F7" w:rsidRDefault="009322F7" w:rsidP="009322F7">
      <w:pPr>
        <w:spacing w:after="120" w:line="480" w:lineRule="auto"/>
        <w:jc w:val="center"/>
        <w:rPr>
          <w:rFonts w:ascii="Arial" w:hAnsi="Arial" w:cs="Arial"/>
          <w:b/>
          <w:sz w:val="24"/>
          <w:szCs w:val="24"/>
        </w:rPr>
      </w:pPr>
    </w:p>
    <w:p w:rsidR="001D6687" w:rsidRPr="009322F7" w:rsidRDefault="001D6687" w:rsidP="009322F7">
      <w:pPr>
        <w:spacing w:after="120" w:line="480" w:lineRule="auto"/>
        <w:rPr>
          <w:rFonts w:ascii="Arial" w:hAnsi="Arial" w:cs="Arial"/>
          <w:sz w:val="24"/>
          <w:szCs w:val="24"/>
        </w:rPr>
      </w:pPr>
    </w:p>
    <w:p w:rsidR="001D6687" w:rsidRPr="009322F7" w:rsidRDefault="001D6687" w:rsidP="009322F7">
      <w:pPr>
        <w:spacing w:line="480" w:lineRule="auto"/>
        <w:rPr>
          <w:rFonts w:ascii="Arial" w:hAnsi="Arial" w:cs="Arial"/>
          <w:sz w:val="24"/>
          <w:szCs w:val="24"/>
        </w:rPr>
      </w:pPr>
    </w:p>
    <w:p w:rsidR="001D6687" w:rsidRPr="009322F7" w:rsidRDefault="001D6687" w:rsidP="009322F7">
      <w:pPr>
        <w:spacing w:line="480" w:lineRule="auto"/>
        <w:rPr>
          <w:rFonts w:ascii="Arial" w:hAnsi="Arial" w:cs="Arial"/>
          <w:sz w:val="24"/>
          <w:szCs w:val="24"/>
        </w:rPr>
      </w:pPr>
    </w:p>
    <w:p w:rsidR="004827B6" w:rsidRPr="009322F7" w:rsidRDefault="004460F2" w:rsidP="009322F7">
      <w:pPr>
        <w:spacing w:line="480" w:lineRule="auto"/>
        <w:rPr>
          <w:rFonts w:ascii="Arial" w:hAnsi="Arial" w:cs="Arial"/>
          <w:sz w:val="24"/>
          <w:szCs w:val="24"/>
        </w:rPr>
      </w:pPr>
    </w:p>
    <w:sectPr w:rsidR="004827B6" w:rsidRPr="009322F7"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60F2" w:rsidRDefault="004460F2">
      <w:r>
        <w:separator/>
      </w:r>
    </w:p>
  </w:endnote>
  <w:endnote w:type="continuationSeparator" w:id="0">
    <w:p w:rsidR="004460F2" w:rsidRDefault="00446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42703925"/>
      <w:docPartObj>
        <w:docPartGallery w:val="Page Numbers (Bottom of Page)"/>
        <w:docPartUnique/>
      </w:docPartObj>
    </w:sdtPr>
    <w:sdtEndPr/>
    <w:sdtContent>
      <w:p w:rsidR="0098415C" w:rsidRDefault="005364A5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3710" w:rsidRPr="00C83710">
          <w:rPr>
            <w:noProof/>
            <w:lang w:val="es-ES"/>
          </w:rPr>
          <w:t>2</w:t>
        </w:r>
        <w:r>
          <w:fldChar w:fldCharType="end"/>
        </w:r>
      </w:p>
    </w:sdtContent>
  </w:sdt>
  <w:p w:rsidR="0098415C" w:rsidRDefault="004460F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60F2" w:rsidRDefault="004460F2">
      <w:r>
        <w:separator/>
      </w:r>
    </w:p>
  </w:footnote>
  <w:footnote w:type="continuationSeparator" w:id="0">
    <w:p w:rsidR="004460F2" w:rsidRDefault="004460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687"/>
    <w:rsid w:val="001A7F96"/>
    <w:rsid w:val="001C0F1C"/>
    <w:rsid w:val="001D6687"/>
    <w:rsid w:val="001F2C2B"/>
    <w:rsid w:val="003228EE"/>
    <w:rsid w:val="003D55CB"/>
    <w:rsid w:val="003F5AFB"/>
    <w:rsid w:val="004460F2"/>
    <w:rsid w:val="004818C3"/>
    <w:rsid w:val="005364A5"/>
    <w:rsid w:val="005510C1"/>
    <w:rsid w:val="005D644A"/>
    <w:rsid w:val="0060132B"/>
    <w:rsid w:val="00607814"/>
    <w:rsid w:val="00623FA7"/>
    <w:rsid w:val="006354B9"/>
    <w:rsid w:val="006B417E"/>
    <w:rsid w:val="00726758"/>
    <w:rsid w:val="00810EFA"/>
    <w:rsid w:val="00854D34"/>
    <w:rsid w:val="009322F7"/>
    <w:rsid w:val="009903AE"/>
    <w:rsid w:val="00A06060"/>
    <w:rsid w:val="00A95FA9"/>
    <w:rsid w:val="00AE4F1A"/>
    <w:rsid w:val="00C34B9C"/>
    <w:rsid w:val="00C83710"/>
    <w:rsid w:val="00DB6629"/>
    <w:rsid w:val="00F11C9B"/>
    <w:rsid w:val="00F22360"/>
    <w:rsid w:val="00F74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9B0C81"/>
  <w15:chartTrackingRefBased/>
  <w15:docId w15:val="{08B443B5-A6F5-4F61-9DE1-36609196D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1D6687"/>
    <w:pPr>
      <w:spacing w:after="0" w:line="240" w:lineRule="auto"/>
    </w:pPr>
    <w:rPr>
      <w:rFonts w:ascii="Times New Roman" w:eastAsia="Times New Roman" w:hAnsi="Times New Roman" w:cs="Times New Roman"/>
      <w:lang w:val="en-US" w:eastAsia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1D668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D6687"/>
    <w:rPr>
      <w:rFonts w:ascii="Times New Roman" w:eastAsia="Times New Roman" w:hAnsi="Times New Roman" w:cs="Times New Roman"/>
      <w:lang w:val="en-US" w:eastAsia="es-AR"/>
    </w:rPr>
  </w:style>
  <w:style w:type="character" w:styleId="Hipervnculo">
    <w:name w:val="Hyperlink"/>
    <w:basedOn w:val="Fuentedeprrafopredeter"/>
    <w:uiPriority w:val="99"/>
    <w:unhideWhenUsed/>
    <w:rsid w:val="00F11C9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240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servicios.infoleg.gob.ar/infolegInternet/anexos/135000-139999/136125/norma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ofiamarinaro@gmail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REVISOR</dc:creator>
  <cp:keywords/>
  <dc:description/>
  <cp:lastModifiedBy>Sofia</cp:lastModifiedBy>
  <cp:revision>20</cp:revision>
  <dcterms:created xsi:type="dcterms:W3CDTF">2019-09-25T14:36:00Z</dcterms:created>
  <dcterms:modified xsi:type="dcterms:W3CDTF">2020-08-13T12:19:00Z</dcterms:modified>
</cp:coreProperties>
</file>