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5A3C9" w14:textId="5971A1FE" w:rsidR="009F1F29" w:rsidRDefault="009F1F29" w:rsidP="00CC651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70BB8">
        <w:rPr>
          <w:rFonts w:ascii="Arial" w:hAnsi="Arial" w:cs="Arial"/>
          <w:sz w:val="24"/>
          <w:szCs w:val="24"/>
        </w:rPr>
        <w:t xml:space="preserve">Appendix S4. Psychometric data regarding the Nature Exposure Scale </w:t>
      </w:r>
      <w:r w:rsidR="006D33F0">
        <w:rPr>
          <w:rFonts w:ascii="Arial" w:hAnsi="Arial" w:cs="Arial"/>
          <w:sz w:val="24"/>
          <w:szCs w:val="24"/>
        </w:rPr>
        <w:t xml:space="preserve">(NES) </w:t>
      </w:r>
    </w:p>
    <w:p w14:paraId="252FDCF4" w14:textId="30FD4CA7" w:rsidR="006D33F0" w:rsidRDefault="006D33F0" w:rsidP="00CC651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07270F9" w14:textId="318B5355" w:rsidR="006D33F0" w:rsidRPr="00D64101" w:rsidRDefault="006D33F0" w:rsidP="00CC6516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64101">
        <w:rPr>
          <w:rFonts w:ascii="Arial" w:hAnsi="Arial" w:cs="Arial"/>
          <w:b/>
          <w:bCs/>
          <w:sz w:val="24"/>
          <w:szCs w:val="24"/>
        </w:rPr>
        <w:t>Preamble</w:t>
      </w:r>
    </w:p>
    <w:p w14:paraId="6D29E71F" w14:textId="08C18A2C" w:rsidR="006D33F0" w:rsidRPr="008C4D8A" w:rsidRDefault="006D33F0" w:rsidP="00266B5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64101">
        <w:rPr>
          <w:rFonts w:ascii="Arial" w:hAnsi="Arial" w:cs="Arial"/>
          <w:sz w:val="24"/>
          <w:szCs w:val="24"/>
        </w:rPr>
        <w:t>A psychological scale</w:t>
      </w:r>
      <w:r w:rsidR="007D37BC" w:rsidRPr="00D64101">
        <w:rPr>
          <w:rFonts w:ascii="Arial" w:hAnsi="Arial" w:cs="Arial"/>
          <w:sz w:val="24"/>
          <w:szCs w:val="24"/>
        </w:rPr>
        <w:t xml:space="preserve"> is an instrument </w:t>
      </w:r>
      <w:r w:rsidR="008B5B65" w:rsidRPr="00D64101">
        <w:rPr>
          <w:rFonts w:ascii="Arial" w:hAnsi="Arial" w:cs="Arial"/>
          <w:sz w:val="24"/>
          <w:szCs w:val="24"/>
        </w:rPr>
        <w:t xml:space="preserve">usually </w:t>
      </w:r>
      <w:r w:rsidR="007D37BC" w:rsidRPr="00D64101">
        <w:rPr>
          <w:rFonts w:ascii="Arial" w:hAnsi="Arial" w:cs="Arial"/>
          <w:sz w:val="24"/>
          <w:szCs w:val="24"/>
        </w:rPr>
        <w:t xml:space="preserve">composed by </w:t>
      </w:r>
      <w:r w:rsidR="008B5B65" w:rsidRPr="00D64101">
        <w:rPr>
          <w:rFonts w:ascii="Arial" w:hAnsi="Arial" w:cs="Arial"/>
          <w:sz w:val="24"/>
          <w:szCs w:val="24"/>
        </w:rPr>
        <w:t>several</w:t>
      </w:r>
      <w:r w:rsidR="007D37BC" w:rsidRPr="00D64101">
        <w:rPr>
          <w:rFonts w:ascii="Arial" w:hAnsi="Arial" w:cs="Arial"/>
          <w:sz w:val="24"/>
          <w:szCs w:val="24"/>
        </w:rPr>
        <w:t xml:space="preserve"> items</w:t>
      </w:r>
      <w:r w:rsidR="00185191" w:rsidRPr="00D64101">
        <w:rPr>
          <w:rFonts w:ascii="Arial" w:hAnsi="Arial" w:cs="Arial"/>
          <w:sz w:val="24"/>
          <w:szCs w:val="24"/>
        </w:rPr>
        <w:t>,</w:t>
      </w:r>
      <w:r w:rsidR="007D37BC" w:rsidRPr="00D64101">
        <w:rPr>
          <w:rFonts w:ascii="Arial" w:hAnsi="Arial" w:cs="Arial"/>
          <w:sz w:val="24"/>
          <w:szCs w:val="24"/>
        </w:rPr>
        <w:t xml:space="preserve"> designed to measure </w:t>
      </w:r>
      <w:r w:rsidR="007D37BC" w:rsidRPr="008C4D8A">
        <w:rPr>
          <w:rFonts w:ascii="Arial" w:hAnsi="Arial" w:cs="Arial"/>
          <w:sz w:val="24"/>
          <w:szCs w:val="24"/>
        </w:rPr>
        <w:t>a person’s or</w:t>
      </w:r>
      <w:r w:rsidR="00A96514" w:rsidRPr="008C4D8A">
        <w:rPr>
          <w:rFonts w:ascii="Arial" w:hAnsi="Arial" w:cs="Arial"/>
          <w:sz w:val="24"/>
          <w:szCs w:val="24"/>
        </w:rPr>
        <w:t xml:space="preserve"> a</w:t>
      </w:r>
      <w:r w:rsidR="007D37BC" w:rsidRPr="008C4D8A">
        <w:rPr>
          <w:rFonts w:ascii="Arial" w:hAnsi="Arial" w:cs="Arial"/>
          <w:sz w:val="24"/>
          <w:szCs w:val="24"/>
        </w:rPr>
        <w:t xml:space="preserve"> group of individuals’ position </w:t>
      </w:r>
      <w:r w:rsidR="00185191" w:rsidRPr="008C4D8A">
        <w:rPr>
          <w:rFonts w:ascii="Arial" w:hAnsi="Arial" w:cs="Arial"/>
          <w:sz w:val="24"/>
          <w:szCs w:val="24"/>
        </w:rPr>
        <w:t>on</w:t>
      </w:r>
      <w:r w:rsidR="007D37BC" w:rsidRPr="008C4D8A">
        <w:rPr>
          <w:rFonts w:ascii="Arial" w:hAnsi="Arial" w:cs="Arial"/>
          <w:sz w:val="24"/>
          <w:szCs w:val="24"/>
        </w:rPr>
        <w:t xml:space="preserve"> a </w:t>
      </w:r>
      <w:r w:rsidR="008B5B65">
        <w:rPr>
          <w:rFonts w:ascii="Arial" w:hAnsi="Arial" w:cs="Arial"/>
          <w:sz w:val="24"/>
          <w:szCs w:val="24"/>
        </w:rPr>
        <w:t xml:space="preserve">construct or variable, </w:t>
      </w:r>
      <w:r w:rsidR="00D64101">
        <w:rPr>
          <w:rFonts w:ascii="Arial" w:hAnsi="Arial" w:cs="Arial"/>
          <w:sz w:val="24"/>
          <w:szCs w:val="24"/>
        </w:rPr>
        <w:t xml:space="preserve">for instance </w:t>
      </w:r>
      <w:r w:rsidR="008B5B65">
        <w:rPr>
          <w:rFonts w:ascii="Arial" w:hAnsi="Arial" w:cs="Arial"/>
          <w:sz w:val="24"/>
          <w:szCs w:val="24"/>
        </w:rPr>
        <w:t>Place attachment</w:t>
      </w:r>
      <w:r w:rsidR="00185191" w:rsidRPr="008C4D8A">
        <w:rPr>
          <w:rFonts w:ascii="Arial" w:hAnsi="Arial" w:cs="Arial"/>
          <w:sz w:val="24"/>
          <w:szCs w:val="24"/>
        </w:rPr>
        <w:t xml:space="preserve"> or Self-esteem</w:t>
      </w:r>
      <w:r w:rsidR="007D37BC" w:rsidRPr="008C4D8A">
        <w:rPr>
          <w:rFonts w:ascii="Arial" w:hAnsi="Arial" w:cs="Arial"/>
          <w:sz w:val="24"/>
          <w:szCs w:val="24"/>
        </w:rPr>
        <w:t>.</w:t>
      </w:r>
      <w:r w:rsidR="008C4D8A" w:rsidRPr="00D64101">
        <w:rPr>
          <w:rFonts w:ascii="Arial" w:hAnsi="Arial" w:cs="Arial"/>
          <w:sz w:val="24"/>
          <w:szCs w:val="24"/>
        </w:rPr>
        <w:t xml:space="preserve"> For each statement</w:t>
      </w:r>
      <w:r w:rsidR="00B1781F">
        <w:rPr>
          <w:rFonts w:ascii="Arial" w:hAnsi="Arial" w:cs="Arial"/>
          <w:sz w:val="24"/>
          <w:szCs w:val="24"/>
        </w:rPr>
        <w:t xml:space="preserve"> or items</w:t>
      </w:r>
      <w:r w:rsidR="008C4D8A" w:rsidRPr="00D64101">
        <w:rPr>
          <w:rFonts w:ascii="Arial" w:hAnsi="Arial" w:cs="Arial"/>
          <w:sz w:val="24"/>
          <w:szCs w:val="24"/>
        </w:rPr>
        <w:t xml:space="preserve">, one has </w:t>
      </w:r>
      <w:r w:rsidR="008C4D8A">
        <w:rPr>
          <w:rFonts w:ascii="Arial" w:hAnsi="Arial" w:cs="Arial"/>
          <w:sz w:val="24"/>
          <w:szCs w:val="24"/>
        </w:rPr>
        <w:t xml:space="preserve">generally </w:t>
      </w:r>
      <w:r w:rsidR="008C4D8A" w:rsidRPr="008C4D8A">
        <w:rPr>
          <w:rFonts w:ascii="Arial" w:hAnsi="Arial" w:cs="Arial"/>
          <w:sz w:val="24"/>
          <w:szCs w:val="24"/>
        </w:rPr>
        <w:t>to indicate the extent of agreement on a response scale</w:t>
      </w:r>
      <w:r w:rsidR="008C4D8A">
        <w:rPr>
          <w:rFonts w:ascii="Arial" w:hAnsi="Arial" w:cs="Arial"/>
          <w:sz w:val="24"/>
          <w:szCs w:val="24"/>
        </w:rPr>
        <w:t xml:space="preserve"> (Likert scale)</w:t>
      </w:r>
      <w:r w:rsidR="008C4D8A" w:rsidRPr="008C4D8A">
        <w:rPr>
          <w:rFonts w:ascii="Arial" w:hAnsi="Arial" w:cs="Arial"/>
          <w:sz w:val="24"/>
          <w:szCs w:val="24"/>
        </w:rPr>
        <w:t xml:space="preserve"> </w:t>
      </w:r>
      <w:r w:rsidR="008C4D8A">
        <w:rPr>
          <w:rFonts w:ascii="Arial" w:hAnsi="Arial" w:cs="Arial"/>
          <w:sz w:val="24"/>
          <w:szCs w:val="24"/>
        </w:rPr>
        <w:t xml:space="preserve">with different </w:t>
      </w:r>
      <w:r w:rsidR="008C4D8A" w:rsidRPr="008C4D8A">
        <w:rPr>
          <w:rFonts w:ascii="Arial" w:hAnsi="Arial" w:cs="Arial"/>
          <w:sz w:val="24"/>
          <w:szCs w:val="24"/>
        </w:rPr>
        <w:t>alternatives</w:t>
      </w:r>
      <w:r w:rsidR="008C4D8A">
        <w:rPr>
          <w:rFonts w:ascii="Arial" w:hAnsi="Arial" w:cs="Arial"/>
          <w:sz w:val="24"/>
          <w:szCs w:val="24"/>
        </w:rPr>
        <w:t xml:space="preserve"> (generally 5</w:t>
      </w:r>
      <w:r w:rsidR="00D64101">
        <w:rPr>
          <w:rFonts w:ascii="Arial" w:hAnsi="Arial" w:cs="Arial"/>
          <w:sz w:val="24"/>
          <w:szCs w:val="24"/>
        </w:rPr>
        <w:t xml:space="preserve"> </w:t>
      </w:r>
      <w:r w:rsidR="008C4D8A">
        <w:rPr>
          <w:rFonts w:ascii="Arial" w:hAnsi="Arial" w:cs="Arial"/>
          <w:sz w:val="24"/>
          <w:szCs w:val="24"/>
        </w:rPr>
        <w:t>-</w:t>
      </w:r>
      <w:r w:rsidR="00D64101">
        <w:rPr>
          <w:rFonts w:ascii="Arial" w:hAnsi="Arial" w:cs="Arial"/>
          <w:sz w:val="24"/>
          <w:szCs w:val="24"/>
        </w:rPr>
        <w:t xml:space="preserve"> </w:t>
      </w:r>
      <w:r w:rsidR="008C4D8A">
        <w:rPr>
          <w:rFonts w:ascii="Arial" w:hAnsi="Arial" w:cs="Arial"/>
          <w:sz w:val="24"/>
          <w:szCs w:val="24"/>
        </w:rPr>
        <w:t>7)</w:t>
      </w:r>
      <w:r w:rsidR="008C4D8A" w:rsidRPr="008C4D8A">
        <w:rPr>
          <w:rFonts w:ascii="Arial" w:hAnsi="Arial" w:cs="Arial"/>
          <w:sz w:val="24"/>
          <w:szCs w:val="24"/>
        </w:rPr>
        <w:t>.</w:t>
      </w:r>
    </w:p>
    <w:p w14:paraId="4A891387" w14:textId="1836D27B" w:rsidR="00035E5D" w:rsidRPr="00870BB8" w:rsidRDefault="00035E5D" w:rsidP="00266B5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70BB8">
        <w:rPr>
          <w:rFonts w:ascii="Arial" w:hAnsi="Arial" w:cs="Arial"/>
          <w:sz w:val="24"/>
          <w:szCs w:val="24"/>
        </w:rPr>
        <w:t xml:space="preserve">To use a scale as measure of </w:t>
      </w:r>
      <w:r w:rsidR="006D33F0">
        <w:rPr>
          <w:rFonts w:ascii="Arial" w:hAnsi="Arial" w:cs="Arial"/>
          <w:sz w:val="24"/>
          <w:szCs w:val="24"/>
        </w:rPr>
        <w:t>a given</w:t>
      </w:r>
      <w:r w:rsidR="006D33F0" w:rsidRPr="00870BB8">
        <w:rPr>
          <w:rFonts w:ascii="Arial" w:hAnsi="Arial" w:cs="Arial"/>
          <w:sz w:val="24"/>
          <w:szCs w:val="24"/>
        </w:rPr>
        <w:t xml:space="preserve"> </w:t>
      </w:r>
      <w:r w:rsidRPr="00870BB8">
        <w:rPr>
          <w:rFonts w:ascii="Arial" w:hAnsi="Arial" w:cs="Arial"/>
          <w:sz w:val="24"/>
          <w:szCs w:val="24"/>
        </w:rPr>
        <w:t>variable</w:t>
      </w:r>
      <w:r w:rsidR="00185191">
        <w:rPr>
          <w:rFonts w:ascii="Arial" w:hAnsi="Arial" w:cs="Arial"/>
          <w:sz w:val="24"/>
          <w:szCs w:val="24"/>
        </w:rPr>
        <w:t xml:space="preserve"> (dimension)</w:t>
      </w:r>
      <w:r w:rsidRPr="00870BB8">
        <w:rPr>
          <w:rFonts w:ascii="Arial" w:hAnsi="Arial" w:cs="Arial"/>
          <w:sz w:val="24"/>
          <w:szCs w:val="24"/>
        </w:rPr>
        <w:t xml:space="preserve"> </w:t>
      </w:r>
      <w:r w:rsidR="006D33F0">
        <w:rPr>
          <w:rFonts w:ascii="Arial" w:hAnsi="Arial" w:cs="Arial"/>
          <w:sz w:val="24"/>
          <w:szCs w:val="24"/>
        </w:rPr>
        <w:t>it is necessary</w:t>
      </w:r>
      <w:r w:rsidRPr="00870BB8">
        <w:rPr>
          <w:rFonts w:ascii="Arial" w:hAnsi="Arial" w:cs="Arial"/>
          <w:sz w:val="24"/>
          <w:szCs w:val="24"/>
        </w:rPr>
        <w:t xml:space="preserve"> to empirically demonstrate </w:t>
      </w:r>
      <w:r w:rsidR="006D33F0">
        <w:rPr>
          <w:rFonts w:ascii="Arial" w:hAnsi="Arial" w:cs="Arial"/>
          <w:sz w:val="24"/>
          <w:szCs w:val="24"/>
        </w:rPr>
        <w:t xml:space="preserve">that the scale </w:t>
      </w:r>
      <w:r w:rsidRPr="00870BB8">
        <w:rPr>
          <w:rFonts w:ascii="Arial" w:hAnsi="Arial" w:cs="Arial"/>
          <w:sz w:val="24"/>
          <w:szCs w:val="24"/>
        </w:rPr>
        <w:t>measures what it is supposed to</w:t>
      </w:r>
      <w:r w:rsidR="006D33F0">
        <w:rPr>
          <w:rFonts w:ascii="Arial" w:hAnsi="Arial" w:cs="Arial"/>
          <w:sz w:val="24"/>
          <w:szCs w:val="24"/>
        </w:rPr>
        <w:t xml:space="preserve"> measure</w:t>
      </w:r>
      <w:r w:rsidRPr="00870BB8">
        <w:rPr>
          <w:rFonts w:ascii="Arial" w:hAnsi="Arial" w:cs="Arial"/>
          <w:sz w:val="24"/>
          <w:szCs w:val="24"/>
        </w:rPr>
        <w:t xml:space="preserve"> (internal validity)</w:t>
      </w:r>
      <w:r w:rsidR="00AD5C5E">
        <w:rPr>
          <w:rFonts w:ascii="Arial" w:hAnsi="Arial" w:cs="Arial"/>
          <w:sz w:val="24"/>
          <w:szCs w:val="24"/>
        </w:rPr>
        <w:t>,</w:t>
      </w:r>
      <w:r w:rsidRPr="00870BB8">
        <w:rPr>
          <w:rFonts w:ascii="Arial" w:hAnsi="Arial" w:cs="Arial"/>
          <w:sz w:val="24"/>
          <w:szCs w:val="24"/>
        </w:rPr>
        <w:t xml:space="preserve"> presents </w:t>
      </w:r>
      <w:r w:rsidR="006D33F0">
        <w:rPr>
          <w:rFonts w:ascii="Arial" w:hAnsi="Arial" w:cs="Arial"/>
          <w:sz w:val="24"/>
          <w:szCs w:val="24"/>
        </w:rPr>
        <w:t xml:space="preserve">acceptable correlation </w:t>
      </w:r>
      <w:r w:rsidRPr="00870BB8">
        <w:rPr>
          <w:rFonts w:ascii="Arial" w:hAnsi="Arial" w:cs="Arial"/>
          <w:sz w:val="24"/>
          <w:szCs w:val="24"/>
        </w:rPr>
        <w:t>scores between the different parts of the same instrument (internal consistency</w:t>
      </w:r>
      <w:r w:rsidR="009F145F">
        <w:rPr>
          <w:rFonts w:ascii="Arial" w:hAnsi="Arial" w:cs="Arial"/>
          <w:sz w:val="24"/>
          <w:szCs w:val="24"/>
        </w:rPr>
        <w:t xml:space="preserve"> </w:t>
      </w:r>
      <w:r w:rsidR="009F145F" w:rsidRPr="00870BB8">
        <w:rPr>
          <w:rFonts w:ascii="Arial" w:hAnsi="Arial" w:cs="Arial"/>
          <w:sz w:val="24"/>
          <w:szCs w:val="24"/>
        </w:rPr>
        <w:t>reliability</w:t>
      </w:r>
      <w:r w:rsidRPr="00870BB8">
        <w:rPr>
          <w:rFonts w:ascii="Arial" w:hAnsi="Arial" w:cs="Arial"/>
          <w:sz w:val="24"/>
          <w:szCs w:val="24"/>
        </w:rPr>
        <w:t xml:space="preserve">), </w:t>
      </w:r>
      <w:r w:rsidR="00B1781F">
        <w:rPr>
          <w:rFonts w:ascii="Arial" w:hAnsi="Arial" w:cs="Arial"/>
          <w:sz w:val="24"/>
          <w:szCs w:val="24"/>
        </w:rPr>
        <w:t>and</w:t>
      </w:r>
      <w:r w:rsidR="004259E0">
        <w:rPr>
          <w:rFonts w:ascii="Arial" w:hAnsi="Arial" w:cs="Arial"/>
          <w:sz w:val="24"/>
          <w:szCs w:val="24"/>
        </w:rPr>
        <w:t>/or</w:t>
      </w:r>
      <w:r w:rsidR="00822B16">
        <w:rPr>
          <w:rFonts w:ascii="Arial" w:hAnsi="Arial" w:cs="Arial"/>
          <w:sz w:val="24"/>
          <w:szCs w:val="24"/>
        </w:rPr>
        <w:t xml:space="preserve"> </w:t>
      </w:r>
      <w:r w:rsidR="009F145F" w:rsidRPr="009F145F">
        <w:rPr>
          <w:rFonts w:ascii="Arial" w:hAnsi="Arial" w:cs="Arial"/>
          <w:sz w:val="24"/>
          <w:szCs w:val="24"/>
        </w:rPr>
        <w:t>could also replicate the result more than once in the same situation and population</w:t>
      </w:r>
      <w:r w:rsidR="009F145F">
        <w:rPr>
          <w:rFonts w:ascii="Arial" w:hAnsi="Arial" w:cs="Arial"/>
          <w:sz w:val="24"/>
          <w:szCs w:val="24"/>
        </w:rPr>
        <w:t xml:space="preserve"> </w:t>
      </w:r>
      <w:r w:rsidRPr="00870BB8">
        <w:rPr>
          <w:rFonts w:ascii="Arial" w:hAnsi="Arial" w:cs="Arial"/>
          <w:sz w:val="24"/>
          <w:szCs w:val="24"/>
        </w:rPr>
        <w:t>(tes</w:t>
      </w:r>
      <w:r w:rsidR="00AA5C59">
        <w:rPr>
          <w:rFonts w:ascii="Arial" w:hAnsi="Arial" w:cs="Arial"/>
          <w:sz w:val="24"/>
          <w:szCs w:val="24"/>
        </w:rPr>
        <w:t>t</w:t>
      </w:r>
      <w:r w:rsidRPr="00870BB8">
        <w:rPr>
          <w:rFonts w:ascii="Arial" w:hAnsi="Arial" w:cs="Arial"/>
          <w:sz w:val="24"/>
          <w:szCs w:val="24"/>
        </w:rPr>
        <w:t>-retest</w:t>
      </w:r>
      <w:r w:rsidR="00B1781F">
        <w:rPr>
          <w:rFonts w:ascii="Arial" w:hAnsi="Arial" w:cs="Arial"/>
          <w:sz w:val="24"/>
          <w:szCs w:val="24"/>
        </w:rPr>
        <w:t xml:space="preserve"> reliability</w:t>
      </w:r>
      <w:r w:rsidRPr="00870BB8">
        <w:rPr>
          <w:rFonts w:ascii="Arial" w:hAnsi="Arial" w:cs="Arial"/>
          <w:sz w:val="24"/>
          <w:szCs w:val="24"/>
        </w:rPr>
        <w:t>).</w:t>
      </w:r>
    </w:p>
    <w:p w14:paraId="1DCB02C3" w14:textId="417170D0" w:rsidR="00266B5B" w:rsidRDefault="00035E5D" w:rsidP="00266B5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70BB8">
        <w:rPr>
          <w:rFonts w:ascii="Arial" w:hAnsi="Arial" w:cs="Arial"/>
          <w:sz w:val="24"/>
          <w:szCs w:val="24"/>
        </w:rPr>
        <w:t>The p</w:t>
      </w:r>
      <w:r w:rsidR="00266B5B" w:rsidRPr="00870BB8">
        <w:rPr>
          <w:rFonts w:ascii="Arial" w:hAnsi="Arial" w:cs="Arial"/>
          <w:sz w:val="24"/>
          <w:szCs w:val="24"/>
        </w:rPr>
        <w:t>sychometric properties (or methodological qualities) to assess the</w:t>
      </w:r>
      <w:r w:rsidR="006D33F0">
        <w:rPr>
          <w:rFonts w:ascii="Arial" w:hAnsi="Arial" w:cs="Arial"/>
          <w:sz w:val="24"/>
          <w:szCs w:val="24"/>
        </w:rPr>
        <w:t xml:space="preserve"> scales used in </w:t>
      </w:r>
      <w:proofErr w:type="gramStart"/>
      <w:r w:rsidR="006D33F0">
        <w:rPr>
          <w:rFonts w:ascii="Arial" w:hAnsi="Arial" w:cs="Arial"/>
          <w:sz w:val="24"/>
          <w:szCs w:val="24"/>
        </w:rPr>
        <w:t>this</w:t>
      </w:r>
      <w:proofErr w:type="gramEnd"/>
      <w:r w:rsidR="006D33F0">
        <w:rPr>
          <w:rFonts w:ascii="Arial" w:hAnsi="Arial" w:cs="Arial"/>
          <w:sz w:val="24"/>
          <w:szCs w:val="24"/>
        </w:rPr>
        <w:t xml:space="preserve"> paper</w:t>
      </w:r>
      <w:r w:rsidR="00266B5B" w:rsidRPr="00870BB8">
        <w:rPr>
          <w:rFonts w:ascii="Arial" w:hAnsi="Arial" w:cs="Arial"/>
          <w:sz w:val="24"/>
          <w:szCs w:val="24"/>
        </w:rPr>
        <w:t xml:space="preserve"> </w:t>
      </w:r>
      <w:r w:rsidRPr="00870BB8">
        <w:rPr>
          <w:rFonts w:ascii="Arial" w:hAnsi="Arial" w:cs="Arial"/>
          <w:sz w:val="24"/>
          <w:szCs w:val="24"/>
        </w:rPr>
        <w:t>are described below.</w:t>
      </w:r>
    </w:p>
    <w:p w14:paraId="298F2CB5" w14:textId="77777777" w:rsidR="001D22DF" w:rsidRPr="00870BB8" w:rsidRDefault="001D22DF" w:rsidP="00266B5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EEF7898" w14:textId="2007656A" w:rsidR="00AC46B7" w:rsidRPr="00C73D67" w:rsidRDefault="00AC46B7" w:rsidP="00D64101">
      <w:pPr>
        <w:spacing w:line="276" w:lineRule="auto"/>
        <w:rPr>
          <w:rFonts w:ascii="Arial" w:hAnsi="Arial" w:cs="Arial"/>
          <w:b/>
          <w:bCs/>
          <w:sz w:val="24"/>
          <w:szCs w:val="24"/>
          <w:lang w:val="fr-FR"/>
        </w:rPr>
      </w:pPr>
      <w:r w:rsidRPr="00C73D67">
        <w:rPr>
          <w:rFonts w:ascii="Arial" w:hAnsi="Arial" w:cs="Arial"/>
          <w:b/>
          <w:bCs/>
          <w:sz w:val="24"/>
          <w:szCs w:val="24"/>
          <w:lang w:val="fr-FR"/>
        </w:rPr>
        <w:t xml:space="preserve">Nature </w:t>
      </w:r>
      <w:proofErr w:type="spellStart"/>
      <w:r w:rsidR="001D22DF" w:rsidRPr="00C73D67">
        <w:rPr>
          <w:rFonts w:ascii="Arial" w:hAnsi="Arial" w:cs="Arial"/>
          <w:b/>
          <w:bCs/>
          <w:sz w:val="24"/>
          <w:szCs w:val="24"/>
          <w:lang w:val="fr-FR"/>
        </w:rPr>
        <w:t>Exposure</w:t>
      </w:r>
      <w:proofErr w:type="spellEnd"/>
      <w:r w:rsidR="001D22DF" w:rsidRPr="00C73D67"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1D22DF" w:rsidRPr="00C73D67">
        <w:rPr>
          <w:rFonts w:ascii="Arial" w:hAnsi="Arial" w:cs="Arial"/>
          <w:b/>
          <w:bCs/>
          <w:sz w:val="24"/>
          <w:szCs w:val="24"/>
          <w:lang w:val="fr-FR"/>
        </w:rPr>
        <w:t>Scale</w:t>
      </w:r>
      <w:proofErr w:type="spellEnd"/>
      <w:r w:rsidR="001D22DF" w:rsidRPr="00C73D67"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r w:rsidRPr="00C73D67">
        <w:rPr>
          <w:rFonts w:ascii="Arial" w:hAnsi="Arial" w:cs="Arial"/>
          <w:b/>
          <w:bCs/>
          <w:sz w:val="24"/>
          <w:szCs w:val="24"/>
          <w:lang w:val="fr-FR"/>
        </w:rPr>
        <w:t>(NES)</w:t>
      </w:r>
      <w:r w:rsidR="009F1F29" w:rsidRPr="00C73D67">
        <w:rPr>
          <w:rFonts w:ascii="Arial" w:hAnsi="Arial" w:cs="Arial"/>
          <w:b/>
          <w:bCs/>
          <w:sz w:val="24"/>
          <w:szCs w:val="24"/>
          <w:lang w:val="fr-FR"/>
        </w:rPr>
        <w:t xml:space="preserve"> (</w:t>
      </w:r>
      <w:proofErr w:type="spellStart"/>
      <w:r w:rsidR="009F1F29" w:rsidRPr="00C73D67">
        <w:rPr>
          <w:rFonts w:ascii="Arial" w:hAnsi="Arial" w:cs="Arial"/>
          <w:b/>
          <w:bCs/>
          <w:sz w:val="24"/>
          <w:szCs w:val="24"/>
          <w:lang w:val="fr-FR"/>
        </w:rPr>
        <w:t>Kamitsis</w:t>
      </w:r>
      <w:proofErr w:type="spellEnd"/>
      <w:r w:rsidR="009F1F29" w:rsidRPr="00C73D67">
        <w:rPr>
          <w:rFonts w:ascii="Arial" w:hAnsi="Arial" w:cs="Arial"/>
          <w:b/>
          <w:bCs/>
          <w:sz w:val="24"/>
          <w:szCs w:val="24"/>
          <w:lang w:val="fr-FR"/>
        </w:rPr>
        <w:t xml:space="preserve"> &amp; Francis 2013)</w:t>
      </w:r>
    </w:p>
    <w:p w14:paraId="6C5C227F" w14:textId="2C4AFF6D" w:rsidR="001D22DF" w:rsidRDefault="001D22DF" w:rsidP="001851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85191">
        <w:rPr>
          <w:rFonts w:ascii="Arial" w:hAnsi="Arial" w:cs="Arial"/>
          <w:sz w:val="24"/>
          <w:szCs w:val="24"/>
        </w:rPr>
        <w:t xml:space="preserve">The Nature Exposure Scale (NES), with four items (cf. Table </w:t>
      </w:r>
      <w:r w:rsidR="00012F3E">
        <w:rPr>
          <w:rFonts w:ascii="Arial" w:hAnsi="Arial" w:cs="Arial"/>
          <w:sz w:val="24"/>
          <w:szCs w:val="24"/>
        </w:rPr>
        <w:t>S4.1</w:t>
      </w:r>
      <w:r w:rsidRPr="00185191">
        <w:rPr>
          <w:rFonts w:ascii="Arial" w:hAnsi="Arial" w:cs="Arial"/>
          <w:sz w:val="24"/>
          <w:szCs w:val="24"/>
        </w:rPr>
        <w:t>),</w:t>
      </w:r>
      <w:r w:rsidR="00A519C3">
        <w:rPr>
          <w:rFonts w:ascii="Arial" w:hAnsi="Arial" w:cs="Arial"/>
          <w:sz w:val="24"/>
          <w:szCs w:val="24"/>
        </w:rPr>
        <w:t xml:space="preserve"> is</w:t>
      </w:r>
      <w:r w:rsidRPr="00185191">
        <w:rPr>
          <w:rFonts w:ascii="Arial" w:hAnsi="Arial" w:cs="Arial"/>
          <w:sz w:val="24"/>
          <w:szCs w:val="24"/>
        </w:rPr>
        <w:t xml:space="preserve"> </w:t>
      </w:r>
      <w:r w:rsidR="00185191" w:rsidRPr="00D64101">
        <w:rPr>
          <w:rFonts w:ascii="Arial" w:hAnsi="Arial" w:cs="Arial"/>
          <w:sz w:val="24"/>
          <w:szCs w:val="24"/>
        </w:rPr>
        <w:t>design</w:t>
      </w:r>
      <w:r w:rsidR="00A519C3">
        <w:rPr>
          <w:rFonts w:ascii="Arial" w:hAnsi="Arial" w:cs="Arial"/>
          <w:sz w:val="24"/>
          <w:szCs w:val="24"/>
        </w:rPr>
        <w:t>ed</w:t>
      </w:r>
      <w:r w:rsidR="00185191" w:rsidRPr="00D64101">
        <w:rPr>
          <w:rFonts w:ascii="Arial" w:hAnsi="Arial" w:cs="Arial"/>
          <w:sz w:val="24"/>
          <w:szCs w:val="24"/>
        </w:rPr>
        <w:t xml:space="preserve"> to measure </w:t>
      </w:r>
      <w:r w:rsidR="00785B2C">
        <w:rPr>
          <w:rFonts w:ascii="Arial" w:hAnsi="Arial" w:cs="Arial"/>
          <w:sz w:val="24"/>
          <w:szCs w:val="24"/>
        </w:rPr>
        <w:t>‘</w:t>
      </w:r>
      <w:r w:rsidR="00185191" w:rsidRPr="00D64101">
        <w:rPr>
          <w:rFonts w:ascii="Arial" w:hAnsi="Arial" w:cs="Arial"/>
          <w:sz w:val="24"/>
          <w:szCs w:val="24"/>
        </w:rPr>
        <w:t>direct physical and/or sensory contact with the natural environment</w:t>
      </w:r>
      <w:r w:rsidR="00785B2C">
        <w:rPr>
          <w:rFonts w:ascii="Arial" w:hAnsi="Arial" w:cs="Arial"/>
          <w:sz w:val="24"/>
          <w:szCs w:val="24"/>
        </w:rPr>
        <w:t>’</w:t>
      </w:r>
      <w:r w:rsidR="0018519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185191" w:rsidRPr="00185191">
        <w:rPr>
          <w:rFonts w:ascii="Arial" w:hAnsi="Arial" w:cs="Arial"/>
          <w:sz w:val="24"/>
          <w:szCs w:val="24"/>
        </w:rPr>
        <w:t>Kamitsis</w:t>
      </w:r>
      <w:proofErr w:type="spellEnd"/>
      <w:r w:rsidR="00185191" w:rsidRPr="00185191">
        <w:rPr>
          <w:rFonts w:ascii="Arial" w:hAnsi="Arial" w:cs="Arial"/>
          <w:sz w:val="24"/>
          <w:szCs w:val="24"/>
        </w:rPr>
        <w:t xml:space="preserve"> &amp; Francis 2013</w:t>
      </w:r>
      <w:r w:rsidR="00185191">
        <w:rPr>
          <w:rFonts w:ascii="Arial" w:hAnsi="Arial" w:cs="Arial"/>
          <w:sz w:val="24"/>
          <w:szCs w:val="24"/>
        </w:rPr>
        <w:t>)</w:t>
      </w:r>
      <w:r w:rsidR="00655A03" w:rsidRPr="00655A03">
        <w:rPr>
          <w:rFonts w:ascii="Arial" w:hAnsi="Arial" w:cs="Arial"/>
          <w:sz w:val="24"/>
          <w:szCs w:val="24"/>
        </w:rPr>
        <w:t>.</w:t>
      </w:r>
      <w:r w:rsidR="00185191" w:rsidRPr="00185191">
        <w:t xml:space="preserve"> </w:t>
      </w:r>
      <w:r w:rsidR="00185191" w:rsidRPr="00185191">
        <w:rPr>
          <w:rFonts w:ascii="Arial" w:hAnsi="Arial" w:cs="Arial"/>
          <w:sz w:val="24"/>
          <w:szCs w:val="24"/>
        </w:rPr>
        <w:t>Two items are designed to assess exposure to nature in</w:t>
      </w:r>
      <w:r w:rsidR="00185191">
        <w:rPr>
          <w:rFonts w:ascii="Arial" w:hAnsi="Arial" w:cs="Arial"/>
          <w:sz w:val="24"/>
          <w:szCs w:val="24"/>
        </w:rPr>
        <w:t xml:space="preserve"> </w:t>
      </w:r>
      <w:r w:rsidR="00185191" w:rsidRPr="00185191">
        <w:rPr>
          <w:rFonts w:ascii="Arial" w:hAnsi="Arial" w:cs="Arial"/>
          <w:sz w:val="24"/>
          <w:szCs w:val="24"/>
        </w:rPr>
        <w:t>everyday life, and two items to assess exposure outside of everyday environments.</w:t>
      </w:r>
    </w:p>
    <w:p w14:paraId="34F99CBF" w14:textId="10C32752" w:rsidR="00670863" w:rsidRDefault="00670863" w:rsidP="001D68B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Pr="00870BB8">
        <w:rPr>
          <w:rFonts w:ascii="Arial" w:hAnsi="Arial" w:cs="Arial"/>
          <w:sz w:val="24"/>
          <w:szCs w:val="24"/>
        </w:rPr>
        <w:t xml:space="preserve">NES items </w:t>
      </w:r>
      <w:r>
        <w:rPr>
          <w:rFonts w:ascii="Arial" w:hAnsi="Arial" w:cs="Arial"/>
          <w:sz w:val="24"/>
          <w:szCs w:val="24"/>
        </w:rPr>
        <w:t xml:space="preserve">reliability </w:t>
      </w:r>
      <w:r w:rsidR="001D68B1" w:rsidRPr="00870BB8">
        <w:rPr>
          <w:rFonts w:ascii="Arial" w:hAnsi="Arial" w:cs="Arial"/>
          <w:sz w:val="24"/>
          <w:szCs w:val="24"/>
        </w:rPr>
        <w:t>was</w:t>
      </w:r>
      <w:r w:rsidR="001D68B1">
        <w:rPr>
          <w:rFonts w:ascii="Arial" w:hAnsi="Arial" w:cs="Arial"/>
          <w:sz w:val="24"/>
          <w:szCs w:val="24"/>
        </w:rPr>
        <w:t xml:space="preserve"> assessed through </w:t>
      </w:r>
      <w:r w:rsidR="001D68B1" w:rsidRPr="001D68B1">
        <w:rPr>
          <w:rFonts w:ascii="Arial" w:hAnsi="Arial" w:cs="Arial"/>
          <w:sz w:val="24"/>
          <w:szCs w:val="24"/>
        </w:rPr>
        <w:t xml:space="preserve">Cronbach’s </w:t>
      </w:r>
      <w:r w:rsidR="00AF2205">
        <w:rPr>
          <w:rFonts w:ascii="Arial" w:hAnsi="Arial" w:cs="Arial"/>
          <w:sz w:val="24"/>
          <w:szCs w:val="24"/>
        </w:rPr>
        <w:t>alpha</w:t>
      </w:r>
      <w:r>
        <w:rPr>
          <w:rFonts w:ascii="Arial" w:hAnsi="Arial" w:cs="Arial"/>
          <w:sz w:val="24"/>
          <w:szCs w:val="24"/>
        </w:rPr>
        <w:t xml:space="preserve"> tests</w:t>
      </w:r>
      <w:r w:rsidR="00A519C3">
        <w:rPr>
          <w:rFonts w:ascii="Arial" w:hAnsi="Arial" w:cs="Arial"/>
          <w:sz w:val="24"/>
          <w:szCs w:val="24"/>
        </w:rPr>
        <w:t xml:space="preserve"> (‘A</w:t>
      </w:r>
      <w:r w:rsidR="00A519C3" w:rsidRPr="00A519C3">
        <w:rPr>
          <w:rFonts w:ascii="Arial" w:hAnsi="Arial" w:cs="Arial"/>
          <w:sz w:val="24"/>
          <w:szCs w:val="24"/>
        </w:rPr>
        <w:t>lpha</w:t>
      </w:r>
      <w:r w:rsidR="00A519C3">
        <w:rPr>
          <w:rFonts w:ascii="Arial" w:hAnsi="Arial" w:cs="Arial"/>
          <w:sz w:val="24"/>
          <w:szCs w:val="24"/>
        </w:rPr>
        <w:t>’</w:t>
      </w:r>
      <w:r w:rsidR="00A519C3" w:rsidRPr="00A519C3">
        <w:rPr>
          <w:rFonts w:ascii="Arial" w:hAnsi="Arial" w:cs="Arial"/>
          <w:sz w:val="24"/>
          <w:szCs w:val="24"/>
        </w:rPr>
        <w:t xml:space="preserve"> </w:t>
      </w:r>
      <w:r w:rsidR="00A519C3">
        <w:rPr>
          <w:rFonts w:ascii="Arial" w:hAnsi="Arial" w:cs="Arial"/>
          <w:sz w:val="24"/>
          <w:szCs w:val="24"/>
        </w:rPr>
        <w:t>and ‘</w:t>
      </w:r>
      <w:r w:rsidR="00A519C3" w:rsidRPr="00A519C3">
        <w:rPr>
          <w:rFonts w:ascii="Arial" w:hAnsi="Arial" w:cs="Arial"/>
          <w:sz w:val="24"/>
          <w:szCs w:val="24"/>
        </w:rPr>
        <w:t>Alpha if Item Deleted</w:t>
      </w:r>
      <w:r w:rsidR="00A519C3">
        <w:rPr>
          <w:rFonts w:ascii="Arial" w:hAnsi="Arial" w:cs="Arial"/>
          <w:sz w:val="24"/>
          <w:szCs w:val="24"/>
        </w:rPr>
        <w:t>’)</w:t>
      </w:r>
      <w:r w:rsidR="00DD168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and </w:t>
      </w:r>
      <w:r w:rsidR="00AF2205">
        <w:rPr>
          <w:rFonts w:ascii="Arial" w:hAnsi="Arial" w:cs="Arial"/>
          <w:sz w:val="24"/>
          <w:szCs w:val="24"/>
        </w:rPr>
        <w:t>item-total</w:t>
      </w:r>
      <w:r>
        <w:rPr>
          <w:rFonts w:ascii="Arial" w:hAnsi="Arial" w:cs="Arial"/>
          <w:sz w:val="24"/>
          <w:szCs w:val="24"/>
        </w:rPr>
        <w:t xml:space="preserve"> correlation analysis.</w:t>
      </w:r>
    </w:p>
    <w:p w14:paraId="189113A2" w14:textId="7E2D3306" w:rsidR="0099445E" w:rsidRDefault="006D3ACF" w:rsidP="001D68B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</w:t>
      </w:r>
      <w:r w:rsidR="001D68B1">
        <w:rPr>
          <w:rFonts w:ascii="Arial" w:hAnsi="Arial" w:cs="Arial"/>
          <w:sz w:val="24"/>
          <w:szCs w:val="24"/>
        </w:rPr>
        <w:t xml:space="preserve"> </w:t>
      </w:r>
      <w:r w:rsidR="001D68B1" w:rsidRPr="00870BB8">
        <w:rPr>
          <w:rFonts w:ascii="Arial" w:hAnsi="Arial" w:cs="Arial"/>
          <w:sz w:val="24"/>
          <w:szCs w:val="24"/>
        </w:rPr>
        <w:t xml:space="preserve">found </w:t>
      </w:r>
      <w:r w:rsidR="00A519C3">
        <w:rPr>
          <w:rFonts w:ascii="Arial" w:hAnsi="Arial" w:cs="Arial"/>
          <w:sz w:val="24"/>
          <w:szCs w:val="24"/>
        </w:rPr>
        <w:t xml:space="preserve">a </w:t>
      </w:r>
      <w:r w:rsidR="00A519C3" w:rsidRPr="00A519C3">
        <w:rPr>
          <w:rFonts w:ascii="Arial" w:hAnsi="Arial" w:cs="Arial"/>
          <w:sz w:val="24"/>
          <w:szCs w:val="24"/>
        </w:rPr>
        <w:t>Cronbach’s alpha</w:t>
      </w:r>
      <w:r w:rsidR="00A519C3">
        <w:rPr>
          <w:rFonts w:ascii="Arial" w:hAnsi="Arial" w:cs="Arial"/>
          <w:sz w:val="24"/>
          <w:szCs w:val="24"/>
        </w:rPr>
        <w:t xml:space="preserve"> </w:t>
      </w:r>
      <w:r w:rsidRPr="00870BB8">
        <w:rPr>
          <w:rFonts w:ascii="Arial" w:hAnsi="Arial" w:cs="Arial"/>
          <w:sz w:val="24"/>
          <w:szCs w:val="24"/>
        </w:rPr>
        <w:t>of 0.70</w:t>
      </w:r>
      <w:r w:rsidR="00670863">
        <w:rPr>
          <w:rFonts w:ascii="Arial" w:hAnsi="Arial" w:cs="Arial"/>
          <w:sz w:val="24"/>
          <w:szCs w:val="24"/>
        </w:rPr>
        <w:t xml:space="preserve"> (Table S4.1), which is</w:t>
      </w:r>
      <w:r>
        <w:rPr>
          <w:rFonts w:ascii="Arial" w:hAnsi="Arial" w:cs="Arial"/>
          <w:sz w:val="24"/>
          <w:szCs w:val="24"/>
        </w:rPr>
        <w:t xml:space="preserve"> </w:t>
      </w:r>
      <w:r w:rsidR="00670863">
        <w:rPr>
          <w:rFonts w:ascii="Arial" w:hAnsi="Arial" w:cs="Arial"/>
          <w:sz w:val="24"/>
          <w:szCs w:val="24"/>
        </w:rPr>
        <w:t xml:space="preserve">considered </w:t>
      </w:r>
      <w:r w:rsidR="001D68B1" w:rsidRPr="00870BB8">
        <w:rPr>
          <w:rFonts w:ascii="Arial" w:hAnsi="Arial" w:cs="Arial"/>
          <w:sz w:val="24"/>
          <w:szCs w:val="24"/>
        </w:rPr>
        <w:t>an acceptable level of internal consistency</w:t>
      </w:r>
      <w:r w:rsidR="00670863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893340">
        <w:rPr>
          <w:rFonts w:ascii="Arial" w:hAnsi="Arial" w:cs="Arial"/>
          <w:sz w:val="24"/>
          <w:szCs w:val="24"/>
        </w:rPr>
        <w:t>Pestana</w:t>
      </w:r>
      <w:proofErr w:type="spellEnd"/>
      <w:r w:rsidR="00893340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893340">
        <w:rPr>
          <w:rFonts w:ascii="Arial" w:hAnsi="Arial" w:cs="Arial"/>
          <w:sz w:val="24"/>
          <w:szCs w:val="24"/>
        </w:rPr>
        <w:t>Gageiro</w:t>
      </w:r>
      <w:proofErr w:type="spellEnd"/>
      <w:r w:rsidR="00893340">
        <w:rPr>
          <w:rFonts w:ascii="Arial" w:hAnsi="Arial" w:cs="Arial"/>
          <w:sz w:val="24"/>
          <w:szCs w:val="24"/>
        </w:rPr>
        <w:t xml:space="preserve"> 2014)</w:t>
      </w:r>
      <w:r w:rsidR="001D68B1" w:rsidRPr="00870BB8">
        <w:rPr>
          <w:rFonts w:ascii="Arial" w:hAnsi="Arial" w:cs="Arial"/>
          <w:sz w:val="24"/>
          <w:szCs w:val="24"/>
        </w:rPr>
        <w:t xml:space="preserve">, similar to the value </w:t>
      </w:r>
      <w:r w:rsidR="00670863">
        <w:rPr>
          <w:rFonts w:ascii="Arial" w:hAnsi="Arial" w:cs="Arial"/>
          <w:sz w:val="24"/>
          <w:szCs w:val="24"/>
        </w:rPr>
        <w:t>reported by</w:t>
      </w:r>
      <w:r w:rsidR="00670863" w:rsidRPr="00870B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3E4D" w:rsidRPr="00870BB8">
        <w:rPr>
          <w:rFonts w:ascii="Arial" w:hAnsi="Arial" w:cs="Arial"/>
          <w:sz w:val="24"/>
          <w:szCs w:val="24"/>
        </w:rPr>
        <w:t>Kamitsis</w:t>
      </w:r>
      <w:proofErr w:type="spellEnd"/>
      <w:r w:rsidR="00153E4D" w:rsidRPr="00870BB8">
        <w:rPr>
          <w:rFonts w:ascii="Arial" w:hAnsi="Arial" w:cs="Arial"/>
          <w:sz w:val="24"/>
          <w:szCs w:val="24"/>
        </w:rPr>
        <w:t xml:space="preserve"> and Francis (2013)</w:t>
      </w:r>
      <w:r w:rsidR="00153E4D">
        <w:rPr>
          <w:rFonts w:ascii="Arial" w:hAnsi="Arial" w:cs="Arial"/>
          <w:sz w:val="24"/>
          <w:szCs w:val="24"/>
        </w:rPr>
        <w:t xml:space="preserve"> (</w:t>
      </w:r>
      <w:r w:rsidR="00153E4D" w:rsidRPr="001D68B1">
        <w:rPr>
          <w:rFonts w:ascii="Arial" w:hAnsi="Arial" w:cs="Arial"/>
          <w:sz w:val="24"/>
          <w:szCs w:val="24"/>
        </w:rPr>
        <w:t>Cronbach’s α</w:t>
      </w:r>
      <w:r w:rsidR="00153E4D" w:rsidRPr="00870BB8">
        <w:rPr>
          <w:rFonts w:ascii="Arial" w:hAnsi="Arial" w:cs="Arial"/>
          <w:sz w:val="24"/>
          <w:szCs w:val="24"/>
        </w:rPr>
        <w:t xml:space="preserve"> </w:t>
      </w:r>
      <w:r w:rsidR="00153E4D">
        <w:rPr>
          <w:rFonts w:ascii="Arial" w:hAnsi="Arial" w:cs="Arial"/>
          <w:sz w:val="24"/>
          <w:szCs w:val="24"/>
        </w:rPr>
        <w:t xml:space="preserve">= </w:t>
      </w:r>
      <w:r w:rsidR="001D68B1" w:rsidRPr="00870BB8">
        <w:rPr>
          <w:rFonts w:ascii="Arial" w:hAnsi="Arial" w:cs="Arial"/>
          <w:sz w:val="24"/>
          <w:szCs w:val="24"/>
        </w:rPr>
        <w:t>0.73</w:t>
      </w:r>
      <w:r w:rsidR="00153E4D">
        <w:rPr>
          <w:rFonts w:ascii="Arial" w:hAnsi="Arial" w:cs="Arial"/>
          <w:sz w:val="24"/>
          <w:szCs w:val="24"/>
        </w:rPr>
        <w:t>)</w:t>
      </w:r>
      <w:r w:rsidR="001D68B1" w:rsidRPr="00870BB8">
        <w:rPr>
          <w:rFonts w:ascii="Arial" w:hAnsi="Arial" w:cs="Arial"/>
          <w:sz w:val="24"/>
          <w:szCs w:val="24"/>
        </w:rPr>
        <w:t>.</w:t>
      </w:r>
      <w:r w:rsidR="0041587D">
        <w:rPr>
          <w:rFonts w:ascii="Arial" w:hAnsi="Arial" w:cs="Arial"/>
          <w:sz w:val="24"/>
          <w:szCs w:val="24"/>
        </w:rPr>
        <w:t xml:space="preserve"> </w:t>
      </w:r>
      <w:r w:rsidR="0041587D" w:rsidRPr="001D68B1">
        <w:rPr>
          <w:rFonts w:ascii="Arial" w:hAnsi="Arial" w:cs="Arial"/>
          <w:sz w:val="24"/>
          <w:szCs w:val="24"/>
        </w:rPr>
        <w:t xml:space="preserve">Cronbach’s </w:t>
      </w:r>
      <w:r w:rsidR="00A519C3">
        <w:rPr>
          <w:rFonts w:ascii="Arial" w:hAnsi="Arial" w:cs="Arial"/>
          <w:sz w:val="24"/>
          <w:szCs w:val="24"/>
        </w:rPr>
        <w:t>alpha</w:t>
      </w:r>
      <w:r w:rsidR="0041587D" w:rsidRPr="001D68B1">
        <w:rPr>
          <w:rFonts w:ascii="Arial" w:hAnsi="Arial" w:cs="Arial"/>
          <w:sz w:val="24"/>
          <w:szCs w:val="24"/>
        </w:rPr>
        <w:t xml:space="preserve"> if </w:t>
      </w:r>
      <w:r w:rsidR="0041587D">
        <w:rPr>
          <w:rFonts w:ascii="Arial" w:hAnsi="Arial" w:cs="Arial"/>
          <w:sz w:val="24"/>
          <w:szCs w:val="24"/>
        </w:rPr>
        <w:t xml:space="preserve">item </w:t>
      </w:r>
      <w:r w:rsidR="0041587D" w:rsidRPr="001D68B1">
        <w:rPr>
          <w:rFonts w:ascii="Arial" w:hAnsi="Arial" w:cs="Arial"/>
          <w:sz w:val="24"/>
          <w:szCs w:val="24"/>
        </w:rPr>
        <w:t>deleted</w:t>
      </w:r>
      <w:r w:rsidR="0041587D">
        <w:rPr>
          <w:rFonts w:ascii="Arial" w:hAnsi="Arial" w:cs="Arial"/>
          <w:sz w:val="24"/>
          <w:szCs w:val="24"/>
        </w:rPr>
        <w:t xml:space="preserve"> </w:t>
      </w:r>
      <w:r w:rsidR="00AF2205">
        <w:rPr>
          <w:rFonts w:ascii="Arial" w:hAnsi="Arial" w:cs="Arial"/>
          <w:sz w:val="24"/>
          <w:szCs w:val="24"/>
        </w:rPr>
        <w:t>increase</w:t>
      </w:r>
      <w:r w:rsidR="00CF75FB">
        <w:rPr>
          <w:rFonts w:ascii="Arial" w:hAnsi="Arial" w:cs="Arial"/>
          <w:sz w:val="24"/>
          <w:szCs w:val="24"/>
        </w:rPr>
        <w:t>d</w:t>
      </w:r>
      <w:r w:rsidR="00AF2205">
        <w:rPr>
          <w:rFonts w:ascii="Arial" w:hAnsi="Arial" w:cs="Arial"/>
          <w:sz w:val="24"/>
          <w:szCs w:val="24"/>
        </w:rPr>
        <w:t xml:space="preserve"> </w:t>
      </w:r>
      <w:r w:rsidR="00CF75FB">
        <w:rPr>
          <w:rFonts w:ascii="Arial" w:hAnsi="Arial" w:cs="Arial"/>
          <w:sz w:val="24"/>
          <w:szCs w:val="24"/>
        </w:rPr>
        <w:t>with</w:t>
      </w:r>
      <w:r w:rsidR="0041587D">
        <w:rPr>
          <w:rFonts w:ascii="Arial" w:hAnsi="Arial" w:cs="Arial"/>
          <w:sz w:val="24"/>
          <w:szCs w:val="24"/>
        </w:rPr>
        <w:t xml:space="preserve"> </w:t>
      </w:r>
      <w:r w:rsidR="00DD168B">
        <w:rPr>
          <w:rFonts w:ascii="Arial" w:hAnsi="Arial" w:cs="Arial"/>
          <w:sz w:val="24"/>
          <w:szCs w:val="24"/>
        </w:rPr>
        <w:t xml:space="preserve">item </w:t>
      </w:r>
      <w:r w:rsidR="0041587D">
        <w:rPr>
          <w:rFonts w:ascii="Arial" w:hAnsi="Arial" w:cs="Arial"/>
          <w:sz w:val="24"/>
          <w:szCs w:val="24"/>
        </w:rPr>
        <w:t>1</w:t>
      </w:r>
      <w:r w:rsidR="00AF2205">
        <w:rPr>
          <w:rFonts w:ascii="Arial" w:hAnsi="Arial" w:cs="Arial"/>
          <w:sz w:val="24"/>
          <w:szCs w:val="24"/>
        </w:rPr>
        <w:t xml:space="preserve"> </w:t>
      </w:r>
      <w:r w:rsidR="0041587D">
        <w:rPr>
          <w:rFonts w:ascii="Arial" w:hAnsi="Arial" w:cs="Arial"/>
          <w:sz w:val="24"/>
          <w:szCs w:val="24"/>
        </w:rPr>
        <w:t>deleted</w:t>
      </w:r>
      <w:r w:rsidR="0099445E">
        <w:rPr>
          <w:rFonts w:ascii="Arial" w:hAnsi="Arial" w:cs="Arial"/>
          <w:sz w:val="24"/>
          <w:szCs w:val="24"/>
        </w:rPr>
        <w:t xml:space="preserve">. </w:t>
      </w:r>
      <w:r w:rsidR="00AF2205">
        <w:rPr>
          <w:rFonts w:ascii="Arial" w:hAnsi="Arial" w:cs="Arial"/>
          <w:sz w:val="24"/>
          <w:szCs w:val="24"/>
        </w:rPr>
        <w:t xml:space="preserve">Item 1 </w:t>
      </w:r>
      <w:r w:rsidR="00CF75FB">
        <w:rPr>
          <w:rFonts w:ascii="Arial" w:hAnsi="Arial" w:cs="Arial"/>
          <w:sz w:val="24"/>
          <w:szCs w:val="24"/>
        </w:rPr>
        <w:t xml:space="preserve">was </w:t>
      </w:r>
      <w:r w:rsidR="00AF2205">
        <w:rPr>
          <w:rFonts w:ascii="Arial" w:hAnsi="Arial" w:cs="Arial"/>
          <w:sz w:val="24"/>
          <w:szCs w:val="24"/>
        </w:rPr>
        <w:t xml:space="preserve">also </w:t>
      </w:r>
      <w:r w:rsidR="00CF75FB">
        <w:rPr>
          <w:rFonts w:ascii="Arial" w:hAnsi="Arial" w:cs="Arial"/>
          <w:sz w:val="24"/>
          <w:szCs w:val="24"/>
        </w:rPr>
        <w:t>report</w:t>
      </w:r>
      <w:r w:rsidR="00AF2205">
        <w:rPr>
          <w:rFonts w:ascii="Arial" w:hAnsi="Arial" w:cs="Arial"/>
          <w:sz w:val="24"/>
          <w:szCs w:val="24"/>
        </w:rPr>
        <w:t>ed</w:t>
      </w:r>
      <w:r w:rsidR="00CF75FB">
        <w:rPr>
          <w:rFonts w:ascii="Arial" w:hAnsi="Arial" w:cs="Arial"/>
          <w:sz w:val="24"/>
          <w:szCs w:val="24"/>
        </w:rPr>
        <w:t xml:space="preserve"> as</w:t>
      </w:r>
      <w:r w:rsidR="00AF2205">
        <w:rPr>
          <w:rFonts w:ascii="Arial" w:hAnsi="Arial" w:cs="Arial"/>
          <w:sz w:val="24"/>
          <w:szCs w:val="24"/>
        </w:rPr>
        <w:t xml:space="preserve"> the weakest item-total correlation (</w:t>
      </w:r>
      <w:r w:rsidR="00AF2205" w:rsidRPr="00870BB8">
        <w:rPr>
          <w:rFonts w:ascii="Arial" w:hAnsi="Arial" w:cs="Arial"/>
          <w:sz w:val="24"/>
          <w:szCs w:val="24"/>
        </w:rPr>
        <w:t>0.</w:t>
      </w:r>
      <w:r w:rsidR="00AF2205">
        <w:rPr>
          <w:rFonts w:ascii="Arial" w:hAnsi="Arial" w:cs="Arial"/>
          <w:sz w:val="24"/>
          <w:szCs w:val="24"/>
        </w:rPr>
        <w:t>374) (Table S.4.1)</w:t>
      </w:r>
      <w:r w:rsidR="0094121B">
        <w:rPr>
          <w:rFonts w:ascii="Arial" w:hAnsi="Arial" w:cs="Arial"/>
          <w:sz w:val="24"/>
          <w:szCs w:val="24"/>
        </w:rPr>
        <w:t xml:space="preserve">, although acceptable according to </w:t>
      </w:r>
      <w:proofErr w:type="spellStart"/>
      <w:r w:rsidR="0094121B" w:rsidRPr="00870BB8">
        <w:rPr>
          <w:rFonts w:ascii="Arial" w:hAnsi="Arial" w:cs="Arial"/>
          <w:sz w:val="24"/>
          <w:szCs w:val="24"/>
        </w:rPr>
        <w:t>S</w:t>
      </w:r>
      <w:r w:rsidR="0094121B">
        <w:rPr>
          <w:rFonts w:ascii="Arial" w:hAnsi="Arial" w:cs="Arial"/>
          <w:sz w:val="24"/>
          <w:szCs w:val="24"/>
        </w:rPr>
        <w:t>treiner</w:t>
      </w:r>
      <w:proofErr w:type="spellEnd"/>
      <w:r w:rsidR="0094121B">
        <w:rPr>
          <w:rFonts w:ascii="Arial" w:hAnsi="Arial" w:cs="Arial"/>
          <w:sz w:val="24"/>
          <w:szCs w:val="24"/>
        </w:rPr>
        <w:t xml:space="preserve"> &amp; Norman (2008)</w:t>
      </w:r>
      <w:r w:rsidR="00AF2205">
        <w:rPr>
          <w:rFonts w:ascii="Arial" w:hAnsi="Arial" w:cs="Arial"/>
          <w:sz w:val="24"/>
          <w:szCs w:val="24"/>
        </w:rPr>
        <w:t>. However, neither the differences between Cronbach’s alphas with or without Item 1 (0</w:t>
      </w:r>
      <w:proofErr w:type="gramStart"/>
      <w:r w:rsidR="00AF2205">
        <w:rPr>
          <w:rFonts w:ascii="Arial" w:hAnsi="Arial" w:cs="Arial"/>
          <w:sz w:val="24"/>
          <w:szCs w:val="24"/>
        </w:rPr>
        <w:t>,70</w:t>
      </w:r>
      <w:proofErr w:type="gramEnd"/>
      <w:r w:rsidR="00AF2205">
        <w:rPr>
          <w:rFonts w:ascii="Arial" w:hAnsi="Arial" w:cs="Arial"/>
          <w:sz w:val="24"/>
          <w:szCs w:val="24"/>
        </w:rPr>
        <w:t xml:space="preserve"> and 0,71, respectively), nor correlation</w:t>
      </w:r>
      <w:r w:rsidR="00C73D67">
        <w:rPr>
          <w:rFonts w:ascii="Arial" w:hAnsi="Arial" w:cs="Arial"/>
          <w:sz w:val="24"/>
          <w:szCs w:val="24"/>
        </w:rPr>
        <w:t>’ values</w:t>
      </w:r>
      <w:r w:rsidR="00AF2205">
        <w:rPr>
          <w:rFonts w:ascii="Arial" w:hAnsi="Arial" w:cs="Arial"/>
          <w:sz w:val="24"/>
          <w:szCs w:val="24"/>
        </w:rPr>
        <w:t xml:space="preserve"> justify the exclusion of this </w:t>
      </w:r>
      <w:r w:rsidR="00CF75FB">
        <w:rPr>
          <w:rFonts w:ascii="Arial" w:hAnsi="Arial" w:cs="Arial"/>
          <w:sz w:val="24"/>
          <w:szCs w:val="24"/>
        </w:rPr>
        <w:t>i</w:t>
      </w:r>
      <w:r w:rsidR="00AF2205">
        <w:rPr>
          <w:rFonts w:ascii="Arial" w:hAnsi="Arial" w:cs="Arial"/>
          <w:sz w:val="24"/>
          <w:szCs w:val="24"/>
        </w:rPr>
        <w:t xml:space="preserve">tem. Besides, </w:t>
      </w:r>
      <w:r w:rsidR="0094121B">
        <w:rPr>
          <w:rFonts w:ascii="Arial" w:hAnsi="Arial" w:cs="Arial"/>
          <w:sz w:val="24"/>
          <w:szCs w:val="24"/>
        </w:rPr>
        <w:t xml:space="preserve">it is considered of high </w:t>
      </w:r>
      <w:r w:rsidR="00AF2205">
        <w:rPr>
          <w:rFonts w:ascii="Arial" w:hAnsi="Arial" w:cs="Arial"/>
          <w:sz w:val="24"/>
          <w:szCs w:val="24"/>
        </w:rPr>
        <w:t>conceptual importance in a small scale such as NES</w:t>
      </w:r>
      <w:r w:rsidR="0094121B">
        <w:rPr>
          <w:rFonts w:ascii="Arial" w:hAnsi="Arial" w:cs="Arial"/>
          <w:sz w:val="24"/>
          <w:szCs w:val="24"/>
        </w:rPr>
        <w:t>.</w:t>
      </w:r>
    </w:p>
    <w:p w14:paraId="10BDB1E0" w14:textId="7E9DD0C1" w:rsidR="00012F3E" w:rsidRPr="00870BB8" w:rsidRDefault="00012F3E" w:rsidP="001851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NES item score range</w:t>
      </w:r>
      <w:r w:rsidR="00D15262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between 1 – 5</w:t>
      </w:r>
      <w:proofErr w:type="gramEnd"/>
      <w:r>
        <w:rPr>
          <w:rFonts w:ascii="Arial" w:hAnsi="Arial" w:cs="Arial"/>
          <w:sz w:val="24"/>
          <w:szCs w:val="24"/>
        </w:rPr>
        <w:t>. In Table S4.1, items 2 and 4 relat</w:t>
      </w:r>
      <w:r w:rsidR="002015AF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 xml:space="preserve"> to the participants ‘attention to the environments’ showed higher score</w:t>
      </w:r>
      <w:r w:rsidR="0014084D">
        <w:rPr>
          <w:rFonts w:ascii="Arial" w:hAnsi="Arial" w:cs="Arial"/>
          <w:sz w:val="24"/>
          <w:szCs w:val="24"/>
        </w:rPr>
        <w:t xml:space="preserve"> average</w:t>
      </w:r>
      <w:r w:rsidR="002015A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in comparison to the </w:t>
      </w:r>
      <w:r w:rsidR="002015AF">
        <w:rPr>
          <w:rFonts w:ascii="Arial" w:hAnsi="Arial" w:cs="Arial"/>
          <w:sz w:val="24"/>
          <w:szCs w:val="24"/>
        </w:rPr>
        <w:t>items 1 and 3 related to ‘frequency of exposure to the environments.</w:t>
      </w:r>
      <w:r w:rsidR="002F25E9">
        <w:rPr>
          <w:rFonts w:ascii="Arial" w:hAnsi="Arial" w:cs="Arial"/>
          <w:sz w:val="24"/>
          <w:szCs w:val="24"/>
        </w:rPr>
        <w:t xml:space="preserve"> </w:t>
      </w:r>
    </w:p>
    <w:p w14:paraId="66875917" w14:textId="5716FFEE" w:rsidR="006B72BF" w:rsidRDefault="006B72BF" w:rsidP="006B72B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Overall,</w:t>
      </w:r>
      <w:r w:rsidR="000360AA">
        <w:rPr>
          <w:rFonts w:ascii="Arial" w:hAnsi="Arial" w:cs="Arial"/>
          <w:sz w:val="24"/>
          <w:szCs w:val="24"/>
        </w:rPr>
        <w:t xml:space="preserve"> </w:t>
      </w:r>
      <w:r w:rsidR="00CF75FB">
        <w:rPr>
          <w:rFonts w:ascii="Arial" w:hAnsi="Arial" w:cs="Arial"/>
          <w:sz w:val="24"/>
          <w:szCs w:val="24"/>
        </w:rPr>
        <w:t>the</w:t>
      </w:r>
      <w:r w:rsidR="000360AA">
        <w:rPr>
          <w:rFonts w:ascii="Arial" w:hAnsi="Arial" w:cs="Arial"/>
          <w:sz w:val="24"/>
          <w:szCs w:val="24"/>
        </w:rPr>
        <w:t xml:space="preserve"> indicators of</w:t>
      </w:r>
      <w:r>
        <w:rPr>
          <w:rFonts w:ascii="Arial" w:hAnsi="Arial" w:cs="Arial"/>
          <w:sz w:val="24"/>
          <w:szCs w:val="24"/>
        </w:rPr>
        <w:t xml:space="preserve"> reliability</w:t>
      </w:r>
      <w:r w:rsidR="000360AA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NES</w:t>
      </w:r>
      <w:r w:rsidRPr="001D68B1">
        <w:rPr>
          <w:rFonts w:ascii="Arial" w:hAnsi="Arial" w:cs="Arial"/>
          <w:sz w:val="24"/>
          <w:szCs w:val="24"/>
        </w:rPr>
        <w:t xml:space="preserve"> Cronbach’s </w:t>
      </w:r>
      <w:proofErr w:type="spellStart"/>
      <w:r w:rsidR="000D1C54">
        <w:rPr>
          <w:rFonts w:ascii="Arial" w:hAnsi="Arial" w:cs="Arial"/>
          <w:sz w:val="24"/>
          <w:szCs w:val="24"/>
        </w:rPr>
        <w:t>apha</w:t>
      </w:r>
      <w:proofErr w:type="spellEnd"/>
      <w:r>
        <w:rPr>
          <w:rFonts w:ascii="Arial" w:hAnsi="Arial" w:cs="Arial"/>
          <w:sz w:val="24"/>
          <w:szCs w:val="24"/>
        </w:rPr>
        <w:t xml:space="preserve"> (&gt; 0.70), </w:t>
      </w:r>
      <w:r w:rsidRPr="001D68B1">
        <w:rPr>
          <w:rFonts w:ascii="Arial" w:hAnsi="Arial" w:cs="Arial"/>
          <w:sz w:val="24"/>
          <w:szCs w:val="24"/>
        </w:rPr>
        <w:t xml:space="preserve">Cronbach’s </w:t>
      </w:r>
      <w:proofErr w:type="spellStart"/>
      <w:r w:rsidR="000D1C54">
        <w:rPr>
          <w:rFonts w:ascii="Arial" w:hAnsi="Arial" w:cs="Arial"/>
          <w:sz w:val="24"/>
          <w:szCs w:val="24"/>
        </w:rPr>
        <w:t>apha</w:t>
      </w:r>
      <w:proofErr w:type="spellEnd"/>
      <w:r w:rsidRPr="001D68B1">
        <w:rPr>
          <w:rFonts w:ascii="Arial" w:hAnsi="Arial" w:cs="Arial"/>
          <w:sz w:val="24"/>
          <w:szCs w:val="24"/>
        </w:rPr>
        <w:t xml:space="preserve"> if </w:t>
      </w:r>
      <w:r>
        <w:rPr>
          <w:rFonts w:ascii="Arial" w:hAnsi="Arial" w:cs="Arial"/>
          <w:sz w:val="24"/>
          <w:szCs w:val="24"/>
        </w:rPr>
        <w:t xml:space="preserve">item </w:t>
      </w:r>
      <w:r w:rsidRPr="001D68B1">
        <w:rPr>
          <w:rFonts w:ascii="Arial" w:hAnsi="Arial" w:cs="Arial"/>
          <w:sz w:val="24"/>
          <w:szCs w:val="24"/>
        </w:rPr>
        <w:t>deleted</w:t>
      </w:r>
      <w:r>
        <w:rPr>
          <w:rFonts w:ascii="Arial" w:hAnsi="Arial" w:cs="Arial"/>
          <w:sz w:val="24"/>
          <w:szCs w:val="24"/>
        </w:rPr>
        <w:t xml:space="preserve"> (&gt; 0.60) and corrected item-total correlations (&gt; 0.200) values and descriptive statistics (Table S4.1)</w:t>
      </w:r>
      <w:r w:rsidR="000360AA"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</w:t>
      </w:r>
      <w:r w:rsidR="000360AA">
        <w:rPr>
          <w:rFonts w:ascii="Arial" w:hAnsi="Arial" w:cs="Arial"/>
          <w:sz w:val="24"/>
          <w:szCs w:val="24"/>
        </w:rPr>
        <w:t>show</w:t>
      </w:r>
      <w:r>
        <w:rPr>
          <w:rFonts w:ascii="Arial" w:hAnsi="Arial" w:cs="Arial"/>
          <w:sz w:val="24"/>
          <w:szCs w:val="24"/>
        </w:rPr>
        <w:t xml:space="preserve"> this scale as a consistent and good measure, according to the recommended thresholds </w:t>
      </w:r>
      <w:r w:rsidRPr="00870BB8">
        <w:rPr>
          <w:rFonts w:ascii="Arial" w:hAnsi="Arial" w:cs="Arial"/>
          <w:sz w:val="24"/>
          <w:szCs w:val="24"/>
        </w:rPr>
        <w:t>(</w:t>
      </w:r>
      <w:proofErr w:type="spellStart"/>
      <w:r w:rsidRPr="00870BB8">
        <w:rPr>
          <w:rFonts w:ascii="Arial" w:hAnsi="Arial" w:cs="Arial"/>
          <w:sz w:val="24"/>
          <w:szCs w:val="24"/>
        </w:rPr>
        <w:t>Pestana</w:t>
      </w:r>
      <w:proofErr w:type="spellEnd"/>
      <w:r w:rsidRPr="00870BB8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870BB8">
        <w:rPr>
          <w:rFonts w:ascii="Arial" w:hAnsi="Arial" w:cs="Arial"/>
          <w:sz w:val="24"/>
          <w:szCs w:val="24"/>
        </w:rPr>
        <w:t>Gageiro</w:t>
      </w:r>
      <w:proofErr w:type="spellEnd"/>
      <w:r w:rsidRPr="00870BB8">
        <w:rPr>
          <w:rFonts w:ascii="Arial" w:hAnsi="Arial" w:cs="Arial"/>
          <w:sz w:val="24"/>
          <w:szCs w:val="24"/>
        </w:rPr>
        <w:t xml:space="preserve"> 2014)</w:t>
      </w:r>
      <w:r>
        <w:rPr>
          <w:rFonts w:ascii="Arial" w:hAnsi="Arial" w:cs="Arial"/>
          <w:sz w:val="24"/>
          <w:szCs w:val="24"/>
        </w:rPr>
        <w:t>.</w:t>
      </w:r>
    </w:p>
    <w:p w14:paraId="1715B2B5" w14:textId="6E5DB513" w:rsidR="001D22DF" w:rsidRDefault="001D22DF" w:rsidP="00CC651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509FCF5" w14:textId="4C517B46" w:rsidR="009F18FC" w:rsidRPr="006155E2" w:rsidRDefault="0040023D" w:rsidP="003007AA">
      <w:pPr>
        <w:spacing w:line="276" w:lineRule="auto"/>
        <w:jc w:val="both"/>
        <w:rPr>
          <w:rFonts w:ascii="Arial" w:hAnsi="Arial" w:cs="Arial"/>
        </w:rPr>
      </w:pPr>
      <w:r w:rsidRPr="006155E2">
        <w:rPr>
          <w:rFonts w:ascii="Arial" w:hAnsi="Arial" w:cs="Arial"/>
        </w:rPr>
        <w:t xml:space="preserve">Table </w:t>
      </w:r>
      <w:r w:rsidR="006D33F0">
        <w:rPr>
          <w:rFonts w:ascii="Arial" w:hAnsi="Arial" w:cs="Arial"/>
        </w:rPr>
        <w:t>S4</w:t>
      </w:r>
      <w:r w:rsidR="00012F3E">
        <w:rPr>
          <w:rFonts w:ascii="Arial" w:hAnsi="Arial" w:cs="Arial"/>
        </w:rPr>
        <w:t>.1</w:t>
      </w:r>
      <w:r w:rsidRPr="006155E2">
        <w:rPr>
          <w:rFonts w:ascii="Arial" w:hAnsi="Arial" w:cs="Arial"/>
        </w:rPr>
        <w:t xml:space="preserve">. </w:t>
      </w:r>
      <w:r w:rsidR="009F18FC">
        <w:rPr>
          <w:rFonts w:ascii="Arial" w:hAnsi="Arial" w:cs="Arial"/>
        </w:rPr>
        <w:t>I</w:t>
      </w:r>
      <w:r w:rsidR="009F18FC" w:rsidRPr="00BB6CD2">
        <w:rPr>
          <w:rFonts w:ascii="Arial" w:hAnsi="Arial" w:cs="Arial"/>
        </w:rPr>
        <w:t xml:space="preserve">nternal </w:t>
      </w:r>
      <w:r w:rsidR="009F18FC">
        <w:rPr>
          <w:rFonts w:ascii="Arial" w:hAnsi="Arial" w:cs="Arial"/>
        </w:rPr>
        <w:t>C</w:t>
      </w:r>
      <w:r w:rsidR="009F18FC" w:rsidRPr="00BB6CD2">
        <w:rPr>
          <w:rFonts w:ascii="Arial" w:hAnsi="Arial" w:cs="Arial"/>
        </w:rPr>
        <w:t>onsistency</w:t>
      </w:r>
      <w:r w:rsidR="009F18FC">
        <w:rPr>
          <w:rFonts w:ascii="Arial" w:hAnsi="Arial" w:cs="Arial"/>
        </w:rPr>
        <w:t xml:space="preserve"> Analysis and</w:t>
      </w:r>
      <w:r w:rsidR="009F18FC" w:rsidRPr="006155E2">
        <w:rPr>
          <w:rFonts w:ascii="Arial" w:hAnsi="Arial" w:cs="Arial"/>
        </w:rPr>
        <w:t xml:space="preserve"> </w:t>
      </w:r>
      <w:r w:rsidR="009F18FC">
        <w:rPr>
          <w:rFonts w:ascii="Arial" w:hAnsi="Arial" w:cs="Arial"/>
        </w:rPr>
        <w:t>E</w:t>
      </w:r>
      <w:r w:rsidR="009F18FC" w:rsidRPr="00BB6CD2">
        <w:rPr>
          <w:rFonts w:ascii="Arial" w:hAnsi="Arial" w:cs="Arial"/>
        </w:rPr>
        <w:t xml:space="preserve">xploratory </w:t>
      </w:r>
      <w:r w:rsidR="009F18FC">
        <w:rPr>
          <w:rFonts w:ascii="Arial" w:hAnsi="Arial" w:cs="Arial"/>
        </w:rPr>
        <w:t>F</w:t>
      </w:r>
      <w:r w:rsidR="009F18FC" w:rsidRPr="00BB6CD2">
        <w:rPr>
          <w:rFonts w:ascii="Arial" w:hAnsi="Arial" w:cs="Arial"/>
        </w:rPr>
        <w:t xml:space="preserve">actor </w:t>
      </w:r>
      <w:r w:rsidR="009F18FC">
        <w:rPr>
          <w:rFonts w:ascii="Arial" w:hAnsi="Arial" w:cs="Arial"/>
        </w:rPr>
        <w:t>A</w:t>
      </w:r>
      <w:r w:rsidR="009F18FC" w:rsidRPr="00BB6CD2">
        <w:rPr>
          <w:rFonts w:ascii="Arial" w:hAnsi="Arial" w:cs="Arial"/>
        </w:rPr>
        <w:t xml:space="preserve">nalysis </w:t>
      </w:r>
      <w:r w:rsidR="009F18FC">
        <w:rPr>
          <w:rFonts w:ascii="Arial" w:hAnsi="Arial" w:cs="Arial"/>
        </w:rPr>
        <w:t xml:space="preserve">of the </w:t>
      </w:r>
      <w:r w:rsidR="009F18FC" w:rsidRPr="006155E2">
        <w:rPr>
          <w:rFonts w:ascii="Arial" w:hAnsi="Arial" w:cs="Arial"/>
        </w:rPr>
        <w:t>N</w:t>
      </w:r>
      <w:r w:rsidR="009F18FC">
        <w:rPr>
          <w:rFonts w:ascii="Arial" w:hAnsi="Arial" w:cs="Arial"/>
        </w:rPr>
        <w:t xml:space="preserve">ature Exposure Scale (NES; </w:t>
      </w:r>
      <w:proofErr w:type="spellStart"/>
      <w:r w:rsidR="009F18FC" w:rsidRPr="006155E2">
        <w:rPr>
          <w:rFonts w:ascii="Arial" w:hAnsi="Arial" w:cs="Arial"/>
        </w:rPr>
        <w:t>Kamitsis</w:t>
      </w:r>
      <w:proofErr w:type="spellEnd"/>
      <w:r w:rsidR="009F18FC" w:rsidRPr="006155E2">
        <w:rPr>
          <w:rFonts w:ascii="Arial" w:hAnsi="Arial" w:cs="Arial"/>
        </w:rPr>
        <w:t xml:space="preserve"> &amp; Francis 2013</w:t>
      </w:r>
      <w:r w:rsidR="009F18FC">
        <w:rPr>
          <w:rFonts w:ascii="Arial" w:hAnsi="Arial" w:cs="Arial"/>
        </w:rPr>
        <w:t>)</w:t>
      </w:r>
      <w:r w:rsidR="009F18FC" w:rsidRPr="00BB6CD2">
        <w:rPr>
          <w:rFonts w:ascii="Arial" w:hAnsi="Arial" w:cs="Arial"/>
        </w:rPr>
        <w:t xml:space="preserve"> </w:t>
      </w:r>
      <w:r w:rsidR="009F18FC" w:rsidRPr="006155E2">
        <w:rPr>
          <w:rFonts w:ascii="Arial" w:hAnsi="Arial" w:cs="Arial"/>
        </w:rPr>
        <w:t>(Azorean teachers</w:t>
      </w:r>
      <w:r w:rsidR="009F18FC">
        <w:rPr>
          <w:rFonts w:ascii="Arial" w:hAnsi="Arial" w:cs="Arial"/>
        </w:rPr>
        <w:t>’</w:t>
      </w:r>
      <w:r w:rsidR="009F18FC" w:rsidRPr="006155E2">
        <w:rPr>
          <w:rFonts w:ascii="Arial" w:hAnsi="Arial" w:cs="Arial"/>
        </w:rPr>
        <w:t xml:space="preserve"> sample; N = 235)</w:t>
      </w:r>
      <w:r w:rsidR="0001291B">
        <w:rPr>
          <w:rFonts w:ascii="Arial" w:hAnsi="Arial" w:cs="Arial"/>
        </w:rPr>
        <w:t xml:space="preserve"> (BTS, </w:t>
      </w:r>
      <w:r w:rsidR="0001291B" w:rsidRPr="0001291B">
        <w:rPr>
          <w:rFonts w:ascii="Arial" w:hAnsi="Arial" w:cs="Arial"/>
        </w:rPr>
        <w:t xml:space="preserve">Bartlett's Test of </w:t>
      </w:r>
      <w:proofErr w:type="spellStart"/>
      <w:r w:rsidR="0001291B" w:rsidRPr="0001291B">
        <w:rPr>
          <w:rFonts w:ascii="Arial" w:hAnsi="Arial" w:cs="Arial"/>
        </w:rPr>
        <w:t>Sphericity</w:t>
      </w:r>
      <w:proofErr w:type="spellEnd"/>
      <w:r w:rsidR="0001291B">
        <w:rPr>
          <w:rFonts w:ascii="Arial" w:hAnsi="Arial" w:cs="Arial"/>
        </w:rPr>
        <w:t xml:space="preserve">; </w:t>
      </w:r>
      <w:r w:rsidR="0001291B" w:rsidRPr="0001291B">
        <w:rPr>
          <w:rFonts w:ascii="Arial" w:hAnsi="Arial" w:cs="Arial"/>
        </w:rPr>
        <w:t>KMO</w:t>
      </w:r>
      <w:r w:rsidR="0001291B">
        <w:rPr>
          <w:rFonts w:ascii="Arial" w:hAnsi="Arial" w:cs="Arial"/>
        </w:rPr>
        <w:t>,</w:t>
      </w:r>
      <w:r w:rsidR="0001291B" w:rsidRPr="0001291B">
        <w:rPr>
          <w:rFonts w:ascii="Arial" w:hAnsi="Arial" w:cs="Arial"/>
        </w:rPr>
        <w:t xml:space="preserve"> Kaiser-Meyer-</w:t>
      </w:r>
      <w:proofErr w:type="spellStart"/>
      <w:r w:rsidR="0001291B" w:rsidRPr="0001291B">
        <w:rPr>
          <w:rFonts w:ascii="Arial" w:hAnsi="Arial" w:cs="Arial"/>
        </w:rPr>
        <w:t>Olkin</w:t>
      </w:r>
      <w:proofErr w:type="spellEnd"/>
      <w:r w:rsidR="0001291B">
        <w:rPr>
          <w:rFonts w:ascii="Arial" w:hAnsi="Arial" w:cs="Arial"/>
        </w:rPr>
        <w:t>)</w:t>
      </w:r>
      <w:r w:rsidR="009F18FC">
        <w:rPr>
          <w:rFonts w:ascii="Arial" w:hAnsi="Arial" w:cs="Arial"/>
        </w:rPr>
        <w:t>.</w:t>
      </w:r>
    </w:p>
    <w:tbl>
      <w:tblPr>
        <w:tblStyle w:val="TableGrid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4"/>
        <w:gridCol w:w="926"/>
        <w:gridCol w:w="991"/>
        <w:gridCol w:w="991"/>
        <w:gridCol w:w="1068"/>
        <w:gridCol w:w="1060"/>
      </w:tblGrid>
      <w:tr w:rsidR="007A1264" w:rsidRPr="00D62A97" w14:paraId="4123BC30" w14:textId="1403DFD5" w:rsidTr="0001291B">
        <w:trPr>
          <w:trHeight w:val="829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19BC4A" w14:textId="6204E789" w:rsidR="00CF75FB" w:rsidRPr="00D62A97" w:rsidRDefault="00CF75FB" w:rsidP="00F864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62A97">
              <w:rPr>
                <w:rFonts w:ascii="Arial" w:hAnsi="Arial" w:cs="Arial"/>
                <w:sz w:val="20"/>
                <w:szCs w:val="20"/>
              </w:rPr>
              <w:t>Items</w:t>
            </w:r>
            <w:r>
              <w:rPr>
                <w:rFonts w:ascii="Arial" w:hAnsi="Arial" w:cs="Arial"/>
                <w:sz w:val="20"/>
                <w:szCs w:val="20"/>
              </w:rPr>
              <w:t xml:space="preserve"> in English</w:t>
            </w:r>
            <w:r w:rsidRPr="00D62A97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in Portuguese</w:t>
            </w:r>
            <w:r w:rsidRPr="00D62A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592232" w14:textId="1DCA455E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M</w:t>
            </w:r>
            <w:r w:rsidR="009F18FC">
              <w:rPr>
                <w:rFonts w:ascii="Arial" w:hAnsi="Arial" w:cs="Arial"/>
                <w:sz w:val="18"/>
                <w:szCs w:val="18"/>
              </w:rPr>
              <w:t>ean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1C4A9" w14:textId="5C7683F3" w:rsidR="00CF75FB" w:rsidRPr="009F18FC" w:rsidRDefault="009F18FC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 deviation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7E7D77" w14:textId="6979D02A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 xml:space="preserve">Corrected </w:t>
            </w:r>
            <w:bookmarkStart w:id="0" w:name="_Hlk51224940"/>
            <w:r w:rsidRPr="009F18FC">
              <w:rPr>
                <w:rFonts w:ascii="Arial" w:hAnsi="Arial" w:cs="Arial"/>
                <w:sz w:val="18"/>
                <w:szCs w:val="18"/>
              </w:rPr>
              <w:t>item-total correlation</w:t>
            </w:r>
            <w:bookmarkEnd w:id="0"/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4E6F81" w14:textId="34D87041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Cronbach’s α if item deleted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8AB1" w14:textId="1ED5185E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Factor</w:t>
            </w:r>
            <w:r w:rsidR="00442ACE" w:rsidRPr="009F18FC"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14:paraId="1A8D988C" w14:textId="70147ED9" w:rsidR="00CF75FB" w:rsidRPr="009F18FC" w:rsidRDefault="00CF75FB" w:rsidP="00442A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 xml:space="preserve">Loading </w:t>
            </w:r>
          </w:p>
        </w:tc>
      </w:tr>
      <w:tr w:rsidR="007A1264" w:rsidRPr="00D62A97" w14:paraId="18AC7A95" w14:textId="14103A7C" w:rsidTr="0001291B">
        <w:trPr>
          <w:trHeight w:val="757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F766B7" w14:textId="0C6817D0" w:rsidR="00CF75FB" w:rsidRPr="00007949" w:rsidRDefault="00CF75FB" w:rsidP="000079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1. In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your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everyday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home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,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travel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and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work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environments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and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activities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,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please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 rate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your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level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of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exposure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 xml:space="preserve"> to ‘natural </w:t>
            </w:r>
            <w:proofErr w:type="spellStart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environments</w:t>
            </w:r>
            <w:proofErr w:type="spellEnd"/>
            <w:r w:rsidRPr="009F18FC">
              <w:rPr>
                <w:rFonts w:ascii="Arial" w:hAnsi="Arial" w:cs="Arial"/>
                <w:sz w:val="18"/>
                <w:szCs w:val="18"/>
                <w:lang w:val="pt-PT"/>
              </w:rPr>
              <w:t>’</w:t>
            </w:r>
            <w:r w:rsidRPr="00CF75FB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Pr="009F18FC">
              <w:rPr>
                <w:rFonts w:ascii="Arial" w:hAnsi="Arial" w:cs="Arial"/>
                <w:sz w:val="16"/>
                <w:szCs w:val="16"/>
                <w:lang w:val="pt-PT"/>
              </w:rPr>
              <w:t>(Por favor, avalie a frequência de exposição a “ambientes naturais” no seu quotidiano doméstico, profissional e em trânsito de uns contextos para os</w:t>
            </w:r>
            <w:r w:rsidR="00007949" w:rsidRPr="009F18FC">
              <w:rPr>
                <w:rFonts w:ascii="Arial" w:hAnsi="Arial" w:cs="Arial"/>
                <w:sz w:val="16"/>
                <w:szCs w:val="16"/>
                <w:lang w:val="pt-PT"/>
              </w:rPr>
              <w:t xml:space="preserve"> </w:t>
            </w:r>
            <w:r w:rsidRPr="009F18FC">
              <w:rPr>
                <w:rFonts w:ascii="Arial" w:hAnsi="Arial" w:cs="Arial"/>
                <w:sz w:val="16"/>
                <w:szCs w:val="16"/>
                <w:lang w:val="pt-PT"/>
              </w:rPr>
              <w:t>outros</w:t>
            </w:r>
            <w:r w:rsidR="00007949" w:rsidRPr="009F18FC">
              <w:rPr>
                <w:rFonts w:ascii="Arial" w:hAnsi="Arial" w:cs="Arial"/>
                <w:sz w:val="16"/>
                <w:szCs w:val="16"/>
                <w:lang w:val="pt-PT"/>
              </w:rPr>
              <w:t>)</w:t>
            </w:r>
            <w:r w:rsidRPr="009F18FC">
              <w:rPr>
                <w:rFonts w:ascii="Arial" w:hAnsi="Arial" w:cs="Arial"/>
                <w:sz w:val="16"/>
                <w:szCs w:val="16"/>
                <w:lang w:val="pt-PT"/>
              </w:rPr>
              <w:t>.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2C35D3" w14:textId="1ADB2C52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3.948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19B419" w14:textId="761F51C7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3203DC" w14:textId="0B1934AC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0.374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FBBC77" w14:textId="5B155A32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0.711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9DDFF" w14:textId="0CCE88F0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0.604</w:t>
            </w:r>
          </w:p>
        </w:tc>
      </w:tr>
      <w:tr w:rsidR="007A1264" w:rsidRPr="00D62A97" w14:paraId="6478ACCD" w14:textId="1D10C918" w:rsidTr="0001291B">
        <w:trPr>
          <w:trHeight w:val="508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E76405" w14:textId="357CAE65" w:rsidR="00CF75FB" w:rsidRPr="00D62A97" w:rsidRDefault="00CF75FB" w:rsidP="007400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2. How much do you notice the natural environments in your everyday life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18FC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Quanto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é que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repara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nos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‘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ambientes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naturais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’ no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seu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quotidiano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F4EF01" w14:textId="4FAFBA49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4.294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81D560" w14:textId="00E8619A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0.675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B239A1" w14:textId="4DFAC234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38117E" w14:textId="62CAE4A3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0.595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40DDA" w14:textId="14F4494F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</w:tr>
      <w:tr w:rsidR="007A1264" w:rsidRPr="00D62A97" w14:paraId="04F52457" w14:textId="69810204" w:rsidTr="0001291B">
        <w:trPr>
          <w:trHeight w:val="771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36E72D" w14:textId="2BA26CC9" w:rsidR="00CF75FB" w:rsidRPr="00D62A97" w:rsidRDefault="00CF75FB" w:rsidP="007400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3. Please rate the frequency (how often) of exposure to nature-rich environments outside of your everyday environment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18FC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Por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favor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avalie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a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frequência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exposição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9F18FC">
              <w:rPr>
                <w:rFonts w:ascii="Arial" w:hAnsi="Arial" w:cs="Arial"/>
                <w:sz w:val="16"/>
                <w:szCs w:val="16"/>
              </w:rPr>
              <w:t>a</w:t>
            </w:r>
            <w:proofErr w:type="gramEnd"/>
            <w:r w:rsidRPr="009F18FC">
              <w:rPr>
                <w:rFonts w:ascii="Arial" w:hAnsi="Arial" w:cs="Arial"/>
                <w:sz w:val="16"/>
                <w:szCs w:val="16"/>
              </w:rPr>
              <w:t xml:space="preserve"> ‘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ambientes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naturais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ricos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>’).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4F6849" w14:textId="026E30B3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3.855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60A889" w14:textId="5C38C984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B9258B" w14:textId="639A4562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BF1D75" w14:textId="40F485AD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0.679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9E4F9" w14:textId="2D880825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</w:tr>
      <w:tr w:rsidR="007A1264" w:rsidRPr="00D62A97" w14:paraId="6CEAEFE6" w14:textId="0640A954" w:rsidTr="0001291B">
        <w:trPr>
          <w:trHeight w:val="467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7FD307" w14:textId="2846955C" w:rsidR="00CF75FB" w:rsidRPr="00D62A97" w:rsidRDefault="00CF75FB" w:rsidP="0074006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4. How much notice would you take of the nature in these environments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18FC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Quanto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é que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repara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natureza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neste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tipo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de ‘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ambientes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naturais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F18FC">
              <w:rPr>
                <w:rFonts w:ascii="Arial" w:hAnsi="Arial" w:cs="Arial"/>
                <w:sz w:val="16"/>
                <w:szCs w:val="16"/>
              </w:rPr>
              <w:t>ricos</w:t>
            </w:r>
            <w:proofErr w:type="spellEnd"/>
            <w:r w:rsidRPr="009F18FC">
              <w:rPr>
                <w:rFonts w:ascii="Arial" w:hAnsi="Arial" w:cs="Arial"/>
                <w:sz w:val="16"/>
                <w:szCs w:val="16"/>
              </w:rPr>
              <w:t>’)?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CFA0F1" w14:textId="5E565EF7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4.306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5DF886" w14:textId="0DBD30E4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0.773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D79BE9" w14:textId="3509CFFC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0.607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57354F" w14:textId="7CE254AE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0.571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503BF" w14:textId="28B31166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</w:tr>
      <w:tr w:rsidR="007456EA" w:rsidRPr="00D62A97" w14:paraId="5D59C5CC" w14:textId="77777777" w:rsidTr="0001291B">
        <w:trPr>
          <w:trHeight w:val="295"/>
        </w:trPr>
        <w:tc>
          <w:tcPr>
            <w:tcW w:w="2307" w:type="pct"/>
            <w:tcBorders>
              <w:top w:val="single" w:sz="4" w:space="0" w:color="auto"/>
              <w:right w:val="nil"/>
            </w:tcBorders>
            <w:vAlign w:val="center"/>
          </w:tcPr>
          <w:p w14:paraId="7EBB40E1" w14:textId="5CA5B015" w:rsidR="00740060" w:rsidRPr="009F18FC" w:rsidRDefault="00740060" w:rsidP="009F18F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B4F23E" w14:textId="3D40A98A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16.404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BE3420" w14:textId="74B4F5E3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E2965A" w14:textId="77777777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AED5A9" w14:textId="77777777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77B80" w14:textId="77777777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56EA" w:rsidRPr="00D62A97" w14:paraId="276FDAC0" w14:textId="77777777" w:rsidTr="0001291B">
        <w:trPr>
          <w:trHeight w:val="286"/>
        </w:trPr>
        <w:tc>
          <w:tcPr>
            <w:tcW w:w="2307" w:type="pct"/>
            <w:tcBorders>
              <w:bottom w:val="single" w:sz="4" w:space="0" w:color="auto"/>
              <w:right w:val="nil"/>
            </w:tcBorders>
            <w:vAlign w:val="center"/>
          </w:tcPr>
          <w:p w14:paraId="7D336CBB" w14:textId="346776E2" w:rsidR="00740060" w:rsidRPr="009F18FC" w:rsidRDefault="00740060" w:rsidP="009F18F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Cronbach’s α item-total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DF45A9" w14:textId="77777777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802475" w14:textId="77777777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0381F6" w14:textId="6015D4F2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9D6B97" w14:textId="4A2EFDC7" w:rsidR="00740060" w:rsidRPr="009F18FC" w:rsidRDefault="007456EA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58D05" w14:textId="77777777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56EA" w:rsidRPr="00D62A97" w14:paraId="5DB2996C" w14:textId="77777777" w:rsidTr="0001291B">
        <w:trPr>
          <w:trHeight w:val="196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C5831DB" w14:textId="7973E9D3" w:rsidR="00740060" w:rsidRPr="009F18FC" w:rsidRDefault="00740060" w:rsidP="009F18F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Eigenvalue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7D739B" w14:textId="77777777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C8BB01" w14:textId="77777777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BAE9F6" w14:textId="77777777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AE389E" w14:textId="77777777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7BECC5B" w14:textId="2A0C7BC9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2.225</w:t>
            </w:r>
          </w:p>
        </w:tc>
      </w:tr>
      <w:tr w:rsidR="007456EA" w:rsidRPr="00D62A97" w14:paraId="68E0ACEB" w14:textId="77777777" w:rsidTr="0001291B">
        <w:trPr>
          <w:trHeight w:val="298"/>
        </w:trPr>
        <w:tc>
          <w:tcPr>
            <w:tcW w:w="2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9977E9" w14:textId="3189E5A4" w:rsidR="00740060" w:rsidRPr="009F18FC" w:rsidRDefault="00740060" w:rsidP="009F18F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Total of variance explained</w:t>
            </w:r>
            <w:r w:rsidR="004076CD" w:rsidRPr="009F18FC">
              <w:rPr>
                <w:rFonts w:ascii="Arial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9A1883" w14:textId="77777777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AB1E99" w14:textId="77777777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C1B896" w14:textId="77777777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D326A3" w14:textId="77777777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E1460" w14:textId="46F23F6A" w:rsidR="00740060" w:rsidRPr="009F18FC" w:rsidRDefault="00740060" w:rsidP="00F864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</w:tr>
      <w:tr w:rsidR="007456EA" w:rsidRPr="00D62A97" w14:paraId="53C3FA20" w14:textId="70BC5834" w:rsidTr="0001291B">
        <w:trPr>
          <w:trHeight w:val="467"/>
        </w:trPr>
        <w:tc>
          <w:tcPr>
            <w:tcW w:w="2307" w:type="pct"/>
            <w:tcBorders>
              <w:top w:val="single" w:sz="4" w:space="0" w:color="auto"/>
              <w:right w:val="nil"/>
            </w:tcBorders>
          </w:tcPr>
          <w:p w14:paraId="36D430C8" w14:textId="77777777" w:rsidR="00CF75FB" w:rsidRPr="009F18FC" w:rsidRDefault="00CF75FB" w:rsidP="009F18F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 xml:space="preserve">KMO = 0.654 </w:t>
            </w:r>
          </w:p>
          <w:p w14:paraId="10909641" w14:textId="05602A26" w:rsidR="00CF75FB" w:rsidRPr="009F18FC" w:rsidRDefault="00CF75FB" w:rsidP="009F18F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F18FC">
              <w:rPr>
                <w:rFonts w:ascii="Arial" w:hAnsi="Arial" w:cs="Arial"/>
                <w:sz w:val="18"/>
                <w:szCs w:val="18"/>
              </w:rPr>
              <w:t xml:space="preserve">BTS = 230.927; </w:t>
            </w:r>
            <w:r w:rsidRPr="009F18FC"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9F18FC">
              <w:rPr>
                <w:rFonts w:ascii="Arial" w:hAnsi="Arial" w:cs="Arial"/>
                <w:sz w:val="18"/>
                <w:szCs w:val="18"/>
              </w:rPr>
              <w:t xml:space="preserve"> =0.000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E0FF5A" w14:textId="020E8557" w:rsidR="00CF75FB" w:rsidRPr="009F18FC" w:rsidRDefault="00CF75FB" w:rsidP="0000794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0DAF6" w14:textId="534BED1E" w:rsidR="00CF75FB" w:rsidRPr="009F18FC" w:rsidRDefault="00CF75FB" w:rsidP="000079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7D6269" w14:textId="77777777" w:rsidR="00CF75FB" w:rsidRPr="009F18FC" w:rsidRDefault="00CF75FB" w:rsidP="00CF75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E6104A" w14:textId="57B4BF39" w:rsidR="00CF75FB" w:rsidRPr="009F18FC" w:rsidRDefault="00CF75FB" w:rsidP="00F864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BBBED" w14:textId="2D7AB66A" w:rsidR="00CF75FB" w:rsidRPr="009F18FC" w:rsidRDefault="00CF75FB" w:rsidP="00F864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E37898" w14:textId="6E2ECBC8" w:rsidR="00BE2698" w:rsidRDefault="00BE2698" w:rsidP="0001291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743EA3C6" w14:textId="1C426922" w:rsidR="003B181B" w:rsidRDefault="0014084D" w:rsidP="001D22D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1D22DF" w:rsidRPr="005A13D3">
        <w:rPr>
          <w:rFonts w:ascii="Arial" w:hAnsi="Arial" w:cs="Arial"/>
          <w:sz w:val="24"/>
          <w:szCs w:val="24"/>
        </w:rPr>
        <w:t xml:space="preserve">alidity </w:t>
      </w:r>
      <w:r w:rsidR="00F676BF">
        <w:rPr>
          <w:rFonts w:ascii="Arial" w:hAnsi="Arial" w:cs="Arial"/>
          <w:sz w:val="24"/>
          <w:szCs w:val="24"/>
        </w:rPr>
        <w:t>analysis</w:t>
      </w:r>
      <w:r w:rsidR="00F676BF" w:rsidRPr="00870BB8">
        <w:rPr>
          <w:rFonts w:ascii="Arial" w:hAnsi="Arial" w:cs="Arial"/>
          <w:sz w:val="24"/>
          <w:szCs w:val="24"/>
        </w:rPr>
        <w:t xml:space="preserve"> </w:t>
      </w:r>
      <w:r w:rsidR="001D22DF" w:rsidRPr="00870BB8">
        <w:rPr>
          <w:rFonts w:ascii="Arial" w:hAnsi="Arial" w:cs="Arial"/>
          <w:sz w:val="24"/>
          <w:szCs w:val="24"/>
        </w:rPr>
        <w:t>was perform</w:t>
      </w:r>
      <w:r w:rsidR="00403229">
        <w:rPr>
          <w:rFonts w:ascii="Arial" w:hAnsi="Arial" w:cs="Arial"/>
          <w:sz w:val="24"/>
          <w:szCs w:val="24"/>
        </w:rPr>
        <w:t>ed by</w:t>
      </w:r>
      <w:r w:rsidR="001D22DF" w:rsidRPr="00870BB8">
        <w:rPr>
          <w:rFonts w:ascii="Arial" w:hAnsi="Arial" w:cs="Arial"/>
          <w:sz w:val="24"/>
          <w:szCs w:val="24"/>
        </w:rPr>
        <w:t xml:space="preserve"> an exploratory factor analysis, through the principal component condensation method and according to the Kaiser rule (</w:t>
      </w:r>
      <w:proofErr w:type="spellStart"/>
      <w:r w:rsidR="001D22DF" w:rsidRPr="00870BB8">
        <w:rPr>
          <w:rFonts w:ascii="Arial" w:hAnsi="Arial" w:cs="Arial"/>
          <w:sz w:val="24"/>
          <w:szCs w:val="24"/>
        </w:rPr>
        <w:t>Pestana</w:t>
      </w:r>
      <w:proofErr w:type="spellEnd"/>
      <w:r w:rsidR="001D22DF" w:rsidRPr="00870BB8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="001D22DF" w:rsidRPr="00870BB8">
        <w:rPr>
          <w:rFonts w:ascii="Arial" w:hAnsi="Arial" w:cs="Arial"/>
          <w:sz w:val="24"/>
          <w:szCs w:val="24"/>
        </w:rPr>
        <w:t>Gageiro</w:t>
      </w:r>
      <w:proofErr w:type="spellEnd"/>
      <w:r w:rsidR="001D22DF" w:rsidRPr="00870BB8">
        <w:rPr>
          <w:rFonts w:ascii="Arial" w:hAnsi="Arial" w:cs="Arial"/>
          <w:sz w:val="24"/>
          <w:szCs w:val="24"/>
        </w:rPr>
        <w:t xml:space="preserve"> 2014) with </w:t>
      </w:r>
      <w:r w:rsidR="00403229" w:rsidRPr="00870BB8">
        <w:rPr>
          <w:rFonts w:ascii="Arial" w:hAnsi="Arial" w:cs="Arial"/>
          <w:sz w:val="24"/>
          <w:szCs w:val="24"/>
        </w:rPr>
        <w:t>a</w:t>
      </w:r>
      <w:r w:rsidR="00403229" w:rsidRPr="00870BB8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1D22DF" w:rsidRPr="00870BB8">
        <w:rPr>
          <w:rFonts w:ascii="Arial" w:hAnsi="Arial" w:cs="Arial"/>
          <w:i/>
          <w:sz w:val="24"/>
          <w:szCs w:val="24"/>
        </w:rPr>
        <w:t>Varimax</w:t>
      </w:r>
      <w:proofErr w:type="spellEnd"/>
      <w:r w:rsidR="001D22DF" w:rsidRPr="00870BB8">
        <w:rPr>
          <w:rFonts w:ascii="Arial" w:hAnsi="Arial" w:cs="Arial"/>
          <w:sz w:val="24"/>
          <w:szCs w:val="24"/>
        </w:rPr>
        <w:t xml:space="preserve"> rotation</w:t>
      </w:r>
      <w:r w:rsidR="004230BA">
        <w:rPr>
          <w:rFonts w:ascii="Arial" w:hAnsi="Arial" w:cs="Arial"/>
          <w:sz w:val="24"/>
          <w:szCs w:val="24"/>
        </w:rPr>
        <w:t>,</w:t>
      </w:r>
      <w:r w:rsidR="001D22DF" w:rsidRPr="00870BB8">
        <w:rPr>
          <w:rFonts w:ascii="Arial" w:hAnsi="Arial" w:cs="Arial"/>
          <w:sz w:val="24"/>
          <w:szCs w:val="24"/>
        </w:rPr>
        <w:t xml:space="preserve"> </w:t>
      </w:r>
      <w:r w:rsidR="004230BA">
        <w:rPr>
          <w:rFonts w:ascii="Arial" w:hAnsi="Arial" w:cs="Arial"/>
          <w:sz w:val="24"/>
          <w:szCs w:val="24"/>
        </w:rPr>
        <w:t>which</w:t>
      </w:r>
      <w:r w:rsidR="001D22DF" w:rsidRPr="00870BB8">
        <w:rPr>
          <w:rFonts w:ascii="Arial" w:hAnsi="Arial" w:cs="Arial"/>
          <w:sz w:val="24"/>
          <w:szCs w:val="24"/>
        </w:rPr>
        <w:t xml:space="preserve"> </w:t>
      </w:r>
      <w:r w:rsidR="004230BA" w:rsidRPr="00870BB8">
        <w:rPr>
          <w:rFonts w:ascii="Arial" w:hAnsi="Arial" w:cs="Arial"/>
          <w:sz w:val="24"/>
          <w:szCs w:val="24"/>
        </w:rPr>
        <w:t>has shown NES structur</w:t>
      </w:r>
      <w:r w:rsidR="004230BA">
        <w:rPr>
          <w:rFonts w:ascii="Arial" w:hAnsi="Arial" w:cs="Arial"/>
          <w:sz w:val="24"/>
          <w:szCs w:val="24"/>
        </w:rPr>
        <w:t>e</w:t>
      </w:r>
      <w:r w:rsidR="004230BA" w:rsidRPr="00870BB8">
        <w:rPr>
          <w:rFonts w:ascii="Arial" w:hAnsi="Arial" w:cs="Arial"/>
          <w:sz w:val="24"/>
          <w:szCs w:val="24"/>
        </w:rPr>
        <w:t xml:space="preserve"> composed by one factor</w:t>
      </w:r>
      <w:r w:rsidR="004230BA">
        <w:rPr>
          <w:rFonts w:ascii="Arial" w:hAnsi="Arial" w:cs="Arial"/>
          <w:sz w:val="24"/>
          <w:szCs w:val="24"/>
        </w:rPr>
        <w:t xml:space="preserve"> (see factor loading in Table S4.1)</w:t>
      </w:r>
      <w:r w:rsidR="001D22DF" w:rsidRPr="00870BB8">
        <w:rPr>
          <w:rFonts w:ascii="Arial" w:hAnsi="Arial" w:cs="Arial"/>
          <w:sz w:val="24"/>
          <w:szCs w:val="24"/>
        </w:rPr>
        <w:t xml:space="preserve">. </w:t>
      </w:r>
      <w:r w:rsidR="003C7045">
        <w:rPr>
          <w:rFonts w:ascii="Arial" w:hAnsi="Arial" w:cs="Arial"/>
          <w:sz w:val="24"/>
          <w:szCs w:val="24"/>
        </w:rPr>
        <w:t>A</w:t>
      </w:r>
      <w:r w:rsidR="001D22DF" w:rsidRPr="00870BB8">
        <w:rPr>
          <w:rFonts w:ascii="Arial" w:hAnsi="Arial" w:cs="Arial"/>
          <w:sz w:val="24"/>
          <w:szCs w:val="24"/>
        </w:rPr>
        <w:t>ccording to Kaiser-Meyer-</w:t>
      </w:r>
      <w:proofErr w:type="spellStart"/>
      <w:r w:rsidR="001D22DF" w:rsidRPr="00870BB8">
        <w:rPr>
          <w:rFonts w:ascii="Arial" w:hAnsi="Arial" w:cs="Arial"/>
          <w:sz w:val="24"/>
          <w:szCs w:val="24"/>
        </w:rPr>
        <w:t>Olkin</w:t>
      </w:r>
      <w:proofErr w:type="spellEnd"/>
      <w:r w:rsidR="001D22DF" w:rsidRPr="00870BB8">
        <w:rPr>
          <w:rFonts w:ascii="Arial" w:hAnsi="Arial" w:cs="Arial"/>
          <w:sz w:val="24"/>
          <w:szCs w:val="24"/>
        </w:rPr>
        <w:t xml:space="preserve"> Measure of Sampling Adequacy (KMO) and Bartlett's test of </w:t>
      </w:r>
      <w:proofErr w:type="spellStart"/>
      <w:r w:rsidR="001D22DF" w:rsidRPr="00870BB8">
        <w:rPr>
          <w:rFonts w:ascii="Arial" w:hAnsi="Arial" w:cs="Arial"/>
          <w:sz w:val="24"/>
          <w:szCs w:val="24"/>
        </w:rPr>
        <w:t>sphericity</w:t>
      </w:r>
      <w:proofErr w:type="spellEnd"/>
      <w:r w:rsidR="001D22DF" w:rsidRPr="00870BB8">
        <w:rPr>
          <w:rFonts w:ascii="Arial" w:hAnsi="Arial" w:cs="Arial"/>
          <w:sz w:val="24"/>
          <w:szCs w:val="24"/>
        </w:rPr>
        <w:t xml:space="preserve"> (BTS), the assumptions</w:t>
      </w:r>
      <w:r w:rsidR="00F80459">
        <w:rPr>
          <w:rFonts w:ascii="Arial" w:hAnsi="Arial" w:cs="Arial"/>
          <w:sz w:val="24"/>
          <w:szCs w:val="24"/>
        </w:rPr>
        <w:t xml:space="preserve"> </w:t>
      </w:r>
      <w:r w:rsidR="00F80459" w:rsidRPr="00870BB8">
        <w:rPr>
          <w:rFonts w:ascii="Arial" w:hAnsi="Arial" w:cs="Arial"/>
          <w:sz w:val="24"/>
          <w:szCs w:val="24"/>
        </w:rPr>
        <w:t>indicated that</w:t>
      </w:r>
      <w:r w:rsidR="00F80459">
        <w:rPr>
          <w:rFonts w:ascii="Arial" w:hAnsi="Arial" w:cs="Arial"/>
          <w:sz w:val="24"/>
          <w:szCs w:val="24"/>
        </w:rPr>
        <w:t xml:space="preserve"> our sample size was adequate for</w:t>
      </w:r>
      <w:r w:rsidR="00F80459" w:rsidRPr="00870BB8">
        <w:rPr>
          <w:rFonts w:ascii="Arial" w:hAnsi="Arial" w:cs="Arial"/>
          <w:sz w:val="24"/>
          <w:szCs w:val="24"/>
        </w:rPr>
        <w:t xml:space="preserve"> the factor analysis </w:t>
      </w:r>
      <w:r w:rsidR="00F80459">
        <w:rPr>
          <w:rFonts w:ascii="Arial" w:hAnsi="Arial" w:cs="Arial"/>
          <w:sz w:val="24"/>
          <w:szCs w:val="24"/>
        </w:rPr>
        <w:t xml:space="preserve">and it </w:t>
      </w:r>
      <w:r w:rsidR="00F80459" w:rsidRPr="00870BB8">
        <w:rPr>
          <w:rFonts w:ascii="Arial" w:hAnsi="Arial" w:cs="Arial"/>
          <w:sz w:val="24"/>
          <w:szCs w:val="24"/>
        </w:rPr>
        <w:t>was useful</w:t>
      </w:r>
      <w:r w:rsidR="001D22DF" w:rsidRPr="00870BB8">
        <w:rPr>
          <w:rFonts w:ascii="Arial" w:hAnsi="Arial" w:cs="Arial"/>
          <w:sz w:val="24"/>
          <w:szCs w:val="24"/>
        </w:rPr>
        <w:t xml:space="preserve"> </w:t>
      </w:r>
      <w:r w:rsidR="001E3BA0">
        <w:rPr>
          <w:rFonts w:ascii="Arial" w:hAnsi="Arial" w:cs="Arial"/>
          <w:sz w:val="24"/>
          <w:szCs w:val="24"/>
        </w:rPr>
        <w:t>(</w:t>
      </w:r>
      <w:r w:rsidR="001D22DF" w:rsidRPr="00870BB8">
        <w:rPr>
          <w:rFonts w:ascii="Arial" w:hAnsi="Arial" w:cs="Arial"/>
          <w:sz w:val="24"/>
          <w:szCs w:val="24"/>
        </w:rPr>
        <w:t>KM =0.65</w:t>
      </w:r>
      <w:r w:rsidR="00470C99">
        <w:rPr>
          <w:rFonts w:ascii="Arial" w:hAnsi="Arial" w:cs="Arial"/>
          <w:sz w:val="24"/>
          <w:szCs w:val="24"/>
        </w:rPr>
        <w:t>4</w:t>
      </w:r>
      <w:r w:rsidR="001D22DF" w:rsidRPr="00870BB8">
        <w:rPr>
          <w:rFonts w:ascii="Arial" w:hAnsi="Arial" w:cs="Arial"/>
          <w:sz w:val="24"/>
          <w:szCs w:val="24"/>
        </w:rPr>
        <w:t xml:space="preserve"> and BTS </w:t>
      </w:r>
      <w:r w:rsidR="001D22DF" w:rsidRPr="00870BB8">
        <w:rPr>
          <w:rFonts w:ascii="Arial" w:hAnsi="Arial" w:cs="Arial"/>
          <w:i/>
          <w:sz w:val="24"/>
          <w:szCs w:val="24"/>
        </w:rPr>
        <w:t>p</w:t>
      </w:r>
      <w:r w:rsidR="001D22DF" w:rsidRPr="00870BB8">
        <w:rPr>
          <w:rFonts w:ascii="Arial" w:hAnsi="Arial" w:cs="Arial"/>
          <w:sz w:val="24"/>
          <w:szCs w:val="24"/>
        </w:rPr>
        <w:t xml:space="preserve"> &lt;0.000</w:t>
      </w:r>
      <w:r w:rsidR="001E3BA0">
        <w:rPr>
          <w:rFonts w:ascii="Arial" w:hAnsi="Arial" w:cs="Arial"/>
          <w:sz w:val="24"/>
          <w:szCs w:val="24"/>
        </w:rPr>
        <w:t xml:space="preserve">; </w:t>
      </w:r>
      <w:r w:rsidR="00785B2C" w:rsidRPr="00870BB8">
        <w:rPr>
          <w:rFonts w:ascii="Arial" w:hAnsi="Arial" w:cs="Arial"/>
          <w:sz w:val="24"/>
          <w:szCs w:val="24"/>
        </w:rPr>
        <w:t xml:space="preserve">Table </w:t>
      </w:r>
      <w:r w:rsidR="00785B2C">
        <w:rPr>
          <w:rFonts w:ascii="Arial" w:hAnsi="Arial" w:cs="Arial"/>
          <w:sz w:val="24"/>
          <w:szCs w:val="24"/>
        </w:rPr>
        <w:t>S4.1</w:t>
      </w:r>
      <w:r w:rsidR="00785B2C" w:rsidRPr="00870BB8">
        <w:rPr>
          <w:rFonts w:ascii="Arial" w:hAnsi="Arial" w:cs="Arial"/>
          <w:sz w:val="24"/>
          <w:szCs w:val="24"/>
        </w:rPr>
        <w:t>)</w:t>
      </w:r>
      <w:r w:rsidR="001D22DF" w:rsidRPr="00870BB8">
        <w:rPr>
          <w:rFonts w:ascii="Arial" w:hAnsi="Arial" w:cs="Arial"/>
          <w:sz w:val="24"/>
          <w:szCs w:val="24"/>
        </w:rPr>
        <w:t xml:space="preserve">, following the criteria of KMO &gt; 0.50 and </w:t>
      </w:r>
      <w:r w:rsidR="001D22DF" w:rsidRPr="00870BB8">
        <w:rPr>
          <w:rFonts w:ascii="Arial" w:hAnsi="Arial" w:cs="Arial"/>
          <w:i/>
          <w:sz w:val="24"/>
          <w:szCs w:val="24"/>
        </w:rPr>
        <w:t>p</w:t>
      </w:r>
      <w:r w:rsidR="001D22DF" w:rsidRPr="00870BB8">
        <w:rPr>
          <w:rFonts w:ascii="Arial" w:hAnsi="Arial" w:cs="Arial"/>
          <w:sz w:val="24"/>
          <w:szCs w:val="24"/>
        </w:rPr>
        <w:t xml:space="preserve"> &lt;0.005</w:t>
      </w:r>
      <w:r w:rsidR="003C7045">
        <w:rPr>
          <w:rFonts w:ascii="Arial" w:hAnsi="Arial" w:cs="Arial"/>
          <w:sz w:val="24"/>
          <w:szCs w:val="24"/>
        </w:rPr>
        <w:t xml:space="preserve">, where </w:t>
      </w:r>
      <w:r w:rsidR="003C7045" w:rsidRPr="003C7045">
        <w:rPr>
          <w:rFonts w:ascii="Arial" w:hAnsi="Arial" w:cs="Arial"/>
          <w:sz w:val="24"/>
          <w:szCs w:val="24"/>
        </w:rPr>
        <w:t>the combined variance explained 55.62%</w:t>
      </w:r>
      <w:r w:rsidR="003C7045">
        <w:rPr>
          <w:rFonts w:ascii="Arial" w:hAnsi="Arial" w:cs="Arial"/>
          <w:sz w:val="24"/>
          <w:szCs w:val="24"/>
        </w:rPr>
        <w:t xml:space="preserve"> of the factor loadings</w:t>
      </w:r>
      <w:r w:rsidR="00024E90">
        <w:rPr>
          <w:rFonts w:ascii="Arial" w:hAnsi="Arial" w:cs="Arial"/>
          <w:sz w:val="24"/>
          <w:szCs w:val="24"/>
        </w:rPr>
        <w:t xml:space="preserve">, above 50% </w:t>
      </w:r>
      <w:r w:rsidR="00DA6FDE">
        <w:rPr>
          <w:rFonts w:ascii="Arial" w:hAnsi="Arial" w:cs="Arial"/>
          <w:sz w:val="24"/>
          <w:szCs w:val="24"/>
        </w:rPr>
        <w:t xml:space="preserve">was </w:t>
      </w:r>
      <w:r w:rsidR="00024E90">
        <w:rPr>
          <w:rFonts w:ascii="Arial" w:hAnsi="Arial" w:cs="Arial"/>
          <w:sz w:val="24"/>
          <w:szCs w:val="24"/>
        </w:rPr>
        <w:t xml:space="preserve">considered a </w:t>
      </w:r>
      <w:r w:rsidR="00DA6FDE">
        <w:rPr>
          <w:rFonts w:ascii="Arial" w:hAnsi="Arial" w:cs="Arial"/>
          <w:sz w:val="24"/>
          <w:szCs w:val="24"/>
        </w:rPr>
        <w:t>significant value for the measured variables</w:t>
      </w:r>
      <w:r w:rsidR="003C7045" w:rsidRPr="003C7045">
        <w:rPr>
          <w:rFonts w:ascii="Arial" w:hAnsi="Arial" w:cs="Arial"/>
          <w:sz w:val="24"/>
          <w:szCs w:val="24"/>
        </w:rPr>
        <w:t xml:space="preserve"> (Table S4.1</w:t>
      </w:r>
      <w:r w:rsidR="00225782">
        <w:rPr>
          <w:rFonts w:ascii="Arial" w:hAnsi="Arial" w:cs="Arial"/>
          <w:sz w:val="24"/>
          <w:szCs w:val="24"/>
        </w:rPr>
        <w:t>;</w:t>
      </w:r>
      <w:r w:rsidR="00225782" w:rsidRPr="00225782">
        <w:rPr>
          <w:rFonts w:ascii="Arial" w:hAnsi="Arial" w:cs="Arial"/>
          <w:sz w:val="24"/>
          <w:szCs w:val="24"/>
        </w:rPr>
        <w:t xml:space="preserve"> </w:t>
      </w:r>
      <w:r w:rsidR="00225782">
        <w:rPr>
          <w:rFonts w:ascii="Arial" w:hAnsi="Arial" w:cs="Arial"/>
          <w:sz w:val="24"/>
          <w:szCs w:val="24"/>
        </w:rPr>
        <w:t>Hair et al. 2019</w:t>
      </w:r>
      <w:r w:rsidR="00DB58D0">
        <w:rPr>
          <w:rFonts w:ascii="Arial" w:hAnsi="Arial" w:cs="Arial"/>
          <w:sz w:val="24"/>
          <w:szCs w:val="24"/>
        </w:rPr>
        <w:t>)</w:t>
      </w:r>
      <w:r w:rsidR="003C7045">
        <w:rPr>
          <w:rFonts w:ascii="Arial" w:hAnsi="Arial" w:cs="Arial"/>
          <w:sz w:val="24"/>
          <w:szCs w:val="24"/>
        </w:rPr>
        <w:t>.</w:t>
      </w:r>
    </w:p>
    <w:p w14:paraId="5062D472" w14:textId="59B9240C" w:rsidR="001D22DF" w:rsidRPr="00870BB8" w:rsidRDefault="00FE0FA9" w:rsidP="001D22D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Thus, p</w:t>
      </w:r>
      <w:r w:rsidRPr="00FE0FA9">
        <w:rPr>
          <w:rFonts w:ascii="Arial" w:hAnsi="Arial" w:cs="Arial"/>
          <w:sz w:val="24"/>
          <w:szCs w:val="24"/>
        </w:rPr>
        <w:t xml:space="preserve">sychometric data corroborate NES as a </w:t>
      </w:r>
      <w:r w:rsidR="003B181B">
        <w:rPr>
          <w:rFonts w:ascii="Arial" w:hAnsi="Arial" w:cs="Arial"/>
          <w:sz w:val="24"/>
          <w:szCs w:val="24"/>
        </w:rPr>
        <w:t>consistent and valid</w:t>
      </w:r>
      <w:r w:rsidR="002725BB">
        <w:rPr>
          <w:rFonts w:ascii="Arial" w:hAnsi="Arial" w:cs="Arial"/>
          <w:sz w:val="24"/>
          <w:szCs w:val="24"/>
        </w:rPr>
        <w:t xml:space="preserve"> unidimensional</w:t>
      </w:r>
      <w:r w:rsidR="003B181B">
        <w:rPr>
          <w:rFonts w:ascii="Arial" w:hAnsi="Arial" w:cs="Arial"/>
          <w:sz w:val="24"/>
          <w:szCs w:val="24"/>
        </w:rPr>
        <w:t xml:space="preserve"> instrument to measure a group of individuals’ exposure to nature.</w:t>
      </w:r>
    </w:p>
    <w:p w14:paraId="08C9FEBE" w14:textId="77777777" w:rsidR="00197E16" w:rsidRPr="00870BB8" w:rsidRDefault="00197E16" w:rsidP="00E44EA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5C97EB02" w14:textId="510899FA" w:rsidR="002405E8" w:rsidRPr="00D64101" w:rsidRDefault="002405E8" w:rsidP="00CC6516">
      <w:pPr>
        <w:spacing w:line="276" w:lineRule="auto"/>
        <w:jc w:val="both"/>
        <w:rPr>
          <w:rFonts w:ascii="Arial" w:eastAsia="Times New Roman" w:hAnsi="Arial" w:cs="Arial"/>
          <w:b/>
          <w:bCs/>
          <w:color w:val="222222"/>
          <w:szCs w:val="24"/>
        </w:rPr>
      </w:pPr>
      <w:r w:rsidRPr="00D64101">
        <w:rPr>
          <w:rFonts w:ascii="Arial" w:eastAsia="Times New Roman" w:hAnsi="Arial" w:cs="Arial"/>
          <w:b/>
          <w:bCs/>
          <w:color w:val="222222"/>
          <w:szCs w:val="24"/>
        </w:rPr>
        <w:t>Bibliographic references</w:t>
      </w:r>
    </w:p>
    <w:p w14:paraId="264EE4BB" w14:textId="470E3B36" w:rsidR="00225782" w:rsidRPr="00FE0FA9" w:rsidRDefault="005351C4" w:rsidP="00225782">
      <w:pPr>
        <w:spacing w:line="276" w:lineRule="auto"/>
        <w:jc w:val="both"/>
        <w:rPr>
          <w:rFonts w:ascii="Arial" w:hAnsi="Arial" w:cs="Arial"/>
        </w:rPr>
      </w:pPr>
      <w:r w:rsidRPr="00FE0FA9">
        <w:rPr>
          <w:rFonts w:ascii="Arial" w:hAnsi="Arial" w:cs="Arial"/>
        </w:rPr>
        <w:t xml:space="preserve">Hair JF, Black WC, </w:t>
      </w:r>
      <w:proofErr w:type="spellStart"/>
      <w:r w:rsidRPr="00FE0FA9">
        <w:rPr>
          <w:rFonts w:ascii="Arial" w:hAnsi="Arial" w:cs="Arial"/>
        </w:rPr>
        <w:t>Babin</w:t>
      </w:r>
      <w:proofErr w:type="spellEnd"/>
      <w:r w:rsidRPr="00FE0FA9">
        <w:rPr>
          <w:rFonts w:ascii="Arial" w:hAnsi="Arial" w:cs="Arial"/>
        </w:rPr>
        <w:t xml:space="preserve"> BJ, Anderson RE</w:t>
      </w:r>
      <w:r w:rsidR="00225782" w:rsidRPr="00FE0FA9">
        <w:rPr>
          <w:rFonts w:ascii="Arial" w:hAnsi="Arial" w:cs="Arial"/>
        </w:rPr>
        <w:t xml:space="preserve"> (20</w:t>
      </w:r>
      <w:r w:rsidRPr="00FE0FA9">
        <w:rPr>
          <w:rFonts w:ascii="Arial" w:hAnsi="Arial" w:cs="Arial"/>
        </w:rPr>
        <w:t>19)</w:t>
      </w:r>
      <w:r w:rsidR="00225782" w:rsidRPr="00FE0FA9">
        <w:rPr>
          <w:rFonts w:ascii="Arial" w:hAnsi="Arial" w:cs="Arial"/>
        </w:rPr>
        <w:t xml:space="preserve"> </w:t>
      </w:r>
      <w:r w:rsidR="00225782" w:rsidRPr="00FE0FA9">
        <w:rPr>
          <w:rFonts w:ascii="Arial" w:hAnsi="Arial" w:cs="Arial"/>
          <w:i/>
        </w:rPr>
        <w:t>Multivariate data analysis</w:t>
      </w:r>
      <w:r w:rsidR="00225782" w:rsidRPr="00FE0FA9">
        <w:rPr>
          <w:rFonts w:ascii="Arial" w:hAnsi="Arial" w:cs="Arial"/>
        </w:rPr>
        <w:t xml:space="preserve"> (8</w:t>
      </w:r>
      <w:r w:rsidR="00225782" w:rsidRPr="00FE0FA9">
        <w:rPr>
          <w:rFonts w:ascii="Arial" w:hAnsi="Arial" w:cs="Arial"/>
          <w:vertAlign w:val="superscript"/>
        </w:rPr>
        <w:t>th</w:t>
      </w:r>
      <w:r w:rsidR="00225782" w:rsidRPr="00FE0FA9">
        <w:rPr>
          <w:rFonts w:ascii="Arial" w:hAnsi="Arial" w:cs="Arial"/>
        </w:rPr>
        <w:t xml:space="preserve"> ed.). Boston: Cengage.</w:t>
      </w:r>
    </w:p>
    <w:p w14:paraId="6FB8BF45" w14:textId="2C7032AE" w:rsidR="00714A0E" w:rsidRPr="00FE0FA9" w:rsidRDefault="00714A0E" w:rsidP="00714A0E">
      <w:pPr>
        <w:spacing w:line="276" w:lineRule="auto"/>
        <w:jc w:val="both"/>
        <w:rPr>
          <w:rFonts w:ascii="Arial" w:hAnsi="Arial" w:cs="Arial"/>
          <w:lang w:val="pt-PT"/>
        </w:rPr>
      </w:pPr>
      <w:proofErr w:type="spellStart"/>
      <w:r w:rsidRPr="00FE0FA9">
        <w:rPr>
          <w:rFonts w:ascii="Arial" w:hAnsi="Arial" w:cs="Arial"/>
        </w:rPr>
        <w:t>Kamitsis</w:t>
      </w:r>
      <w:proofErr w:type="spellEnd"/>
      <w:r w:rsidRPr="00FE0FA9">
        <w:rPr>
          <w:rFonts w:ascii="Arial" w:hAnsi="Arial" w:cs="Arial"/>
        </w:rPr>
        <w:t xml:space="preserve"> I, Francis AJ (2013) Spirituality mediates the relationship between engagement with nature and psychological wellbeing. </w:t>
      </w:r>
      <w:proofErr w:type="spellStart"/>
      <w:r w:rsidRPr="00FE0FA9">
        <w:rPr>
          <w:rFonts w:ascii="Arial" w:hAnsi="Arial" w:cs="Arial"/>
          <w:i/>
          <w:lang w:val="pt-PT"/>
        </w:rPr>
        <w:t>Journal</w:t>
      </w:r>
      <w:proofErr w:type="spellEnd"/>
      <w:r w:rsidRPr="00FE0FA9">
        <w:rPr>
          <w:rFonts w:ascii="Arial" w:hAnsi="Arial" w:cs="Arial"/>
          <w:i/>
          <w:lang w:val="pt-PT"/>
        </w:rPr>
        <w:t xml:space="preserve"> </w:t>
      </w:r>
      <w:proofErr w:type="spellStart"/>
      <w:r w:rsidRPr="00FE0FA9">
        <w:rPr>
          <w:rFonts w:ascii="Arial" w:hAnsi="Arial" w:cs="Arial"/>
          <w:i/>
          <w:lang w:val="pt-PT"/>
        </w:rPr>
        <w:t>of</w:t>
      </w:r>
      <w:proofErr w:type="spellEnd"/>
      <w:r w:rsidRPr="00FE0FA9">
        <w:rPr>
          <w:rFonts w:ascii="Arial" w:hAnsi="Arial" w:cs="Arial"/>
          <w:i/>
          <w:lang w:val="pt-PT"/>
        </w:rPr>
        <w:t xml:space="preserve"> </w:t>
      </w:r>
      <w:proofErr w:type="spellStart"/>
      <w:r w:rsidRPr="00FE0FA9">
        <w:rPr>
          <w:rFonts w:ascii="Arial" w:hAnsi="Arial" w:cs="Arial"/>
          <w:i/>
          <w:lang w:val="pt-PT"/>
        </w:rPr>
        <w:t>Environmental</w:t>
      </w:r>
      <w:proofErr w:type="spellEnd"/>
      <w:r w:rsidRPr="00FE0FA9">
        <w:rPr>
          <w:rFonts w:ascii="Arial" w:hAnsi="Arial" w:cs="Arial"/>
          <w:i/>
          <w:lang w:val="pt-PT"/>
        </w:rPr>
        <w:t xml:space="preserve"> </w:t>
      </w:r>
      <w:proofErr w:type="spellStart"/>
      <w:r w:rsidRPr="00FE0FA9">
        <w:rPr>
          <w:rFonts w:ascii="Arial" w:hAnsi="Arial" w:cs="Arial"/>
          <w:i/>
          <w:lang w:val="pt-PT"/>
        </w:rPr>
        <w:t>Psychology</w:t>
      </w:r>
      <w:proofErr w:type="spellEnd"/>
      <w:r w:rsidRPr="00FE0FA9">
        <w:rPr>
          <w:rFonts w:ascii="Arial" w:hAnsi="Arial" w:cs="Arial"/>
          <w:lang w:val="pt-PT"/>
        </w:rPr>
        <w:t xml:space="preserve"> 36: 136-143.</w:t>
      </w:r>
    </w:p>
    <w:p w14:paraId="5207E881" w14:textId="436ECB2D" w:rsidR="006155E2" w:rsidRPr="00FE0FA9" w:rsidRDefault="00714A0E" w:rsidP="00714A0E">
      <w:pPr>
        <w:spacing w:line="276" w:lineRule="auto"/>
        <w:jc w:val="both"/>
        <w:rPr>
          <w:rFonts w:ascii="Arial" w:hAnsi="Arial" w:cs="Arial"/>
        </w:rPr>
      </w:pPr>
      <w:r w:rsidRPr="00FE0FA9">
        <w:rPr>
          <w:rFonts w:ascii="Arial" w:hAnsi="Arial" w:cs="Arial"/>
          <w:lang w:val="pt-PT"/>
        </w:rPr>
        <w:t xml:space="preserve">Pestana M, </w:t>
      </w:r>
      <w:proofErr w:type="spellStart"/>
      <w:r w:rsidRPr="00FE0FA9">
        <w:rPr>
          <w:rFonts w:ascii="Arial" w:hAnsi="Arial" w:cs="Arial"/>
          <w:lang w:val="pt-PT"/>
        </w:rPr>
        <w:t>Gageiro</w:t>
      </w:r>
      <w:proofErr w:type="spellEnd"/>
      <w:r w:rsidRPr="00FE0FA9">
        <w:rPr>
          <w:rFonts w:ascii="Arial" w:hAnsi="Arial" w:cs="Arial"/>
          <w:lang w:val="pt-PT"/>
        </w:rPr>
        <w:t xml:space="preserve"> J (2014) </w:t>
      </w:r>
      <w:r w:rsidRPr="00FE0FA9">
        <w:rPr>
          <w:rFonts w:ascii="Arial" w:hAnsi="Arial" w:cs="Arial"/>
          <w:i/>
          <w:lang w:val="pt-PT"/>
        </w:rPr>
        <w:t xml:space="preserve">Análise de </w:t>
      </w:r>
      <w:r w:rsidR="006576B4" w:rsidRPr="00FE0FA9">
        <w:rPr>
          <w:rFonts w:ascii="Arial" w:hAnsi="Arial" w:cs="Arial"/>
          <w:i/>
          <w:lang w:val="pt-PT"/>
        </w:rPr>
        <w:t xml:space="preserve">dados </w:t>
      </w:r>
      <w:r w:rsidRPr="00FE0FA9">
        <w:rPr>
          <w:rFonts w:ascii="Arial" w:hAnsi="Arial" w:cs="Arial"/>
          <w:i/>
          <w:lang w:val="pt-PT"/>
        </w:rPr>
        <w:t xml:space="preserve">para Ciências Sociais – </w:t>
      </w:r>
      <w:r w:rsidR="006576B4" w:rsidRPr="00FE0FA9">
        <w:rPr>
          <w:rFonts w:ascii="Arial" w:hAnsi="Arial" w:cs="Arial"/>
          <w:i/>
          <w:lang w:val="pt-PT"/>
        </w:rPr>
        <w:t xml:space="preserve">A complementaridade </w:t>
      </w:r>
      <w:r w:rsidRPr="00FE0FA9">
        <w:rPr>
          <w:rFonts w:ascii="Arial" w:hAnsi="Arial" w:cs="Arial"/>
          <w:i/>
          <w:lang w:val="pt-PT"/>
        </w:rPr>
        <w:t xml:space="preserve">do SPSS </w:t>
      </w:r>
      <w:r w:rsidRPr="00FE0FA9">
        <w:rPr>
          <w:rFonts w:ascii="Arial" w:hAnsi="Arial" w:cs="Arial"/>
          <w:lang w:val="pt-PT"/>
        </w:rPr>
        <w:t xml:space="preserve">(6ª Edição). </w:t>
      </w:r>
      <w:proofErr w:type="spellStart"/>
      <w:r w:rsidRPr="00FE0FA9">
        <w:rPr>
          <w:rFonts w:ascii="Arial" w:hAnsi="Arial" w:cs="Arial"/>
        </w:rPr>
        <w:t>Edições</w:t>
      </w:r>
      <w:proofErr w:type="spellEnd"/>
      <w:r w:rsidRPr="00FE0FA9">
        <w:rPr>
          <w:rFonts w:ascii="Arial" w:hAnsi="Arial" w:cs="Arial"/>
        </w:rPr>
        <w:t xml:space="preserve"> </w:t>
      </w:r>
      <w:proofErr w:type="spellStart"/>
      <w:r w:rsidRPr="00FE0FA9">
        <w:rPr>
          <w:rFonts w:ascii="Arial" w:hAnsi="Arial" w:cs="Arial"/>
        </w:rPr>
        <w:t>Sílabo</w:t>
      </w:r>
      <w:proofErr w:type="spellEnd"/>
      <w:r w:rsidRPr="00FE0FA9">
        <w:rPr>
          <w:rFonts w:ascii="Arial" w:hAnsi="Arial" w:cs="Arial"/>
        </w:rPr>
        <w:t xml:space="preserve">: </w:t>
      </w:r>
      <w:proofErr w:type="spellStart"/>
      <w:r w:rsidRPr="00FE0FA9">
        <w:rPr>
          <w:rFonts w:ascii="Arial" w:hAnsi="Arial" w:cs="Arial"/>
        </w:rPr>
        <w:t>Lisboa</w:t>
      </w:r>
      <w:proofErr w:type="spellEnd"/>
      <w:r w:rsidRPr="00FE0FA9">
        <w:rPr>
          <w:rFonts w:ascii="Arial" w:hAnsi="Arial" w:cs="Arial"/>
        </w:rPr>
        <w:t>.</w:t>
      </w:r>
    </w:p>
    <w:p w14:paraId="45777610" w14:textId="02FDD2A0" w:rsidR="005351C4" w:rsidRPr="00FE0FA9" w:rsidRDefault="00714A0E" w:rsidP="00714A0E">
      <w:pPr>
        <w:spacing w:line="276" w:lineRule="auto"/>
        <w:jc w:val="both"/>
        <w:rPr>
          <w:rFonts w:ascii="Arial" w:hAnsi="Arial" w:cs="Arial"/>
        </w:rPr>
      </w:pPr>
      <w:proofErr w:type="spellStart"/>
      <w:r w:rsidRPr="00FE0FA9">
        <w:rPr>
          <w:rFonts w:ascii="Arial" w:hAnsi="Arial" w:cs="Arial"/>
        </w:rPr>
        <w:t>Streiner</w:t>
      </w:r>
      <w:proofErr w:type="spellEnd"/>
      <w:r w:rsidRPr="00FE0FA9">
        <w:rPr>
          <w:rFonts w:ascii="Arial" w:hAnsi="Arial" w:cs="Arial"/>
        </w:rPr>
        <w:t xml:space="preserve"> D, Norman G (2008) </w:t>
      </w:r>
      <w:r w:rsidRPr="00FE0FA9">
        <w:rPr>
          <w:rFonts w:ascii="Arial" w:hAnsi="Arial" w:cs="Arial"/>
          <w:i/>
        </w:rPr>
        <w:t xml:space="preserve">Health and </w:t>
      </w:r>
      <w:r w:rsidR="006576B4" w:rsidRPr="00FE0FA9">
        <w:rPr>
          <w:rFonts w:ascii="Arial" w:hAnsi="Arial" w:cs="Arial"/>
          <w:i/>
        </w:rPr>
        <w:t>measurement scales</w:t>
      </w:r>
      <w:r w:rsidRPr="00FE0FA9">
        <w:rPr>
          <w:rFonts w:ascii="Arial" w:hAnsi="Arial" w:cs="Arial"/>
          <w:i/>
        </w:rPr>
        <w:t xml:space="preserve">. A </w:t>
      </w:r>
      <w:r w:rsidR="006576B4" w:rsidRPr="00FE0FA9">
        <w:rPr>
          <w:rFonts w:ascii="Arial" w:hAnsi="Arial" w:cs="Arial"/>
          <w:i/>
        </w:rPr>
        <w:t>p</w:t>
      </w:r>
      <w:r w:rsidRPr="00FE0FA9">
        <w:rPr>
          <w:rFonts w:ascii="Arial" w:hAnsi="Arial" w:cs="Arial"/>
          <w:i/>
        </w:rPr>
        <w:t xml:space="preserve">ractical </w:t>
      </w:r>
      <w:r w:rsidR="006576B4" w:rsidRPr="00FE0FA9">
        <w:rPr>
          <w:rFonts w:ascii="Arial" w:hAnsi="Arial" w:cs="Arial"/>
          <w:i/>
        </w:rPr>
        <w:t>g</w:t>
      </w:r>
      <w:r w:rsidRPr="00FE0FA9">
        <w:rPr>
          <w:rFonts w:ascii="Arial" w:hAnsi="Arial" w:cs="Arial"/>
          <w:i/>
        </w:rPr>
        <w:t xml:space="preserve">uide for </w:t>
      </w:r>
      <w:r w:rsidR="006576B4" w:rsidRPr="00FE0FA9">
        <w:rPr>
          <w:rFonts w:ascii="Arial" w:hAnsi="Arial" w:cs="Arial"/>
          <w:i/>
        </w:rPr>
        <w:t xml:space="preserve">their development </w:t>
      </w:r>
      <w:r w:rsidRPr="00FE0FA9">
        <w:rPr>
          <w:rFonts w:ascii="Arial" w:hAnsi="Arial" w:cs="Arial"/>
          <w:i/>
        </w:rPr>
        <w:t xml:space="preserve">and </w:t>
      </w:r>
      <w:r w:rsidR="006576B4" w:rsidRPr="00FE0FA9">
        <w:rPr>
          <w:rFonts w:ascii="Arial" w:hAnsi="Arial" w:cs="Arial"/>
          <w:i/>
        </w:rPr>
        <w:t>use</w:t>
      </w:r>
      <w:r w:rsidR="006576B4" w:rsidRPr="00FE0FA9">
        <w:rPr>
          <w:rFonts w:ascii="Arial" w:hAnsi="Arial" w:cs="Arial"/>
        </w:rPr>
        <w:t xml:space="preserve"> </w:t>
      </w:r>
      <w:r w:rsidRPr="00FE0FA9">
        <w:rPr>
          <w:rFonts w:ascii="Arial" w:hAnsi="Arial" w:cs="Arial"/>
        </w:rPr>
        <w:t>(4th Edition). Oxford University Press: Oxford.</w:t>
      </w:r>
      <w:bookmarkStart w:id="1" w:name="_GoBack"/>
      <w:bookmarkEnd w:id="1"/>
    </w:p>
    <w:sectPr w:rsidR="005351C4" w:rsidRPr="00FE0FA9" w:rsidSect="00B04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57A02" w16cex:dateUtc="2020-09-23T07:38:00Z"/>
  <w16cex:commentExtensible w16cex:durableId="231574D7" w16cex:dateUtc="2020-09-23T07:16:00Z"/>
  <w16cex:commentExtensible w16cex:durableId="23157BF2" w16cex:dateUtc="2020-09-23T07:46:00Z"/>
  <w16cex:commentExtensible w16cex:durableId="23157DAB" w16cex:dateUtc="2020-09-23T07:54:00Z"/>
  <w16cex:commentExtensible w16cex:durableId="2315A1E3" w16cex:dateUtc="2020-09-23T10:28:00Z"/>
  <w16cex:commentExtensible w16cex:durableId="231577DC" w16cex:dateUtc="2020-09-23T07:29:00Z"/>
  <w16cex:commentExtensible w16cex:durableId="2315782D" w16cex:dateUtc="2020-09-23T07:30:00Z"/>
  <w16cex:commentExtensible w16cex:durableId="2315803E" w16cex:dateUtc="2020-09-23T08:05:00Z"/>
  <w16cex:commentExtensible w16cex:durableId="23157707" w16cex:dateUtc="2020-09-23T07:25:00Z"/>
  <w16cex:commentExtensible w16cex:durableId="2315E7E4" w16cex:dateUtc="2020-09-23T07:29:00Z"/>
  <w16cex:commentExtensible w16cex:durableId="2315E7E3" w16cex:dateUtc="2020-09-23T07:30:00Z"/>
  <w16cex:commentExtensible w16cex:durableId="2315E7E2" w16cex:dateUtc="2020-09-23T08:05:00Z"/>
  <w16cex:commentExtensible w16cex:durableId="2315E7E1" w16cex:dateUtc="2020-09-23T07:25:00Z"/>
  <w16cex:commentExtensible w16cex:durableId="2315F8E6" w16cex:dateUtc="2020-09-23T16:40:00Z"/>
  <w16cex:commentExtensible w16cex:durableId="2315F8F0" w16cex:dateUtc="2020-09-23T16:40:00Z"/>
  <w16cex:commentExtensible w16cex:durableId="2315FC3C" w16cex:dateUtc="2020-09-23T16:54:00Z"/>
  <w16cex:commentExtensible w16cex:durableId="2315F953" w16cex:dateUtc="2020-09-23T16:41:00Z"/>
  <w16cex:commentExtensible w16cex:durableId="2315F95A" w16cex:dateUtc="2020-09-23T16:42:00Z"/>
  <w16cex:commentExtensible w16cex:durableId="2315FBB5" w16cex:dateUtc="2020-09-23T16:52:00Z"/>
  <w16cex:commentExtensible w16cex:durableId="2315F969" w16cex:dateUtc="2020-09-23T16:42:00Z"/>
  <w16cex:commentExtensible w16cex:durableId="2315FBEB" w16cex:dateUtc="2020-09-23T16:52:00Z"/>
  <w16cex:commentExtensible w16cex:durableId="2315F973" w16cex:dateUtc="2020-09-23T16:42:00Z"/>
  <w16cex:commentExtensible w16cex:durableId="2315F977" w16cex:dateUtc="2020-09-23T16:42:00Z"/>
  <w16cex:commentExtensible w16cex:durableId="2315F97D" w16cex:dateUtc="2020-09-23T16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D34E62E" w16cid:durableId="23157A02"/>
  <w16cid:commentId w16cid:paraId="72E28E02" w16cid:durableId="231574D7"/>
  <w16cid:commentId w16cid:paraId="13E68EAB" w16cid:durableId="23157BF2"/>
  <w16cid:commentId w16cid:paraId="326C2114" w16cid:durableId="23157DAB"/>
  <w16cid:commentId w16cid:paraId="23B006A3" w16cid:durableId="2315A1E3"/>
  <w16cid:commentId w16cid:paraId="4C657FAB" w16cid:durableId="231577DC"/>
  <w16cid:commentId w16cid:paraId="1C6A23C7" w16cid:durableId="2315782D"/>
  <w16cid:commentId w16cid:paraId="73A4DE3F" w16cid:durableId="2315803E"/>
  <w16cid:commentId w16cid:paraId="76407E08" w16cid:durableId="23157707"/>
  <w16cid:commentId w16cid:paraId="61877E93" w16cid:durableId="2315E7E4"/>
  <w16cid:commentId w16cid:paraId="260FBABA" w16cid:durableId="2315E7E3"/>
  <w16cid:commentId w16cid:paraId="447B2592" w16cid:durableId="2315E7E2"/>
  <w16cid:commentId w16cid:paraId="435D2E20" w16cid:durableId="2315E7E1"/>
  <w16cid:commentId w16cid:paraId="16837290" w16cid:durableId="2315F8E6"/>
  <w16cid:commentId w16cid:paraId="44AF14FA" w16cid:durableId="2315F8F0"/>
  <w16cid:commentId w16cid:paraId="4F19A8C4" w16cid:durableId="2315FC3C"/>
  <w16cid:commentId w16cid:paraId="1C149336" w16cid:durableId="2315F953"/>
  <w16cid:commentId w16cid:paraId="747C7136" w16cid:durableId="2315F95A"/>
  <w16cid:commentId w16cid:paraId="73A3BA73" w16cid:durableId="2315FBB5"/>
  <w16cid:commentId w16cid:paraId="067175AB" w16cid:durableId="2315F969"/>
  <w16cid:commentId w16cid:paraId="5337730E" w16cid:durableId="2315FBEB"/>
  <w16cid:commentId w16cid:paraId="0C7B0BDD" w16cid:durableId="2315F973"/>
  <w16cid:commentId w16cid:paraId="226FA4EB" w16cid:durableId="2315F977"/>
  <w16cid:commentId w16cid:paraId="6A54F945" w16cid:durableId="2315F97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3847"/>
    <w:multiLevelType w:val="multilevel"/>
    <w:tmpl w:val="9942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A70CF6"/>
    <w:multiLevelType w:val="multilevel"/>
    <w:tmpl w:val="E8CE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4D5B8B"/>
    <w:multiLevelType w:val="multilevel"/>
    <w:tmpl w:val="51DE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4E5030"/>
    <w:multiLevelType w:val="hybridMultilevel"/>
    <w:tmpl w:val="8F8C7C86"/>
    <w:lvl w:ilvl="0" w:tplc="ABF8CB1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activeWritingStyle w:appName="MSWord" w:lang="pt-PT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pt-PT" w:vendorID="64" w:dllVersion="0" w:nlCheck="1" w:checkStyle="0"/>
  <w:activeWritingStyle w:appName="MSWord" w:lang="es-ES" w:vendorID="64" w:dllVersion="6" w:nlCheck="1" w:checkStyle="0"/>
  <w:activeWritingStyle w:appName="MSWord" w:lang="en-US" w:vendorID="64" w:dllVersion="131078" w:nlCheck="1" w:checkStyle="1"/>
  <w:activeWritingStyle w:appName="MSWord" w:lang="pt-PT" w:vendorID="64" w:dllVersion="131078" w:nlCheck="1" w:checkStyle="0"/>
  <w:activeWritingStyle w:appName="MSWord" w:lang="fr-FR" w:vendorID="64" w:dllVersion="131078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BC9"/>
    <w:rsid w:val="00007949"/>
    <w:rsid w:val="0001291B"/>
    <w:rsid w:val="00012F3E"/>
    <w:rsid w:val="0002010C"/>
    <w:rsid w:val="000240A2"/>
    <w:rsid w:val="00024E90"/>
    <w:rsid w:val="00026C57"/>
    <w:rsid w:val="00027B34"/>
    <w:rsid w:val="00027E8E"/>
    <w:rsid w:val="00035CE6"/>
    <w:rsid w:val="00035E5D"/>
    <w:rsid w:val="000360AA"/>
    <w:rsid w:val="000364AE"/>
    <w:rsid w:val="0006322F"/>
    <w:rsid w:val="000660B4"/>
    <w:rsid w:val="000708AB"/>
    <w:rsid w:val="00076A0F"/>
    <w:rsid w:val="000849BA"/>
    <w:rsid w:val="0008622C"/>
    <w:rsid w:val="00087824"/>
    <w:rsid w:val="000A6AD6"/>
    <w:rsid w:val="000B432E"/>
    <w:rsid w:val="000C0497"/>
    <w:rsid w:val="000C1BDA"/>
    <w:rsid w:val="000D0C58"/>
    <w:rsid w:val="000D1C54"/>
    <w:rsid w:val="000D63D5"/>
    <w:rsid w:val="000E3D87"/>
    <w:rsid w:val="000F583F"/>
    <w:rsid w:val="001110D0"/>
    <w:rsid w:val="00111461"/>
    <w:rsid w:val="00113000"/>
    <w:rsid w:val="00114854"/>
    <w:rsid w:val="0014084D"/>
    <w:rsid w:val="001465E7"/>
    <w:rsid w:val="00153E4D"/>
    <w:rsid w:val="001574D7"/>
    <w:rsid w:val="00172F1D"/>
    <w:rsid w:val="00185191"/>
    <w:rsid w:val="00197E16"/>
    <w:rsid w:val="001A17AD"/>
    <w:rsid w:val="001B130D"/>
    <w:rsid w:val="001B3C8C"/>
    <w:rsid w:val="001B3E7B"/>
    <w:rsid w:val="001C5A85"/>
    <w:rsid w:val="001D22DF"/>
    <w:rsid w:val="001D2417"/>
    <w:rsid w:val="001D68B1"/>
    <w:rsid w:val="001E3BA0"/>
    <w:rsid w:val="001E4890"/>
    <w:rsid w:val="001E6FBC"/>
    <w:rsid w:val="001E6FD2"/>
    <w:rsid w:val="001F4A1F"/>
    <w:rsid w:val="002015AF"/>
    <w:rsid w:val="0021276B"/>
    <w:rsid w:val="0021549C"/>
    <w:rsid w:val="00225782"/>
    <w:rsid w:val="0022672A"/>
    <w:rsid w:val="002405E8"/>
    <w:rsid w:val="0024769B"/>
    <w:rsid w:val="00250360"/>
    <w:rsid w:val="0025225D"/>
    <w:rsid w:val="00263CF5"/>
    <w:rsid w:val="00266B5B"/>
    <w:rsid w:val="002725BB"/>
    <w:rsid w:val="00281A70"/>
    <w:rsid w:val="00297650"/>
    <w:rsid w:val="002A0842"/>
    <w:rsid w:val="002A23F6"/>
    <w:rsid w:val="002A34BF"/>
    <w:rsid w:val="002A353B"/>
    <w:rsid w:val="002B69F0"/>
    <w:rsid w:val="002C1551"/>
    <w:rsid w:val="002C19E0"/>
    <w:rsid w:val="002F25E9"/>
    <w:rsid w:val="002F3486"/>
    <w:rsid w:val="003007AA"/>
    <w:rsid w:val="00330035"/>
    <w:rsid w:val="003351D6"/>
    <w:rsid w:val="003425A3"/>
    <w:rsid w:val="003503F3"/>
    <w:rsid w:val="003541B8"/>
    <w:rsid w:val="0036600B"/>
    <w:rsid w:val="0037764B"/>
    <w:rsid w:val="003973EE"/>
    <w:rsid w:val="003B181B"/>
    <w:rsid w:val="003B18B2"/>
    <w:rsid w:val="003B6E42"/>
    <w:rsid w:val="003C3606"/>
    <w:rsid w:val="003C4EF4"/>
    <w:rsid w:val="003C6535"/>
    <w:rsid w:val="003C6721"/>
    <w:rsid w:val="003C7045"/>
    <w:rsid w:val="003D0F69"/>
    <w:rsid w:val="0040023D"/>
    <w:rsid w:val="00403229"/>
    <w:rsid w:val="004076CD"/>
    <w:rsid w:val="0041587D"/>
    <w:rsid w:val="0042303D"/>
    <w:rsid w:val="004230BA"/>
    <w:rsid w:val="004259E0"/>
    <w:rsid w:val="00437A65"/>
    <w:rsid w:val="00441CA8"/>
    <w:rsid w:val="00442ACE"/>
    <w:rsid w:val="00470C99"/>
    <w:rsid w:val="00476130"/>
    <w:rsid w:val="004953F7"/>
    <w:rsid w:val="004C6C27"/>
    <w:rsid w:val="004E6CA5"/>
    <w:rsid w:val="004F0CAD"/>
    <w:rsid w:val="00520F5D"/>
    <w:rsid w:val="005351C4"/>
    <w:rsid w:val="00546E0B"/>
    <w:rsid w:val="0055003D"/>
    <w:rsid w:val="005512D2"/>
    <w:rsid w:val="00573F26"/>
    <w:rsid w:val="005834EF"/>
    <w:rsid w:val="005922E7"/>
    <w:rsid w:val="005A08A4"/>
    <w:rsid w:val="005A13D3"/>
    <w:rsid w:val="005C2C65"/>
    <w:rsid w:val="005D0936"/>
    <w:rsid w:val="005D2741"/>
    <w:rsid w:val="005D6CCB"/>
    <w:rsid w:val="005E5E0E"/>
    <w:rsid w:val="005F3A74"/>
    <w:rsid w:val="0060545D"/>
    <w:rsid w:val="00605E71"/>
    <w:rsid w:val="006105E3"/>
    <w:rsid w:val="006155E2"/>
    <w:rsid w:val="00622FFE"/>
    <w:rsid w:val="0064616C"/>
    <w:rsid w:val="00647037"/>
    <w:rsid w:val="00655A03"/>
    <w:rsid w:val="00657392"/>
    <w:rsid w:val="006576B4"/>
    <w:rsid w:val="00667660"/>
    <w:rsid w:val="00670863"/>
    <w:rsid w:val="00686CDE"/>
    <w:rsid w:val="006A5067"/>
    <w:rsid w:val="006B35E5"/>
    <w:rsid w:val="006B72BF"/>
    <w:rsid w:val="006C256D"/>
    <w:rsid w:val="006C37F6"/>
    <w:rsid w:val="006D33F0"/>
    <w:rsid w:val="006D3ACF"/>
    <w:rsid w:val="006E37EB"/>
    <w:rsid w:val="006E70D8"/>
    <w:rsid w:val="006F75EE"/>
    <w:rsid w:val="00707B89"/>
    <w:rsid w:val="00711EA3"/>
    <w:rsid w:val="00714A0E"/>
    <w:rsid w:val="00717C0B"/>
    <w:rsid w:val="00721806"/>
    <w:rsid w:val="00723BF4"/>
    <w:rsid w:val="00737FEC"/>
    <w:rsid w:val="00740060"/>
    <w:rsid w:val="007456EA"/>
    <w:rsid w:val="00780A19"/>
    <w:rsid w:val="00785B2C"/>
    <w:rsid w:val="007A1264"/>
    <w:rsid w:val="007A66BB"/>
    <w:rsid w:val="007A7C94"/>
    <w:rsid w:val="007B1591"/>
    <w:rsid w:val="007B4D07"/>
    <w:rsid w:val="007C5A9A"/>
    <w:rsid w:val="007D37BC"/>
    <w:rsid w:val="007F10A4"/>
    <w:rsid w:val="007F6119"/>
    <w:rsid w:val="00822B16"/>
    <w:rsid w:val="00823165"/>
    <w:rsid w:val="00835879"/>
    <w:rsid w:val="00861962"/>
    <w:rsid w:val="00870BB8"/>
    <w:rsid w:val="00893340"/>
    <w:rsid w:val="008B00E3"/>
    <w:rsid w:val="008B5B65"/>
    <w:rsid w:val="008C4D8A"/>
    <w:rsid w:val="008D2CFE"/>
    <w:rsid w:val="00900FB3"/>
    <w:rsid w:val="0093333E"/>
    <w:rsid w:val="0094121B"/>
    <w:rsid w:val="00941AF6"/>
    <w:rsid w:val="0094286E"/>
    <w:rsid w:val="009468B5"/>
    <w:rsid w:val="00972D28"/>
    <w:rsid w:val="00981C54"/>
    <w:rsid w:val="009935ED"/>
    <w:rsid w:val="00993981"/>
    <w:rsid w:val="0099445E"/>
    <w:rsid w:val="0099579B"/>
    <w:rsid w:val="0099672B"/>
    <w:rsid w:val="009C2D7F"/>
    <w:rsid w:val="009D4FF2"/>
    <w:rsid w:val="009E1D5D"/>
    <w:rsid w:val="009E7314"/>
    <w:rsid w:val="009F145F"/>
    <w:rsid w:val="009F18FC"/>
    <w:rsid w:val="009F1F29"/>
    <w:rsid w:val="009F2A41"/>
    <w:rsid w:val="00A13740"/>
    <w:rsid w:val="00A23429"/>
    <w:rsid w:val="00A43BA2"/>
    <w:rsid w:val="00A451D9"/>
    <w:rsid w:val="00A519C3"/>
    <w:rsid w:val="00A526B2"/>
    <w:rsid w:val="00A6630C"/>
    <w:rsid w:val="00A775ED"/>
    <w:rsid w:val="00A878A7"/>
    <w:rsid w:val="00A87F60"/>
    <w:rsid w:val="00A90BDB"/>
    <w:rsid w:val="00A96514"/>
    <w:rsid w:val="00AA206C"/>
    <w:rsid w:val="00AA5C59"/>
    <w:rsid w:val="00AB30A4"/>
    <w:rsid w:val="00AB48B5"/>
    <w:rsid w:val="00AB6785"/>
    <w:rsid w:val="00AC46B7"/>
    <w:rsid w:val="00AD0E71"/>
    <w:rsid w:val="00AD52FE"/>
    <w:rsid w:val="00AD5C5E"/>
    <w:rsid w:val="00AE4D70"/>
    <w:rsid w:val="00AF2205"/>
    <w:rsid w:val="00B041A4"/>
    <w:rsid w:val="00B05693"/>
    <w:rsid w:val="00B1781F"/>
    <w:rsid w:val="00B234F3"/>
    <w:rsid w:val="00B712EE"/>
    <w:rsid w:val="00B76E27"/>
    <w:rsid w:val="00B92FD1"/>
    <w:rsid w:val="00B964BB"/>
    <w:rsid w:val="00BA1A1B"/>
    <w:rsid w:val="00BA30C6"/>
    <w:rsid w:val="00BA6FC2"/>
    <w:rsid w:val="00BB6CD2"/>
    <w:rsid w:val="00BC09F2"/>
    <w:rsid w:val="00BC0ADD"/>
    <w:rsid w:val="00BC3CEA"/>
    <w:rsid w:val="00BC59B9"/>
    <w:rsid w:val="00BD31E0"/>
    <w:rsid w:val="00BE2698"/>
    <w:rsid w:val="00BE6FCF"/>
    <w:rsid w:val="00BF407A"/>
    <w:rsid w:val="00C05D3B"/>
    <w:rsid w:val="00C14C09"/>
    <w:rsid w:val="00C2344F"/>
    <w:rsid w:val="00C357D9"/>
    <w:rsid w:val="00C36C92"/>
    <w:rsid w:val="00C45129"/>
    <w:rsid w:val="00C54736"/>
    <w:rsid w:val="00C61E09"/>
    <w:rsid w:val="00C64F20"/>
    <w:rsid w:val="00C71ACF"/>
    <w:rsid w:val="00C73D67"/>
    <w:rsid w:val="00C84769"/>
    <w:rsid w:val="00C93915"/>
    <w:rsid w:val="00CA45AF"/>
    <w:rsid w:val="00CB4305"/>
    <w:rsid w:val="00CB6094"/>
    <w:rsid w:val="00CC6516"/>
    <w:rsid w:val="00CD00A4"/>
    <w:rsid w:val="00CD081A"/>
    <w:rsid w:val="00CD3127"/>
    <w:rsid w:val="00CF32E1"/>
    <w:rsid w:val="00CF75FB"/>
    <w:rsid w:val="00D025C6"/>
    <w:rsid w:val="00D064CD"/>
    <w:rsid w:val="00D15262"/>
    <w:rsid w:val="00D37672"/>
    <w:rsid w:val="00D37B89"/>
    <w:rsid w:val="00D41F38"/>
    <w:rsid w:val="00D51BC9"/>
    <w:rsid w:val="00D57B9B"/>
    <w:rsid w:val="00D60062"/>
    <w:rsid w:val="00D62A97"/>
    <w:rsid w:val="00D64101"/>
    <w:rsid w:val="00D87017"/>
    <w:rsid w:val="00D879DD"/>
    <w:rsid w:val="00D91D31"/>
    <w:rsid w:val="00DA6FDE"/>
    <w:rsid w:val="00DB2D03"/>
    <w:rsid w:val="00DB58D0"/>
    <w:rsid w:val="00DB7556"/>
    <w:rsid w:val="00DD168B"/>
    <w:rsid w:val="00DF227C"/>
    <w:rsid w:val="00E007B6"/>
    <w:rsid w:val="00E20866"/>
    <w:rsid w:val="00E32E05"/>
    <w:rsid w:val="00E32F1A"/>
    <w:rsid w:val="00E349ED"/>
    <w:rsid w:val="00E43624"/>
    <w:rsid w:val="00E44EA5"/>
    <w:rsid w:val="00E46738"/>
    <w:rsid w:val="00E47771"/>
    <w:rsid w:val="00E8452B"/>
    <w:rsid w:val="00E86B79"/>
    <w:rsid w:val="00EC250C"/>
    <w:rsid w:val="00EC3721"/>
    <w:rsid w:val="00EC655B"/>
    <w:rsid w:val="00ED49E2"/>
    <w:rsid w:val="00EE08B3"/>
    <w:rsid w:val="00EF6E81"/>
    <w:rsid w:val="00F043BB"/>
    <w:rsid w:val="00F254E0"/>
    <w:rsid w:val="00F3412A"/>
    <w:rsid w:val="00F465C3"/>
    <w:rsid w:val="00F61080"/>
    <w:rsid w:val="00F63253"/>
    <w:rsid w:val="00F64310"/>
    <w:rsid w:val="00F676BF"/>
    <w:rsid w:val="00F67C26"/>
    <w:rsid w:val="00F80459"/>
    <w:rsid w:val="00F85103"/>
    <w:rsid w:val="00F864F5"/>
    <w:rsid w:val="00F97519"/>
    <w:rsid w:val="00FA03C8"/>
    <w:rsid w:val="00FA3C8C"/>
    <w:rsid w:val="00FE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F60E9"/>
  <w15:chartTrackingRefBased/>
  <w15:docId w15:val="{76F732B4-19AF-489C-9E91-8A7CD16D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26C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6C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6C57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26C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6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C5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F5D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DB7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13740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9935ED"/>
    <w:rPr>
      <w:i/>
      <w:iCs/>
    </w:rPr>
  </w:style>
  <w:style w:type="paragraph" w:customStyle="1" w:styleId="nova-e-listitem">
    <w:name w:val="nova-e-list__item"/>
    <w:basedOn w:val="Normal"/>
    <w:rsid w:val="009F2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styleId="Hyperlink">
    <w:name w:val="Hyperlink"/>
    <w:basedOn w:val="DefaultParagraphFont"/>
    <w:uiPriority w:val="99"/>
    <w:semiHidden/>
    <w:unhideWhenUsed/>
    <w:rsid w:val="009F2A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5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926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1371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7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386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96421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03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3406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2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5009">
                      <w:marLeft w:val="-38"/>
                      <w:marRight w:val="-3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84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62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657917">
                                  <w:marLeft w:val="-38"/>
                                  <w:marRight w:val="-3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844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701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65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191719">
                                  <w:marLeft w:val="-38"/>
                                  <w:marRight w:val="-3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20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99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113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4394">
                      <w:marLeft w:val="-38"/>
                      <w:marRight w:val="-3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0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908529">
                              <w:marLeft w:val="-38"/>
                              <w:marRight w:val="-3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34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5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128662">
                                      <w:marLeft w:val="-38"/>
                                      <w:marRight w:val="-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38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99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367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983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102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081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3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1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9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4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7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717F1-30A1-47C9-8FC1-E59AE34A4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Luísa Coderniz Picanço</dc:creator>
  <cp:keywords/>
  <dc:description/>
  <cp:lastModifiedBy>Ana Luísa Coderniz Picanço</cp:lastModifiedBy>
  <cp:revision>6</cp:revision>
  <dcterms:created xsi:type="dcterms:W3CDTF">2020-09-23T17:59:00Z</dcterms:created>
  <dcterms:modified xsi:type="dcterms:W3CDTF">2020-09-24T17:56:00Z</dcterms:modified>
</cp:coreProperties>
</file>