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4535" w14:textId="436DC6E6" w:rsidR="009D0BFD" w:rsidRPr="00D915E9" w:rsidRDefault="009D0BFD" w:rsidP="009D0BFD">
      <w:pPr>
        <w:spacing w:after="200" w:line="480" w:lineRule="auto"/>
        <w:jc w:val="both"/>
        <w:rPr>
          <w:rFonts w:cstheme="minorHAnsi"/>
        </w:rPr>
      </w:pPr>
      <w:r w:rsidRPr="00F75ECA">
        <w:rPr>
          <w:rFonts w:cstheme="minorHAnsi"/>
          <w:b/>
          <w:bCs/>
        </w:rPr>
        <w:t>Table</w:t>
      </w:r>
      <w:r>
        <w:rPr>
          <w:rFonts w:cstheme="minorHAnsi"/>
          <w:b/>
          <w:bCs/>
        </w:rPr>
        <w:t xml:space="preserve"> S</w:t>
      </w:r>
      <w:r w:rsidR="00E656AD">
        <w:rPr>
          <w:rFonts w:cstheme="minorHAnsi"/>
          <w:b/>
          <w:bCs/>
        </w:rPr>
        <w:t>4</w:t>
      </w:r>
      <w:r w:rsidRPr="00F75ECA">
        <w:rPr>
          <w:rFonts w:cstheme="minorHAnsi"/>
          <w:b/>
          <w:bCs/>
        </w:rPr>
        <w:t>.</w:t>
      </w:r>
      <w:r w:rsidRPr="00F75ECA">
        <w:rPr>
          <w:rFonts w:cstheme="minorHAnsi"/>
        </w:rPr>
        <w:t xml:space="preserve"> Table showing results of post-hoc </w:t>
      </w:r>
      <w:r w:rsidRPr="008F3EF9">
        <w:rPr>
          <w:rFonts w:cstheme="minorHAnsi"/>
        </w:rPr>
        <w:t xml:space="preserve">analyses following a significant effect of school type </w:t>
      </w:r>
      <w:r>
        <w:rPr>
          <w:rFonts w:cstheme="minorHAnsi"/>
        </w:rPr>
        <w:t>via a Kruskal-Wallis test</w:t>
      </w:r>
      <w:r w:rsidRPr="008F3EF9">
        <w:rPr>
          <w:rFonts w:cstheme="minorHAnsi"/>
        </w:rPr>
        <w:t xml:space="preserve">. For </w:t>
      </w:r>
      <w:r>
        <w:rPr>
          <w:rFonts w:cstheme="minorHAnsi"/>
        </w:rPr>
        <w:t>all variables</w:t>
      </w:r>
      <w:r w:rsidRPr="008F3EF9">
        <w:rPr>
          <w:rFonts w:cstheme="minorHAnsi"/>
        </w:rPr>
        <w:t xml:space="preserve">, </w:t>
      </w:r>
      <w:r w:rsidRPr="008F3EF9">
        <w:rPr>
          <w:rFonts w:cstheme="minorHAnsi"/>
          <w:i/>
          <w:iCs/>
        </w:rPr>
        <w:t>p</w:t>
      </w:r>
      <w:r w:rsidRPr="008F3EF9">
        <w:rPr>
          <w:rFonts w:cstheme="minorHAnsi"/>
        </w:rPr>
        <w:t xml:space="preserve"> values are the result of </w:t>
      </w:r>
      <w:r>
        <w:t>Dunn’s tests</w:t>
      </w:r>
      <w:r w:rsidRPr="008F3EF9">
        <w:rPr>
          <w:rFonts w:cstheme="minorHAnsi"/>
        </w:rPr>
        <w:t xml:space="preserve"> </w:t>
      </w:r>
      <w:r>
        <w:rPr>
          <w:rFonts w:cstheme="minorHAnsi"/>
        </w:rPr>
        <w:t>with</w:t>
      </w:r>
      <w:r w:rsidRPr="008F3EF9">
        <w:rPr>
          <w:rFonts w:cstheme="minorHAnsi"/>
        </w:rPr>
        <w:t xml:space="preserve"> Bonferroni correction.</w:t>
      </w:r>
      <w:r>
        <w:rPr>
          <w:rFonts w:cstheme="minorHAnsi"/>
        </w:rPr>
        <w:t xml:space="preserve"> </w:t>
      </w:r>
      <w:r w:rsidRPr="008F3EF9">
        <w:rPr>
          <w:rFonts w:cstheme="minorHAnsi"/>
        </w:rPr>
        <w:t xml:space="preserve">Significant </w:t>
      </w:r>
      <w:r w:rsidRPr="008F3EF9">
        <w:rPr>
          <w:rFonts w:cstheme="minorHAnsi"/>
          <w:i/>
          <w:iCs/>
        </w:rPr>
        <w:t>p</w:t>
      </w:r>
      <w:r w:rsidRPr="008F3EF9">
        <w:rPr>
          <w:rFonts w:cstheme="minorHAnsi"/>
        </w:rPr>
        <w:t xml:space="preserve"> values</w:t>
      </w:r>
      <w:r>
        <w:rPr>
          <w:rFonts w:cstheme="minorHAnsi"/>
        </w:rPr>
        <w:t xml:space="preserve"> (&lt; 0.05/2)</w:t>
      </w:r>
      <w:r w:rsidRPr="008F3EF9">
        <w:rPr>
          <w:rFonts w:cstheme="minorHAnsi"/>
        </w:rPr>
        <w:t xml:space="preserve"> are shown in bold. </w:t>
      </w:r>
      <w:r>
        <w:rPr>
          <w:rFonts w:cstheme="minorHAnsi"/>
        </w:rPr>
        <w:t xml:space="preserve">Private schools had </w:t>
      </w:r>
      <w:r w:rsidRPr="008F3EF9">
        <w:rPr>
          <w:rFonts w:cstheme="minorHAnsi"/>
        </w:rPr>
        <w:t xml:space="preserve">higher </w:t>
      </w:r>
      <w:r>
        <w:rPr>
          <w:rFonts w:cstheme="minorHAnsi"/>
        </w:rPr>
        <w:t>visible vegetation</w:t>
      </w:r>
      <w:r w:rsidRPr="008F3EF9">
        <w:rPr>
          <w:rFonts w:cstheme="minorHAnsi"/>
        </w:rPr>
        <w:t xml:space="preserve"> than </w:t>
      </w:r>
      <w:r>
        <w:rPr>
          <w:rFonts w:cstheme="minorHAnsi"/>
        </w:rPr>
        <w:t>state</w:t>
      </w:r>
      <w:r w:rsidRPr="008F3EF9">
        <w:rPr>
          <w:rFonts w:cstheme="minorHAnsi"/>
        </w:rPr>
        <w:t xml:space="preserve"> school</w:t>
      </w:r>
      <w:r>
        <w:rPr>
          <w:rFonts w:cstheme="minorHAnsi"/>
        </w:rPr>
        <w:t>s and academies, and higher standard deviation in DBH than state schools. There were no pairwise differences between school types for maximum DBH despite there being an overall difference between school types</w:t>
      </w:r>
      <w:r w:rsidRPr="008F3EF9">
        <w:rPr>
          <w:rFonts w:cstheme="minorHAnsi"/>
        </w:rPr>
        <w:t>.</w:t>
      </w:r>
    </w:p>
    <w:tbl>
      <w:tblPr>
        <w:tblStyle w:val="TableGrid"/>
        <w:tblpPr w:leftFromText="180" w:rightFromText="180" w:vertAnchor="page" w:horzAnchor="margin" w:tblpY="5014"/>
        <w:tblW w:w="0" w:type="auto"/>
        <w:tblLook w:val="04A0" w:firstRow="1" w:lastRow="0" w:firstColumn="1" w:lastColumn="0" w:noHBand="0" w:noVBand="1"/>
      </w:tblPr>
      <w:tblGrid>
        <w:gridCol w:w="3256"/>
        <w:gridCol w:w="1842"/>
      </w:tblGrid>
      <w:tr w:rsidR="009D0BFD" w14:paraId="325B5C65" w14:textId="77777777" w:rsidTr="00450D38">
        <w:tc>
          <w:tcPr>
            <w:tcW w:w="3256" w:type="dxa"/>
          </w:tcPr>
          <w:p w14:paraId="7C34DDAE" w14:textId="77777777" w:rsidR="009D0BFD" w:rsidRPr="00786143" w:rsidRDefault="009D0BFD" w:rsidP="00450D38">
            <w:pPr>
              <w:rPr>
                <w:b/>
                <w:bCs/>
                <w:sz w:val="22"/>
                <w:szCs w:val="22"/>
              </w:rPr>
            </w:pPr>
            <w:r>
              <w:rPr>
                <w:b/>
                <w:bCs/>
                <w:sz w:val="22"/>
                <w:szCs w:val="22"/>
              </w:rPr>
              <w:t>Pairwise comparison</w:t>
            </w:r>
          </w:p>
        </w:tc>
        <w:tc>
          <w:tcPr>
            <w:tcW w:w="1842" w:type="dxa"/>
          </w:tcPr>
          <w:p w14:paraId="13294C28" w14:textId="77777777" w:rsidR="009D0BFD" w:rsidRPr="00786143" w:rsidRDefault="009D0BFD" w:rsidP="00450D38">
            <w:pPr>
              <w:rPr>
                <w:b/>
                <w:bCs/>
                <w:sz w:val="22"/>
                <w:szCs w:val="22"/>
              </w:rPr>
            </w:pPr>
            <w:r w:rsidRPr="00786143">
              <w:rPr>
                <w:b/>
                <w:bCs/>
                <w:sz w:val="22"/>
                <w:szCs w:val="22"/>
              </w:rPr>
              <w:t xml:space="preserve">Adjusted </w:t>
            </w:r>
            <w:r w:rsidRPr="00786143">
              <w:rPr>
                <w:b/>
                <w:bCs/>
                <w:i/>
                <w:iCs/>
                <w:sz w:val="22"/>
                <w:szCs w:val="22"/>
              </w:rPr>
              <w:t>p</w:t>
            </w:r>
            <w:r w:rsidRPr="00786143">
              <w:rPr>
                <w:b/>
                <w:bCs/>
                <w:sz w:val="22"/>
                <w:szCs w:val="22"/>
              </w:rPr>
              <w:t xml:space="preserve"> value</w:t>
            </w:r>
          </w:p>
        </w:tc>
      </w:tr>
      <w:tr w:rsidR="009D0BFD" w14:paraId="3A69B174" w14:textId="77777777" w:rsidTr="00450D38">
        <w:tc>
          <w:tcPr>
            <w:tcW w:w="5098" w:type="dxa"/>
            <w:gridSpan w:val="2"/>
            <w:shd w:val="clear" w:color="auto" w:fill="E7E6E6" w:themeFill="background2"/>
          </w:tcPr>
          <w:p w14:paraId="75F45B91" w14:textId="77777777" w:rsidR="009D0BFD" w:rsidRPr="00786143" w:rsidRDefault="009D0BFD" w:rsidP="00450D38">
            <w:pPr>
              <w:rPr>
                <w:b/>
                <w:bCs/>
                <w:i/>
                <w:iCs/>
                <w:sz w:val="22"/>
                <w:szCs w:val="22"/>
              </w:rPr>
            </w:pPr>
            <w:r>
              <w:rPr>
                <w:b/>
                <w:bCs/>
                <w:i/>
                <w:iCs/>
                <w:sz w:val="22"/>
                <w:szCs w:val="22"/>
              </w:rPr>
              <w:t>Visible vegetation</w:t>
            </w:r>
          </w:p>
        </w:tc>
      </w:tr>
      <w:tr w:rsidR="009D0BFD" w14:paraId="4B813CC8" w14:textId="77777777" w:rsidTr="00450D38">
        <w:tc>
          <w:tcPr>
            <w:tcW w:w="3256" w:type="dxa"/>
          </w:tcPr>
          <w:p w14:paraId="03C978A6" w14:textId="77777777" w:rsidR="009D0BFD" w:rsidRPr="00786143" w:rsidRDefault="009D0BFD" w:rsidP="00450D38">
            <w:pPr>
              <w:rPr>
                <w:sz w:val="22"/>
                <w:szCs w:val="22"/>
              </w:rPr>
            </w:pPr>
            <w:r w:rsidRPr="00786143">
              <w:rPr>
                <w:sz w:val="22"/>
                <w:szCs w:val="22"/>
              </w:rPr>
              <w:t>State—Academy</w:t>
            </w:r>
          </w:p>
        </w:tc>
        <w:tc>
          <w:tcPr>
            <w:tcW w:w="1842" w:type="dxa"/>
          </w:tcPr>
          <w:p w14:paraId="6326330C" w14:textId="77777777" w:rsidR="009D0BFD" w:rsidRPr="00786143" w:rsidRDefault="009D0BFD" w:rsidP="00450D38">
            <w:pPr>
              <w:rPr>
                <w:sz w:val="22"/>
                <w:szCs w:val="22"/>
              </w:rPr>
            </w:pPr>
            <w:r>
              <w:rPr>
                <w:sz w:val="22"/>
                <w:szCs w:val="22"/>
              </w:rPr>
              <w:t>1</w:t>
            </w:r>
          </w:p>
        </w:tc>
      </w:tr>
      <w:tr w:rsidR="009D0BFD" w14:paraId="0E0D1FC6" w14:textId="77777777" w:rsidTr="00450D38">
        <w:tc>
          <w:tcPr>
            <w:tcW w:w="3256" w:type="dxa"/>
          </w:tcPr>
          <w:p w14:paraId="3805B44D" w14:textId="77777777" w:rsidR="009D0BFD" w:rsidRPr="00786143" w:rsidRDefault="009D0BFD" w:rsidP="00450D38">
            <w:pPr>
              <w:rPr>
                <w:sz w:val="22"/>
                <w:szCs w:val="22"/>
              </w:rPr>
            </w:pPr>
            <w:r w:rsidRPr="00786143">
              <w:rPr>
                <w:sz w:val="22"/>
                <w:szCs w:val="22"/>
              </w:rPr>
              <w:t>State</w:t>
            </w:r>
            <w:r w:rsidRPr="00786143">
              <w:rPr>
                <w:sz w:val="22"/>
                <w:szCs w:val="22"/>
              </w:rPr>
              <w:softHyphen/>
              <w:t>—Private</w:t>
            </w:r>
          </w:p>
        </w:tc>
        <w:tc>
          <w:tcPr>
            <w:tcW w:w="1842" w:type="dxa"/>
          </w:tcPr>
          <w:p w14:paraId="4DE2BA2D" w14:textId="77777777" w:rsidR="009D0BFD" w:rsidRPr="000F1235" w:rsidRDefault="009D0BFD" w:rsidP="00450D38">
            <w:pPr>
              <w:rPr>
                <w:b/>
                <w:bCs/>
                <w:sz w:val="22"/>
                <w:szCs w:val="22"/>
              </w:rPr>
            </w:pPr>
            <w:r>
              <w:rPr>
                <w:b/>
                <w:bCs/>
                <w:sz w:val="22"/>
                <w:szCs w:val="22"/>
              </w:rPr>
              <w:t>&lt;0.0001</w:t>
            </w:r>
          </w:p>
        </w:tc>
      </w:tr>
      <w:tr w:rsidR="009D0BFD" w14:paraId="2085025B" w14:textId="77777777" w:rsidTr="00450D38">
        <w:tc>
          <w:tcPr>
            <w:tcW w:w="3256" w:type="dxa"/>
          </w:tcPr>
          <w:p w14:paraId="2888B716" w14:textId="77777777" w:rsidR="009D0BFD" w:rsidRPr="00786143" w:rsidRDefault="009D0BFD" w:rsidP="00450D38">
            <w:pPr>
              <w:rPr>
                <w:sz w:val="22"/>
                <w:szCs w:val="22"/>
              </w:rPr>
            </w:pPr>
            <w:r w:rsidRPr="00786143">
              <w:rPr>
                <w:sz w:val="22"/>
                <w:szCs w:val="22"/>
              </w:rPr>
              <w:t>Private—Academy</w:t>
            </w:r>
          </w:p>
        </w:tc>
        <w:tc>
          <w:tcPr>
            <w:tcW w:w="1842" w:type="dxa"/>
          </w:tcPr>
          <w:p w14:paraId="1FE49DC3" w14:textId="77777777" w:rsidR="009D0BFD" w:rsidRPr="000F3802" w:rsidRDefault="009D0BFD" w:rsidP="00450D38">
            <w:pPr>
              <w:rPr>
                <w:b/>
                <w:bCs/>
                <w:sz w:val="22"/>
                <w:szCs w:val="22"/>
              </w:rPr>
            </w:pPr>
            <w:r>
              <w:rPr>
                <w:b/>
                <w:bCs/>
                <w:sz w:val="22"/>
                <w:szCs w:val="22"/>
              </w:rPr>
              <w:t>&lt;0.0001</w:t>
            </w:r>
          </w:p>
        </w:tc>
      </w:tr>
      <w:tr w:rsidR="009D0BFD" w14:paraId="17A0EF73" w14:textId="77777777" w:rsidTr="00450D38">
        <w:tc>
          <w:tcPr>
            <w:tcW w:w="5098" w:type="dxa"/>
            <w:gridSpan w:val="2"/>
            <w:shd w:val="clear" w:color="auto" w:fill="E7E6E6" w:themeFill="background2"/>
          </w:tcPr>
          <w:p w14:paraId="29B81F99" w14:textId="77777777" w:rsidR="009D0BFD" w:rsidRPr="00786143" w:rsidRDefault="009D0BFD" w:rsidP="00450D38">
            <w:pPr>
              <w:rPr>
                <w:b/>
                <w:bCs/>
                <w:i/>
                <w:iCs/>
                <w:sz w:val="22"/>
                <w:szCs w:val="22"/>
              </w:rPr>
            </w:pPr>
            <w:r>
              <w:rPr>
                <w:b/>
                <w:bCs/>
                <w:i/>
                <w:iCs/>
                <w:sz w:val="22"/>
                <w:szCs w:val="22"/>
              </w:rPr>
              <w:t>Standard deviation in DBH</w:t>
            </w:r>
          </w:p>
        </w:tc>
      </w:tr>
      <w:tr w:rsidR="009D0BFD" w14:paraId="202A06B7" w14:textId="77777777" w:rsidTr="00450D38">
        <w:tc>
          <w:tcPr>
            <w:tcW w:w="3256" w:type="dxa"/>
          </w:tcPr>
          <w:p w14:paraId="140ED177" w14:textId="77777777" w:rsidR="009D0BFD" w:rsidRPr="00786143" w:rsidRDefault="009D0BFD" w:rsidP="00450D38">
            <w:pPr>
              <w:rPr>
                <w:sz w:val="22"/>
                <w:szCs w:val="22"/>
              </w:rPr>
            </w:pPr>
            <w:r w:rsidRPr="00786143">
              <w:rPr>
                <w:sz w:val="22"/>
                <w:szCs w:val="22"/>
              </w:rPr>
              <w:t>State—Academy</w:t>
            </w:r>
          </w:p>
        </w:tc>
        <w:tc>
          <w:tcPr>
            <w:tcW w:w="1842" w:type="dxa"/>
          </w:tcPr>
          <w:p w14:paraId="17868F09" w14:textId="77777777" w:rsidR="009D0BFD" w:rsidRPr="000F3802" w:rsidRDefault="009D0BFD" w:rsidP="00450D38">
            <w:pPr>
              <w:rPr>
                <w:sz w:val="22"/>
                <w:szCs w:val="22"/>
              </w:rPr>
            </w:pPr>
            <w:r>
              <w:rPr>
                <w:sz w:val="22"/>
                <w:szCs w:val="22"/>
              </w:rPr>
              <w:t>0.8651</w:t>
            </w:r>
          </w:p>
        </w:tc>
      </w:tr>
      <w:tr w:rsidR="009D0BFD" w14:paraId="37F29530" w14:textId="77777777" w:rsidTr="00450D38">
        <w:tc>
          <w:tcPr>
            <w:tcW w:w="3256" w:type="dxa"/>
          </w:tcPr>
          <w:p w14:paraId="07506809" w14:textId="77777777" w:rsidR="009D0BFD" w:rsidRPr="00786143" w:rsidRDefault="009D0BFD" w:rsidP="00450D38">
            <w:pPr>
              <w:rPr>
                <w:sz w:val="22"/>
                <w:szCs w:val="22"/>
              </w:rPr>
            </w:pPr>
            <w:r w:rsidRPr="00786143">
              <w:rPr>
                <w:sz w:val="22"/>
                <w:szCs w:val="22"/>
              </w:rPr>
              <w:t>State</w:t>
            </w:r>
            <w:r w:rsidRPr="00786143">
              <w:rPr>
                <w:sz w:val="22"/>
                <w:szCs w:val="22"/>
              </w:rPr>
              <w:softHyphen/>
              <w:t>—Private</w:t>
            </w:r>
          </w:p>
        </w:tc>
        <w:tc>
          <w:tcPr>
            <w:tcW w:w="1842" w:type="dxa"/>
          </w:tcPr>
          <w:p w14:paraId="32B3D4AC" w14:textId="77777777" w:rsidR="009D0BFD" w:rsidRPr="002B1889" w:rsidRDefault="009D0BFD" w:rsidP="00450D38">
            <w:pPr>
              <w:rPr>
                <w:b/>
                <w:bCs/>
                <w:sz w:val="22"/>
                <w:szCs w:val="22"/>
              </w:rPr>
            </w:pPr>
            <w:r>
              <w:rPr>
                <w:b/>
                <w:bCs/>
                <w:sz w:val="22"/>
                <w:szCs w:val="22"/>
              </w:rPr>
              <w:t>0.0183</w:t>
            </w:r>
          </w:p>
        </w:tc>
      </w:tr>
      <w:tr w:rsidR="009D0BFD" w14:paraId="387D0057" w14:textId="77777777" w:rsidTr="00450D38">
        <w:tc>
          <w:tcPr>
            <w:tcW w:w="3256" w:type="dxa"/>
          </w:tcPr>
          <w:p w14:paraId="70522FF2" w14:textId="77777777" w:rsidR="009D0BFD" w:rsidRPr="00786143" w:rsidRDefault="009D0BFD" w:rsidP="00450D38">
            <w:pPr>
              <w:rPr>
                <w:sz w:val="22"/>
                <w:szCs w:val="22"/>
              </w:rPr>
            </w:pPr>
            <w:r w:rsidRPr="00786143">
              <w:rPr>
                <w:sz w:val="22"/>
                <w:szCs w:val="22"/>
              </w:rPr>
              <w:t>Private—Academy</w:t>
            </w:r>
          </w:p>
        </w:tc>
        <w:tc>
          <w:tcPr>
            <w:tcW w:w="1842" w:type="dxa"/>
          </w:tcPr>
          <w:p w14:paraId="1C064B21" w14:textId="77777777" w:rsidR="009D0BFD" w:rsidRPr="000F3802" w:rsidRDefault="009D0BFD" w:rsidP="00450D38">
            <w:pPr>
              <w:rPr>
                <w:sz w:val="22"/>
                <w:szCs w:val="22"/>
              </w:rPr>
            </w:pPr>
            <w:r>
              <w:rPr>
                <w:sz w:val="22"/>
                <w:szCs w:val="22"/>
              </w:rPr>
              <w:t>0.0849</w:t>
            </w:r>
          </w:p>
        </w:tc>
      </w:tr>
      <w:tr w:rsidR="009D0BFD" w14:paraId="6AAAA8A2" w14:textId="77777777" w:rsidTr="00450D38">
        <w:tc>
          <w:tcPr>
            <w:tcW w:w="5098" w:type="dxa"/>
            <w:gridSpan w:val="2"/>
            <w:shd w:val="clear" w:color="auto" w:fill="E7E6E6" w:themeFill="background2"/>
          </w:tcPr>
          <w:p w14:paraId="2E82CACB" w14:textId="77777777" w:rsidR="009D0BFD" w:rsidRPr="000F3802" w:rsidRDefault="009D0BFD" w:rsidP="00450D38">
            <w:pPr>
              <w:rPr>
                <w:b/>
                <w:bCs/>
                <w:i/>
                <w:iCs/>
                <w:sz w:val="22"/>
                <w:szCs w:val="22"/>
              </w:rPr>
            </w:pPr>
            <w:r w:rsidRPr="000F3802">
              <w:rPr>
                <w:b/>
                <w:bCs/>
                <w:i/>
                <w:iCs/>
                <w:sz w:val="22"/>
                <w:szCs w:val="22"/>
              </w:rPr>
              <w:t>Maximum DBH</w:t>
            </w:r>
          </w:p>
        </w:tc>
      </w:tr>
      <w:tr w:rsidR="009D0BFD" w14:paraId="153E145F" w14:textId="77777777" w:rsidTr="00450D38">
        <w:tc>
          <w:tcPr>
            <w:tcW w:w="3256" w:type="dxa"/>
          </w:tcPr>
          <w:p w14:paraId="3014355B" w14:textId="77777777" w:rsidR="009D0BFD" w:rsidRPr="00786143" w:rsidRDefault="009D0BFD" w:rsidP="00450D38">
            <w:pPr>
              <w:rPr>
                <w:sz w:val="22"/>
                <w:szCs w:val="22"/>
              </w:rPr>
            </w:pPr>
            <w:r w:rsidRPr="00786143">
              <w:rPr>
                <w:sz w:val="22"/>
                <w:szCs w:val="22"/>
              </w:rPr>
              <w:t>State—Academy</w:t>
            </w:r>
          </w:p>
        </w:tc>
        <w:tc>
          <w:tcPr>
            <w:tcW w:w="1842" w:type="dxa"/>
          </w:tcPr>
          <w:p w14:paraId="124FAA1F" w14:textId="77777777" w:rsidR="009D0BFD" w:rsidRPr="000F3802" w:rsidRDefault="009D0BFD" w:rsidP="00450D38">
            <w:pPr>
              <w:rPr>
                <w:sz w:val="22"/>
                <w:szCs w:val="22"/>
              </w:rPr>
            </w:pPr>
            <w:r>
              <w:rPr>
                <w:sz w:val="22"/>
                <w:szCs w:val="22"/>
              </w:rPr>
              <w:t>1</w:t>
            </w:r>
          </w:p>
        </w:tc>
      </w:tr>
      <w:tr w:rsidR="009D0BFD" w14:paraId="12B7C80F" w14:textId="77777777" w:rsidTr="00450D38">
        <w:tc>
          <w:tcPr>
            <w:tcW w:w="3256" w:type="dxa"/>
          </w:tcPr>
          <w:p w14:paraId="09A04154" w14:textId="77777777" w:rsidR="009D0BFD" w:rsidRPr="00786143" w:rsidRDefault="009D0BFD" w:rsidP="00450D38">
            <w:pPr>
              <w:rPr>
                <w:sz w:val="22"/>
                <w:szCs w:val="22"/>
              </w:rPr>
            </w:pPr>
            <w:r w:rsidRPr="00786143">
              <w:rPr>
                <w:sz w:val="22"/>
                <w:szCs w:val="22"/>
              </w:rPr>
              <w:t>State</w:t>
            </w:r>
            <w:r w:rsidRPr="00786143">
              <w:rPr>
                <w:sz w:val="22"/>
                <w:szCs w:val="22"/>
              </w:rPr>
              <w:softHyphen/>
              <w:t>—Private</w:t>
            </w:r>
          </w:p>
        </w:tc>
        <w:tc>
          <w:tcPr>
            <w:tcW w:w="1842" w:type="dxa"/>
          </w:tcPr>
          <w:p w14:paraId="63F6EB8F" w14:textId="77777777" w:rsidR="009D0BFD" w:rsidRPr="000F3802" w:rsidRDefault="009D0BFD" w:rsidP="00450D38">
            <w:pPr>
              <w:rPr>
                <w:sz w:val="22"/>
                <w:szCs w:val="22"/>
              </w:rPr>
            </w:pPr>
            <w:r>
              <w:rPr>
                <w:sz w:val="22"/>
                <w:szCs w:val="22"/>
              </w:rPr>
              <w:t>0.0439</w:t>
            </w:r>
          </w:p>
        </w:tc>
      </w:tr>
      <w:tr w:rsidR="009D0BFD" w14:paraId="56EA6793" w14:textId="77777777" w:rsidTr="00450D38">
        <w:tc>
          <w:tcPr>
            <w:tcW w:w="3256" w:type="dxa"/>
          </w:tcPr>
          <w:p w14:paraId="2F82ABA3" w14:textId="77777777" w:rsidR="009D0BFD" w:rsidRPr="00786143" w:rsidRDefault="009D0BFD" w:rsidP="00450D38">
            <w:pPr>
              <w:rPr>
                <w:sz w:val="22"/>
                <w:szCs w:val="22"/>
              </w:rPr>
            </w:pPr>
            <w:r w:rsidRPr="00786143">
              <w:rPr>
                <w:sz w:val="22"/>
                <w:szCs w:val="22"/>
              </w:rPr>
              <w:t>Private—Academy</w:t>
            </w:r>
          </w:p>
        </w:tc>
        <w:tc>
          <w:tcPr>
            <w:tcW w:w="1842" w:type="dxa"/>
          </w:tcPr>
          <w:p w14:paraId="42FF4AEE" w14:textId="77777777" w:rsidR="009D0BFD" w:rsidRPr="000F3802" w:rsidRDefault="009D0BFD" w:rsidP="00450D38">
            <w:pPr>
              <w:rPr>
                <w:sz w:val="22"/>
                <w:szCs w:val="22"/>
              </w:rPr>
            </w:pPr>
            <w:r>
              <w:rPr>
                <w:sz w:val="22"/>
                <w:szCs w:val="22"/>
              </w:rPr>
              <w:t>0.0252</w:t>
            </w:r>
          </w:p>
        </w:tc>
      </w:tr>
    </w:tbl>
    <w:p w14:paraId="6A3520CA" w14:textId="77777777" w:rsidR="00CD794E" w:rsidRDefault="00CD794E"/>
    <w:sectPr w:rsidR="00CD794E" w:rsidSect="008F3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FD"/>
    <w:rsid w:val="00981F22"/>
    <w:rsid w:val="009D0BFD"/>
    <w:rsid w:val="00CD794E"/>
    <w:rsid w:val="00E65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114F78"/>
  <w15:chartTrackingRefBased/>
  <w15:docId w15:val="{4765B06E-BDD8-C340-8CE3-CF7E9C3E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Howlett</dc:creator>
  <cp:keywords/>
  <dc:description/>
  <cp:lastModifiedBy>Kate Howlett</cp:lastModifiedBy>
  <cp:revision>3</cp:revision>
  <dcterms:created xsi:type="dcterms:W3CDTF">2023-02-23T16:37:00Z</dcterms:created>
  <dcterms:modified xsi:type="dcterms:W3CDTF">2023-03-03T13:37:00Z</dcterms:modified>
</cp:coreProperties>
</file>