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BB" w:rsidRPr="007879BB" w:rsidRDefault="007879BB" w:rsidP="007879BB">
      <w:pPr>
        <w:suppressAutoHyphens w:val="0"/>
        <w:rPr>
          <w:sz w:val="22"/>
          <w:szCs w:val="22"/>
        </w:rPr>
      </w:pPr>
      <w:r w:rsidRPr="007879BB">
        <w:rPr>
          <w:rFonts w:eastAsiaTheme="minorHAnsi"/>
        </w:rPr>
        <w:t>Figure 2 (</w:t>
      </w:r>
      <w:r w:rsidR="00AF7DF3" w:rsidRPr="00AF7DF3">
        <w:rPr>
          <w:rFonts w:eastAsiaTheme="minorHAnsi"/>
          <w:b/>
          <w:i/>
        </w:rPr>
        <w:t>supplemental online</w:t>
      </w:r>
      <w:r w:rsidRPr="007879BB">
        <w:rPr>
          <w:rFonts w:eastAsiaTheme="minorHAnsi"/>
        </w:rPr>
        <w:t>):</w:t>
      </w:r>
      <w:r w:rsidRPr="007879BB">
        <w:rPr>
          <w:rFonts w:eastAsiaTheme="minorHAnsi"/>
        </w:rPr>
        <w:tab/>
        <w:t>Public health (PH) perspectives on falling life expectancy</w:t>
      </w:r>
      <w:r w:rsidR="00D76512">
        <w:rPr>
          <w:rFonts w:eastAsiaTheme="minorHAnsi"/>
        </w:rPr>
        <w:t>,</w:t>
      </w:r>
      <w:r w:rsidRPr="007879BB">
        <w:rPr>
          <w:rFonts w:eastAsiaTheme="minorHAnsi"/>
        </w:rPr>
        <w:t xml:space="preserve"> </w:t>
      </w:r>
      <w:r w:rsidR="00F2627C">
        <w:rPr>
          <w:rFonts w:eastAsiaTheme="minorHAnsi"/>
        </w:rPr>
        <w:t>with solutions</w:t>
      </w:r>
      <w:r w:rsidRPr="007879BB">
        <w:rPr>
          <w:rFonts w:eastAsiaTheme="minorHAnsi"/>
        </w:rPr>
        <w:t xml:space="preserve"> </w:t>
      </w:r>
    </w:p>
    <w:tbl>
      <w:tblPr>
        <w:tblStyle w:val="TableGrid1"/>
        <w:tblW w:w="0" w:type="auto"/>
        <w:tblLook w:val="04A0"/>
      </w:tblPr>
      <w:tblGrid>
        <w:gridCol w:w="9067"/>
        <w:gridCol w:w="4006"/>
      </w:tblGrid>
      <w:tr w:rsidR="007879BB" w:rsidRPr="007879BB" w:rsidTr="005C1C86">
        <w:tc>
          <w:tcPr>
            <w:tcW w:w="9067" w:type="dxa"/>
          </w:tcPr>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sidRPr="007879BB">
              <w:t xml:space="preserve">Population data, life course perspective, </w:t>
            </w:r>
            <w:proofErr w:type="spellStart"/>
            <w:r w:rsidRPr="007879BB">
              <w:t>transdiagnostic</w:t>
            </w:r>
            <w:proofErr w:type="spellEnd"/>
            <w:r w:rsidRPr="007879BB">
              <w:t>, plastic risk &amp; protective factors, intera</w:t>
            </w:r>
            <w:r w:rsidRPr="007879BB">
              <w:t>c</w:t>
            </w:r>
            <w:r w:rsidRPr="007879BB">
              <w:t>tions of biological, social, economic and other societal factors for e</w:t>
            </w:r>
            <w:r w:rsidRPr="007879BB">
              <w:t>x</w:t>
            </w:r>
            <w:r w:rsidRPr="007879BB">
              <w:t xml:space="preserve">ample discrimination (based on race, </w:t>
            </w:r>
            <w:r w:rsidR="00D76512">
              <w:t xml:space="preserve">gender, </w:t>
            </w:r>
            <w:r w:rsidRPr="007879BB">
              <w:t>sexuality etc.), place-based (urban, rural, intermediate)</w:t>
            </w:r>
          </w:p>
        </w:tc>
        <w:tc>
          <w:tcPr>
            <w:tcW w:w="3883" w:type="dxa"/>
          </w:tcPr>
          <w:p w:rsidR="007879BB" w:rsidRPr="007879BB" w:rsidRDefault="007879BB" w:rsidP="00D765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sidRPr="007879BB">
              <w:t xml:space="preserve">PH </w:t>
            </w:r>
            <w:r w:rsidRPr="007879BB">
              <w:rPr>
                <w:b/>
              </w:rPr>
              <w:t>solutions</w:t>
            </w:r>
            <w:r w:rsidRPr="007879BB">
              <w:t xml:space="preserve"> –invisibl</w:t>
            </w:r>
            <w:r w:rsidR="00D76512">
              <w:t xml:space="preserve">e (sanitation), often hard won e.g. victories over Big Tobacco: </w:t>
            </w:r>
            <w:proofErr w:type="spellStart"/>
            <w:r w:rsidRPr="007879BB">
              <w:t>Gallea</w:t>
            </w:r>
            <w:proofErr w:type="spellEnd"/>
            <w:r w:rsidRPr="007879BB">
              <w:t xml:space="preserve"> Chapter 48, 2018</w:t>
            </w:r>
            <w:r w:rsidR="00D76512">
              <w:t>.</w:t>
            </w:r>
          </w:p>
        </w:tc>
      </w:tr>
      <w:tr w:rsidR="007879BB" w:rsidRPr="007879BB" w:rsidTr="005C1C86">
        <w:tc>
          <w:tcPr>
            <w:tcW w:w="9067" w:type="dxa"/>
          </w:tcPr>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sidRPr="007879BB">
              <w:rPr>
                <w:noProof/>
                <w:lang w:val="en-US"/>
              </w:rPr>
              <w:drawing>
                <wp:inline distT="0" distB="0" distL="0" distR="0">
                  <wp:extent cx="5486400" cy="3200400"/>
                  <wp:effectExtent l="0" t="0" r="38100" b="0"/>
                  <wp:docPr id="194" name="Diagram 1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p>
          <w:p w:rsidR="007879BB" w:rsidRPr="007879BB" w:rsidRDefault="00C7499E"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sidRPr="00C7499E">
              <w:rPr>
                <w:noProof/>
                <w:lang w:eastAsia="en-GB"/>
              </w:rPr>
              <w:pict>
                <v:shapetype id="_x0000_t202" coordsize="21600,21600" o:spt="202" path="m,l,21600r21600,l21600,xe">
                  <v:stroke joinstyle="miter"/>
                  <v:path gradientshapeok="t" o:connecttype="rect"/>
                </v:shapetype>
                <v:shape id="Text Box 2" o:spid="_x0000_s1027" type="#_x0000_t202" style="position:absolute;margin-left:-.15pt;margin-top:3.8pt;width:350pt;height:110.6pt;z-index:2516992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">
                  <v:textbox style="mso-fit-shape-to-text:t">
                    <w:txbxContent>
                      <w:p w:rsidR="007879BB" w:rsidRPr="00E74472" w:rsidRDefault="00F2627C" w:rsidP="007879BB">
                        <w:pPr>
                          <w:rPr>
                            <w:rFonts w:ascii="Arial" w:hAnsi="Arial" w:cs="Arial"/>
                            <w:sz w:val="20"/>
                          </w:rPr>
                        </w:pPr>
                        <w:r>
                          <w:rPr>
                            <w:rFonts w:ascii="Arial" w:hAnsi="Arial" w:cs="Arial"/>
                            <w:sz w:val="20"/>
                          </w:rPr>
                          <w:t xml:space="preserve">Sources: </w:t>
                        </w:r>
                        <w:r w:rsidR="007879BB" w:rsidRPr="00E74472">
                          <w:rPr>
                            <w:rFonts w:ascii="Arial" w:hAnsi="Arial" w:cs="Arial"/>
                            <w:sz w:val="20"/>
                          </w:rPr>
                          <w:t xml:space="preserve">1. NHS England </w:t>
                        </w:r>
                        <w:r>
                          <w:rPr>
                            <w:rFonts w:ascii="Arial" w:hAnsi="Arial" w:cs="Arial"/>
                            <w:sz w:val="20"/>
                          </w:rPr>
                          <w:t xml:space="preserve">inequalities </w:t>
                        </w:r>
                        <w:r w:rsidR="007879BB" w:rsidRPr="00E74472">
                          <w:rPr>
                            <w:rFonts w:ascii="Arial" w:hAnsi="Arial" w:cs="Arial"/>
                            <w:sz w:val="20"/>
                          </w:rPr>
                          <w:t xml:space="preserve">definition from Barnard-Kelly KD, </w:t>
                        </w:r>
                        <w:proofErr w:type="spellStart"/>
                        <w:r w:rsidR="007879BB" w:rsidRPr="00E74472">
                          <w:rPr>
                            <w:rFonts w:ascii="Arial" w:hAnsi="Arial" w:cs="Arial"/>
                            <w:sz w:val="20"/>
                          </w:rPr>
                          <w:t>Cherñavvsky</w:t>
                        </w:r>
                        <w:proofErr w:type="spellEnd"/>
                        <w:r w:rsidR="007879BB" w:rsidRPr="00E74472">
                          <w:rPr>
                            <w:rFonts w:ascii="Arial" w:hAnsi="Arial" w:cs="Arial"/>
                            <w:sz w:val="20"/>
                          </w:rPr>
                          <w:t xml:space="preserve"> D.</w:t>
                        </w:r>
                        <w:r w:rsidR="007879BB" w:rsidRPr="00E74472">
                          <w:rPr>
                            <w:rFonts w:ascii="Arial" w:hAnsi="Arial" w:cs="Arial"/>
                            <w:b/>
                            <w:sz w:val="20"/>
                          </w:rPr>
                          <w:t xml:space="preserve"> </w:t>
                        </w:r>
                        <w:r w:rsidR="007879BB" w:rsidRPr="00E74472">
                          <w:rPr>
                            <w:rFonts w:ascii="Arial" w:hAnsi="Arial" w:cs="Arial"/>
                            <w:sz w:val="20"/>
                          </w:rPr>
                          <w:t xml:space="preserve">(2020); 2. </w:t>
                        </w:r>
                        <w:proofErr w:type="gramStart"/>
                        <w:r w:rsidR="007879BB" w:rsidRPr="00E74472">
                          <w:rPr>
                            <w:rFonts w:ascii="Arial" w:hAnsi="Arial" w:cs="Arial"/>
                            <w:sz w:val="20"/>
                          </w:rPr>
                          <w:t>Singer M (2017); 3.</w:t>
                        </w:r>
                        <w:proofErr w:type="gramEnd"/>
                        <w:r w:rsidR="007879BB" w:rsidRPr="00E74472">
                          <w:rPr>
                            <w:rFonts w:ascii="Arial" w:hAnsi="Arial" w:cs="Arial"/>
                            <w:sz w:val="20"/>
                          </w:rPr>
                          <w:t xml:space="preserve"> </w:t>
                        </w:r>
                        <w:proofErr w:type="spellStart"/>
                        <w:r w:rsidR="007879BB" w:rsidRPr="00E74472">
                          <w:rPr>
                            <w:rFonts w:ascii="Arial" w:hAnsi="Arial" w:cs="Arial"/>
                            <w:sz w:val="20"/>
                          </w:rPr>
                          <w:t>Baciu</w:t>
                        </w:r>
                        <w:proofErr w:type="spellEnd"/>
                        <w:r w:rsidR="007879BB" w:rsidRPr="00E74472">
                          <w:rPr>
                            <w:rFonts w:ascii="Arial" w:hAnsi="Arial" w:cs="Arial"/>
                            <w:sz w:val="20"/>
                          </w:rPr>
                          <w:t xml:space="preserve">, </w:t>
                        </w:r>
                        <w:proofErr w:type="spellStart"/>
                        <w:r w:rsidR="007879BB" w:rsidRPr="00E74472">
                          <w:rPr>
                            <w:rFonts w:ascii="Arial" w:hAnsi="Arial" w:cs="Arial"/>
                            <w:sz w:val="20"/>
                          </w:rPr>
                          <w:t>Negussie</w:t>
                        </w:r>
                        <w:proofErr w:type="spellEnd"/>
                        <w:r w:rsidR="007879BB" w:rsidRPr="00E74472">
                          <w:rPr>
                            <w:rFonts w:ascii="Arial" w:hAnsi="Arial" w:cs="Arial"/>
                            <w:sz w:val="20"/>
                          </w:rPr>
                          <w:t xml:space="preserve"> (2017)</w:t>
                        </w:r>
                      </w:p>
                    </w:txbxContent>
                  </v:textbox>
                  <w10:wrap type="square"/>
                </v:shape>
              </w:pict>
            </w:r>
          </w:p>
        </w:tc>
        <w:tc>
          <w:tcPr>
            <w:tcW w:w="3883" w:type="dxa"/>
          </w:tcPr>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sidRPr="007879BB">
              <w:rPr>
                <w:u w:val="single"/>
              </w:rPr>
              <w:t>Applied to public mental health</w:t>
            </w:r>
            <w:r w:rsidRPr="007879BB">
              <w:t>:</w:t>
            </w:r>
          </w:p>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rPr>
                <w:rFonts w:ascii="Arial" w:hAnsi="Arial" w:cs="Arial"/>
                <w:sz w:val="20"/>
              </w:rPr>
            </w:pPr>
            <w:proofErr w:type="spellStart"/>
            <w:r w:rsidRPr="007879BB">
              <w:rPr>
                <w:rFonts w:ascii="Arial" w:eastAsia="Calibri" w:hAnsi="Arial" w:cs="Arial"/>
                <w:sz w:val="20"/>
              </w:rPr>
              <w:t>Galea</w:t>
            </w:r>
            <w:proofErr w:type="spellEnd"/>
            <w:r w:rsidRPr="007879BB">
              <w:rPr>
                <w:rFonts w:ascii="Arial" w:eastAsia="Calibri" w:hAnsi="Arial" w:cs="Arial"/>
                <w:sz w:val="20"/>
              </w:rPr>
              <w:t xml:space="preserve"> (2018) urges </w:t>
            </w:r>
            <w:r w:rsidRPr="007879BB">
              <w:rPr>
                <w:rFonts w:ascii="Arial" w:hAnsi="Arial" w:cs="Arial"/>
                <w:sz w:val="20"/>
              </w:rPr>
              <w:t>PH</w:t>
            </w:r>
            <w:r w:rsidRPr="007879BB">
              <w:rPr>
                <w:rFonts w:ascii="Arial" w:eastAsia="Calibri" w:hAnsi="Arial" w:cs="Arial"/>
                <w:sz w:val="20"/>
              </w:rPr>
              <w:t xml:space="preserve"> colleagues to fo</w:t>
            </w:r>
            <w:r w:rsidRPr="007879BB">
              <w:rPr>
                <w:rFonts w:ascii="Arial" w:eastAsia="Calibri" w:hAnsi="Arial" w:cs="Arial"/>
                <w:sz w:val="20"/>
              </w:rPr>
              <w:t>l</w:t>
            </w:r>
            <w:r w:rsidRPr="007879BB">
              <w:rPr>
                <w:rFonts w:ascii="Arial" w:eastAsia="Calibri" w:hAnsi="Arial" w:cs="Arial"/>
                <w:sz w:val="20"/>
              </w:rPr>
              <w:t>low a “scholarship of consequence”, pla</w:t>
            </w:r>
            <w:r w:rsidRPr="007879BB">
              <w:rPr>
                <w:rFonts w:ascii="Arial" w:eastAsia="Calibri" w:hAnsi="Arial" w:cs="Arial"/>
                <w:sz w:val="20"/>
              </w:rPr>
              <w:t>c</w:t>
            </w:r>
            <w:r w:rsidRPr="007879BB">
              <w:rPr>
                <w:rFonts w:ascii="Arial" w:eastAsia="Calibri" w:hAnsi="Arial" w:cs="Arial"/>
                <w:sz w:val="20"/>
              </w:rPr>
              <w:t xml:space="preserve">ing their work at the centre of the public good that is Health. </w:t>
            </w:r>
            <w:r w:rsidRPr="007879BB">
              <w:rPr>
                <w:rFonts w:ascii="Arial" w:hAnsi="Arial" w:cs="Arial"/>
                <w:sz w:val="20"/>
              </w:rPr>
              <w:t xml:space="preserve">(It) </w:t>
            </w:r>
            <w:r w:rsidR="00D76512">
              <w:rPr>
                <w:rFonts w:ascii="Arial" w:hAnsi="Arial" w:cs="Arial"/>
                <w:sz w:val="20"/>
              </w:rPr>
              <w:t>“</w:t>
            </w:r>
            <w:r w:rsidR="00D76512">
              <w:rPr>
                <w:rFonts w:ascii="Arial" w:eastAsia="Calibri" w:hAnsi="Arial" w:cs="Arial"/>
                <w:sz w:val="20"/>
              </w:rPr>
              <w:t xml:space="preserve">gets </w:t>
            </w:r>
            <w:r w:rsidRPr="007879BB">
              <w:rPr>
                <w:rFonts w:ascii="Arial" w:eastAsia="Calibri" w:hAnsi="Arial" w:cs="Arial"/>
                <w:sz w:val="20"/>
              </w:rPr>
              <w:t>messier (as public health intrudes into) fields such as economics and socio</w:t>
            </w:r>
            <w:r w:rsidRPr="007879BB">
              <w:rPr>
                <w:rFonts w:ascii="Arial" w:eastAsia="Calibri" w:hAnsi="Arial" w:cs="Arial"/>
                <w:sz w:val="20"/>
              </w:rPr>
              <w:t>l</w:t>
            </w:r>
            <w:r w:rsidRPr="007879BB">
              <w:rPr>
                <w:rFonts w:ascii="Arial" w:eastAsia="Calibri" w:hAnsi="Arial" w:cs="Arial"/>
                <w:sz w:val="20"/>
              </w:rPr>
              <w:t>ogy”</w:t>
            </w:r>
          </w:p>
          <w:p w:rsidR="007879BB" w:rsidRPr="007879BB" w:rsidRDefault="007879BB" w:rsidP="007879BB">
            <w:pPr>
              <w:suppressAutoHyphens w:val="0"/>
              <w:jc w:val="both"/>
              <w:rPr>
                <w:rFonts w:ascii="Arial" w:hAnsi="Arial" w:cs="Arial"/>
                <w:sz w:val="20"/>
              </w:rPr>
            </w:pPr>
            <w:r w:rsidRPr="007879BB">
              <w:rPr>
                <w:rFonts w:ascii="Arial" w:eastAsia="Calibri" w:hAnsi="Arial" w:cs="Arial"/>
                <w:sz w:val="20"/>
              </w:rPr>
              <w:t>The</w:t>
            </w:r>
            <w:r w:rsidRPr="007879BB">
              <w:rPr>
                <w:rFonts w:ascii="Arial" w:eastAsia="Calibri" w:hAnsi="Arial" w:cs="Arial"/>
                <w:i/>
                <w:sz w:val="20"/>
              </w:rPr>
              <w:t xml:space="preserve"> World Health Organisation</w:t>
            </w:r>
            <w:r w:rsidRPr="007879BB">
              <w:rPr>
                <w:rFonts w:ascii="Arial" w:eastAsia="Calibri" w:hAnsi="Arial" w:cs="Arial"/>
                <w:sz w:val="20"/>
              </w:rPr>
              <w:t xml:space="preserve"> adv</w:t>
            </w:r>
            <w:r w:rsidRPr="007879BB">
              <w:rPr>
                <w:rFonts w:ascii="Arial" w:eastAsia="Calibri" w:hAnsi="Arial" w:cs="Arial"/>
                <w:sz w:val="20"/>
              </w:rPr>
              <w:t>o</w:t>
            </w:r>
            <w:r w:rsidRPr="007879BB">
              <w:rPr>
                <w:rFonts w:ascii="Arial" w:eastAsia="Calibri" w:hAnsi="Arial" w:cs="Arial"/>
                <w:sz w:val="20"/>
              </w:rPr>
              <w:t>cates three solutions to reverse the social d</w:t>
            </w:r>
            <w:r w:rsidRPr="007879BB">
              <w:rPr>
                <w:rFonts w:ascii="Arial" w:eastAsia="Calibri" w:hAnsi="Arial" w:cs="Arial"/>
                <w:sz w:val="20"/>
              </w:rPr>
              <w:t>e</w:t>
            </w:r>
            <w:r w:rsidRPr="007879BB">
              <w:rPr>
                <w:rFonts w:ascii="Arial" w:eastAsia="Calibri" w:hAnsi="Arial" w:cs="Arial"/>
                <w:sz w:val="20"/>
              </w:rPr>
              <w:t>terminants: social prote</w:t>
            </w:r>
            <w:r w:rsidRPr="007879BB">
              <w:rPr>
                <w:rFonts w:ascii="Arial" w:eastAsia="Calibri" w:hAnsi="Arial" w:cs="Arial"/>
                <w:sz w:val="20"/>
              </w:rPr>
              <w:t>c</w:t>
            </w:r>
            <w:r w:rsidRPr="007879BB">
              <w:rPr>
                <w:rFonts w:ascii="Arial" w:eastAsia="Calibri" w:hAnsi="Arial" w:cs="Arial"/>
                <w:sz w:val="20"/>
              </w:rPr>
              <w:t>tion, universal healthcare and health equity in all pol</w:t>
            </w:r>
            <w:r w:rsidRPr="007879BB">
              <w:rPr>
                <w:rFonts w:ascii="Arial" w:eastAsia="Calibri" w:hAnsi="Arial" w:cs="Arial"/>
                <w:sz w:val="20"/>
              </w:rPr>
              <w:t>i</w:t>
            </w:r>
            <w:r w:rsidRPr="007879BB">
              <w:rPr>
                <w:rFonts w:ascii="Arial" w:eastAsia="Calibri" w:hAnsi="Arial" w:cs="Arial"/>
                <w:sz w:val="20"/>
              </w:rPr>
              <w:t xml:space="preserve">cies (WHO, 2008). </w:t>
            </w:r>
          </w:p>
          <w:p w:rsidR="007879BB" w:rsidRPr="007879BB" w:rsidRDefault="00AF7DF3"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rPr>
                <w:rFonts w:ascii="Arial" w:hAnsi="Arial" w:cs="Arial"/>
                <w:sz w:val="20"/>
              </w:rPr>
            </w:pPr>
            <w:r>
              <w:rPr>
                <w:rFonts w:ascii="Arial" w:hAnsi="Arial" w:cs="Arial"/>
                <w:sz w:val="20"/>
              </w:rPr>
              <w:t>Principle of</w:t>
            </w:r>
            <w:r w:rsidR="007879BB" w:rsidRPr="007879BB">
              <w:rPr>
                <w:rFonts w:ascii="Arial" w:eastAsia="Calibri" w:hAnsi="Arial" w:cs="Arial"/>
                <w:sz w:val="20"/>
              </w:rPr>
              <w:t xml:space="preserve"> </w:t>
            </w:r>
            <w:r w:rsidR="007879BB" w:rsidRPr="007879BB">
              <w:rPr>
                <w:rFonts w:ascii="Arial" w:eastAsia="Calibri" w:hAnsi="Arial" w:cs="Arial"/>
                <w:b/>
                <w:sz w:val="20"/>
              </w:rPr>
              <w:t>proportionate universa</w:t>
            </w:r>
            <w:r w:rsidR="007879BB" w:rsidRPr="007879BB">
              <w:rPr>
                <w:rFonts w:ascii="Arial" w:eastAsia="Calibri" w:hAnsi="Arial" w:cs="Arial"/>
                <w:b/>
                <w:sz w:val="20"/>
              </w:rPr>
              <w:t>l</w:t>
            </w:r>
            <w:r w:rsidR="007879BB" w:rsidRPr="007879BB">
              <w:rPr>
                <w:rFonts w:ascii="Arial" w:eastAsia="Calibri" w:hAnsi="Arial" w:cs="Arial"/>
                <w:b/>
                <w:sz w:val="20"/>
              </w:rPr>
              <w:t>ism</w:t>
            </w:r>
            <w:r w:rsidR="007879BB" w:rsidRPr="007879BB">
              <w:rPr>
                <w:rFonts w:ascii="Arial" w:eastAsia="Calibri" w:hAnsi="Arial" w:cs="Arial"/>
                <w:sz w:val="20"/>
              </w:rPr>
              <w:t xml:space="preserve"> </w:t>
            </w:r>
            <w:r w:rsidR="007879BB" w:rsidRPr="007879BB">
              <w:rPr>
                <w:rFonts w:ascii="Arial" w:hAnsi="Arial" w:cs="Arial"/>
                <w:sz w:val="20"/>
              </w:rPr>
              <w:t xml:space="preserve">that is, </w:t>
            </w:r>
            <w:r w:rsidR="007879BB" w:rsidRPr="007879BB">
              <w:rPr>
                <w:rFonts w:ascii="Arial" w:eastAsia="Calibri" w:hAnsi="Arial" w:cs="Arial"/>
                <w:sz w:val="20"/>
              </w:rPr>
              <w:t>delivering health and other inte</w:t>
            </w:r>
            <w:r w:rsidR="007879BB" w:rsidRPr="007879BB">
              <w:rPr>
                <w:rFonts w:ascii="Arial" w:eastAsia="Calibri" w:hAnsi="Arial" w:cs="Arial"/>
                <w:sz w:val="20"/>
              </w:rPr>
              <w:t>r</w:t>
            </w:r>
            <w:r w:rsidR="007879BB" w:rsidRPr="007879BB">
              <w:rPr>
                <w:rFonts w:ascii="Arial" w:eastAsia="Calibri" w:hAnsi="Arial" w:cs="Arial"/>
                <w:sz w:val="20"/>
              </w:rPr>
              <w:t xml:space="preserve">ventions to the people </w:t>
            </w:r>
            <w:r w:rsidR="007879BB" w:rsidRPr="007879BB">
              <w:rPr>
                <w:rFonts w:ascii="Arial" w:hAnsi="Arial" w:cs="Arial"/>
                <w:sz w:val="20"/>
              </w:rPr>
              <w:t>whose need for them is greatest (Marmot, 2005).</w:t>
            </w:r>
          </w:p>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sidRPr="007879BB">
              <w:t>Getting it right for every child, Sco</w:t>
            </w:r>
            <w:r w:rsidRPr="007879BB">
              <w:t>t</w:t>
            </w:r>
            <w:r w:rsidRPr="007879BB">
              <w:t xml:space="preserve">land </w:t>
            </w:r>
            <w:hyperlink r:id="rId12" w:history="1">
              <w:r w:rsidRPr="007879BB">
                <w:rPr>
                  <w:color w:val="0563C1" w:themeColor="hyperlink"/>
                  <w:u w:val="single"/>
                </w:rPr>
                <w:t>https://www.gov.scot/publications/girfec-national-practice-model/</w:t>
              </w:r>
            </w:hyperlink>
            <w:r w:rsidRPr="007879BB">
              <w:t xml:space="preserve"> </w:t>
            </w:r>
          </w:p>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sidRPr="007879BB">
              <w:t>Bristol One City initiative to prevent or mitigate adverse childhood e</w:t>
            </w:r>
            <w:r w:rsidRPr="007879BB">
              <w:t>x</w:t>
            </w:r>
            <w:r w:rsidRPr="007879BB">
              <w:t xml:space="preserve">periences: </w:t>
            </w:r>
            <w:hyperlink r:id="rId13" w:history="1">
              <w:r w:rsidRPr="007879BB">
                <w:rPr>
                  <w:color w:val="0563C1" w:themeColor="hyperlink"/>
                  <w:u w:val="single"/>
                </w:rPr>
                <w:t>https://www.bristolonecity.com/health-and-wellbeing/adverse-childhood-experiences/</w:t>
              </w:r>
            </w:hyperlink>
            <w:r w:rsidRPr="007879BB">
              <w:t xml:space="preserve">  </w:t>
            </w:r>
          </w:p>
        </w:tc>
      </w:tr>
      <w:tr w:rsidR="007879BB" w:rsidRPr="007879BB" w:rsidTr="005C1C86">
        <w:tc>
          <w:tcPr>
            <w:tcW w:w="9067" w:type="dxa"/>
          </w:tcPr>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rPr>
                <w:rFonts w:ascii="Arial" w:hAnsi="Arial" w:cs="Arial"/>
                <w:sz w:val="20"/>
              </w:rPr>
            </w:pPr>
            <w:proofErr w:type="spellStart"/>
            <w:r w:rsidRPr="007879BB">
              <w:rPr>
                <w:rFonts w:ascii="Arial" w:hAnsi="Arial" w:cs="Arial"/>
                <w:sz w:val="20"/>
              </w:rPr>
              <w:lastRenderedPageBreak/>
              <w:t>Marteau</w:t>
            </w:r>
            <w:proofErr w:type="spellEnd"/>
            <w:r w:rsidRPr="007879BB">
              <w:rPr>
                <w:rFonts w:ascii="Arial" w:hAnsi="Arial" w:cs="Arial"/>
                <w:sz w:val="20"/>
              </w:rPr>
              <w:t xml:space="preserve"> et al (2021) </w:t>
            </w:r>
            <w:r w:rsidR="00C557A4">
              <w:rPr>
                <w:rFonts w:ascii="Arial" w:hAnsi="Arial" w:cs="Arial"/>
                <w:sz w:val="20"/>
              </w:rPr>
              <w:t>report</w:t>
            </w:r>
            <w:r w:rsidRPr="007879BB">
              <w:rPr>
                <w:rFonts w:ascii="Arial" w:hAnsi="Arial" w:cs="Arial"/>
                <w:sz w:val="20"/>
              </w:rPr>
              <w:t xml:space="preserve">ed </w:t>
            </w:r>
            <w:r w:rsidRPr="007879BB">
              <w:rPr>
                <w:rFonts w:ascii="Arial" w:hAnsi="Arial" w:cs="Arial"/>
                <w:b/>
                <w:sz w:val="20"/>
              </w:rPr>
              <w:t>falling life expectancy</w:t>
            </w:r>
            <w:r w:rsidRPr="007879BB">
              <w:rPr>
                <w:rFonts w:ascii="Arial" w:hAnsi="Arial" w:cs="Arial"/>
                <w:sz w:val="20"/>
              </w:rPr>
              <w:t xml:space="preserve"> in England 7 years between 2012 - 2018:</w:t>
            </w:r>
          </w:p>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rPr>
                <w:rFonts w:ascii="Arial" w:hAnsi="Arial" w:cs="Arial"/>
                <w:sz w:val="20"/>
                <w:szCs w:val="20"/>
              </w:rPr>
            </w:pPr>
            <w:r w:rsidRPr="007879BB">
              <w:rPr>
                <w:rFonts w:ascii="Arial" w:hAnsi="Arial" w:cs="Arial"/>
                <w:sz w:val="20"/>
                <w:szCs w:val="20"/>
              </w:rPr>
              <w:t>Male life expectancy gap between most and least deprived areas increased from 9.1 to 9.5 years</w:t>
            </w:r>
            <w:r w:rsidR="00AF7DF3">
              <w:rPr>
                <w:rFonts w:ascii="Arial" w:hAnsi="Arial" w:cs="Arial"/>
                <w:sz w:val="20"/>
                <w:szCs w:val="20"/>
              </w:rPr>
              <w:t>;</w:t>
            </w:r>
          </w:p>
          <w:p w:rsidR="007879BB" w:rsidRDefault="007879BB" w:rsidP="0004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rPr>
                <w:rFonts w:ascii="Arial" w:hAnsi="Arial" w:cs="Arial"/>
                <w:sz w:val="20"/>
                <w:szCs w:val="20"/>
              </w:rPr>
            </w:pPr>
            <w:proofErr w:type="gramStart"/>
            <w:r w:rsidRPr="007879BB">
              <w:rPr>
                <w:rFonts w:ascii="Arial" w:hAnsi="Arial" w:cs="Arial"/>
                <w:sz w:val="20"/>
                <w:szCs w:val="20"/>
              </w:rPr>
              <w:t>for</w:t>
            </w:r>
            <w:proofErr w:type="gramEnd"/>
            <w:r w:rsidRPr="007879BB">
              <w:rPr>
                <w:rFonts w:ascii="Arial" w:hAnsi="Arial" w:cs="Arial"/>
                <w:sz w:val="20"/>
                <w:szCs w:val="20"/>
              </w:rPr>
              <w:t xml:space="preserve"> women, the gap increased from 6.8 to 7.1 years</w:t>
            </w:r>
            <w:r w:rsidR="000443C8">
              <w:rPr>
                <w:rFonts w:ascii="Arial" w:hAnsi="Arial" w:cs="Arial"/>
                <w:sz w:val="20"/>
                <w:szCs w:val="20"/>
              </w:rPr>
              <w:t>; t</w:t>
            </w:r>
            <w:r w:rsidRPr="007879BB">
              <w:rPr>
                <w:rFonts w:ascii="Arial" w:hAnsi="Arial" w:cs="Arial"/>
                <w:sz w:val="20"/>
                <w:szCs w:val="20"/>
              </w:rPr>
              <w:t>ime spent in poor physical health increased over the same 7 year period in England: in men, from 15.8 to 16.2 years</w:t>
            </w:r>
            <w:r w:rsidR="00F2627C">
              <w:rPr>
                <w:rFonts w:ascii="Arial" w:hAnsi="Arial" w:cs="Arial"/>
                <w:sz w:val="20"/>
                <w:szCs w:val="20"/>
              </w:rPr>
              <w:t xml:space="preserve"> </w:t>
            </w:r>
            <w:r w:rsidRPr="007879BB">
              <w:rPr>
                <w:rFonts w:ascii="Arial" w:hAnsi="Arial" w:cs="Arial"/>
                <w:sz w:val="20"/>
                <w:szCs w:val="20"/>
              </w:rPr>
              <w:t>for women, from 18.7 to 19.4 years; h</w:t>
            </w:r>
            <w:r w:rsidR="000443C8">
              <w:rPr>
                <w:rFonts w:ascii="Arial" w:hAnsi="Arial" w:cs="Arial"/>
                <w:sz w:val="20"/>
                <w:szCs w:val="20"/>
              </w:rPr>
              <w:t>ealthy years losses were greatest</w:t>
            </w:r>
            <w:r w:rsidRPr="007879BB">
              <w:rPr>
                <w:rFonts w:ascii="Arial" w:hAnsi="Arial" w:cs="Arial"/>
                <w:sz w:val="20"/>
                <w:szCs w:val="20"/>
              </w:rPr>
              <w:t xml:space="preserve"> in most d</w:t>
            </w:r>
            <w:r w:rsidRPr="007879BB">
              <w:rPr>
                <w:rFonts w:ascii="Arial" w:hAnsi="Arial" w:cs="Arial"/>
                <w:sz w:val="20"/>
                <w:szCs w:val="20"/>
              </w:rPr>
              <w:t>e</w:t>
            </w:r>
            <w:r w:rsidRPr="007879BB">
              <w:rPr>
                <w:rFonts w:ascii="Arial" w:hAnsi="Arial" w:cs="Arial"/>
                <w:sz w:val="20"/>
                <w:szCs w:val="20"/>
              </w:rPr>
              <w:t xml:space="preserve">prived. </w:t>
            </w:r>
          </w:p>
          <w:p w:rsidR="000443C8" w:rsidRDefault="000443C8" w:rsidP="0004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rPr>
                <w:rFonts w:ascii="Arial" w:hAnsi="Arial" w:cs="Arial"/>
                <w:sz w:val="20"/>
                <w:szCs w:val="20"/>
              </w:rPr>
            </w:pPr>
            <w:r>
              <w:rPr>
                <w:rFonts w:ascii="Arial" w:hAnsi="Arial" w:cs="Arial"/>
                <w:sz w:val="20"/>
                <w:szCs w:val="20"/>
              </w:rPr>
              <w:t xml:space="preserve">Delgado et al (2021) define </w:t>
            </w:r>
            <w:r w:rsidRPr="000443C8">
              <w:rPr>
                <w:rFonts w:ascii="Arial" w:hAnsi="Arial" w:cs="Arial"/>
                <w:b/>
                <w:i/>
                <w:sz w:val="20"/>
                <w:szCs w:val="20"/>
              </w:rPr>
              <w:t>population health improvement</w:t>
            </w:r>
            <w:r>
              <w:rPr>
                <w:rFonts w:ascii="Arial" w:hAnsi="Arial" w:cs="Arial"/>
                <w:sz w:val="20"/>
                <w:szCs w:val="20"/>
              </w:rPr>
              <w:t xml:space="preserve"> as “concerted, intentional and sy</w:t>
            </w:r>
            <w:r>
              <w:rPr>
                <w:rFonts w:ascii="Arial" w:hAnsi="Arial" w:cs="Arial"/>
                <w:sz w:val="20"/>
                <w:szCs w:val="20"/>
              </w:rPr>
              <w:t>s</w:t>
            </w:r>
            <w:r>
              <w:rPr>
                <w:rFonts w:ascii="Arial" w:hAnsi="Arial" w:cs="Arial"/>
                <w:sz w:val="20"/>
                <w:szCs w:val="20"/>
              </w:rPr>
              <w:t>tematic efforts by those working together towards measurable improvement of health and wellbeing outcomes, co-produced with and for the population in their loca</w:t>
            </w:r>
            <w:r>
              <w:rPr>
                <w:rFonts w:ascii="Arial" w:hAnsi="Arial" w:cs="Arial"/>
                <w:sz w:val="20"/>
                <w:szCs w:val="20"/>
              </w:rPr>
              <w:t>l</w:t>
            </w:r>
            <w:r>
              <w:rPr>
                <w:rFonts w:ascii="Arial" w:hAnsi="Arial" w:cs="Arial"/>
                <w:sz w:val="20"/>
                <w:szCs w:val="20"/>
              </w:rPr>
              <w:t>ity”; their shared method is:</w:t>
            </w:r>
          </w:p>
          <w:p w:rsidR="000443C8" w:rsidRPr="007879BB" w:rsidRDefault="000443C8" w:rsidP="0004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Pr>
                <w:rFonts w:ascii="Arial" w:hAnsi="Arial" w:cs="Arial"/>
                <w:sz w:val="20"/>
                <w:szCs w:val="20"/>
              </w:rPr>
              <w:t>Assess (problems + systems) → Agree key aims → Act / Inte</w:t>
            </w:r>
            <w:r>
              <w:rPr>
                <w:rFonts w:ascii="Arial" w:hAnsi="Arial" w:cs="Arial"/>
                <w:sz w:val="20"/>
                <w:szCs w:val="20"/>
              </w:rPr>
              <w:t>r</w:t>
            </w:r>
            <w:r>
              <w:rPr>
                <w:rFonts w:ascii="Arial" w:hAnsi="Arial" w:cs="Arial"/>
                <w:sz w:val="20"/>
                <w:szCs w:val="20"/>
              </w:rPr>
              <w:t xml:space="preserve">vene → Measure → Acknowledge </w:t>
            </w:r>
          </w:p>
        </w:tc>
        <w:tc>
          <w:tcPr>
            <w:tcW w:w="3883" w:type="dxa"/>
          </w:tcPr>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sidRPr="007879BB">
              <w:t xml:space="preserve">Universal solutions: restore income lost during austerity years, improve housing and PH resources, </w:t>
            </w:r>
            <w:r w:rsidR="00F2627C">
              <w:t xml:space="preserve">invest in early years; </w:t>
            </w:r>
            <w:r w:rsidRPr="007879BB">
              <w:t>policies to red</w:t>
            </w:r>
            <w:r w:rsidR="00AF7DF3">
              <w:t>uce smoking, obesity, alc</w:t>
            </w:r>
            <w:r w:rsidR="00AF7DF3">
              <w:t>o</w:t>
            </w:r>
            <w:r w:rsidR="00AF7DF3">
              <w:t>hol misuse, addi</w:t>
            </w:r>
            <w:r w:rsidR="00AF7DF3">
              <w:t>c</w:t>
            </w:r>
            <w:r w:rsidR="00AF7DF3">
              <w:t>tion and other drivers of physical il</w:t>
            </w:r>
            <w:r w:rsidR="00AF7DF3">
              <w:t>l</w:t>
            </w:r>
            <w:r w:rsidR="00AF7DF3">
              <w:t>nesses and mental disorders</w:t>
            </w:r>
          </w:p>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pPr>
            <w:r w:rsidRPr="007879BB">
              <w:t>Selective: Deep End projects in pr</w:t>
            </w:r>
            <w:r w:rsidRPr="007879BB">
              <w:t>i</w:t>
            </w:r>
            <w:r w:rsidRPr="007879BB">
              <w:t xml:space="preserve">mary care </w:t>
            </w:r>
            <w:r w:rsidR="00F2627C">
              <w:t xml:space="preserve">to reverse Inverse Care Law </w:t>
            </w:r>
            <w:r w:rsidRPr="007879BB">
              <w:t>e.g. Du</w:t>
            </w:r>
            <w:r w:rsidRPr="007879BB">
              <w:t>b</w:t>
            </w:r>
            <w:r w:rsidRPr="007879BB">
              <w:t xml:space="preserve">lin: </w:t>
            </w:r>
            <w:proofErr w:type="spellStart"/>
            <w:r w:rsidRPr="007879BB">
              <w:t>Kiely</w:t>
            </w:r>
            <w:proofErr w:type="spellEnd"/>
            <w:r w:rsidRPr="007879BB">
              <w:t xml:space="preserve">, </w:t>
            </w:r>
            <w:proofErr w:type="spellStart"/>
            <w:r w:rsidRPr="007879BB">
              <w:t>Clyne</w:t>
            </w:r>
            <w:proofErr w:type="spellEnd"/>
            <w:r w:rsidRPr="007879BB">
              <w:t xml:space="preserve"> (2021)</w:t>
            </w:r>
          </w:p>
        </w:tc>
      </w:tr>
    </w:tbl>
    <w:p w:rsidR="007879BB" w:rsidRPr="007879BB" w:rsidRDefault="007879BB" w:rsidP="007879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djustRightInd w:val="0"/>
        <w:spacing w:before="100" w:after="100"/>
        <w:textAlignment w:val="auto"/>
        <w:rPr>
          <w:rFonts w:eastAsiaTheme="minorHAnsi"/>
        </w:rPr>
      </w:pPr>
    </w:p>
    <w:p w:rsidR="009C67ED" w:rsidRPr="00A73309" w:rsidRDefault="007879BB" w:rsidP="00A73309">
      <w:pPr>
        <w:suppressAutoHyphens w:val="0"/>
        <w:rPr>
          <w:sz w:val="22"/>
          <w:szCs w:val="22"/>
        </w:rPr>
      </w:pPr>
      <w:r>
        <w:rPr>
          <w:sz w:val="22"/>
          <w:szCs w:val="22"/>
        </w:rPr>
        <w:br w:type="page"/>
      </w:r>
      <w:r w:rsidR="009C67ED" w:rsidRPr="009C67ED">
        <w:lastRenderedPageBreak/>
        <w:t xml:space="preserve">Table </w:t>
      </w:r>
      <w:r w:rsidR="00745A64">
        <w:t xml:space="preserve">Two: </w:t>
      </w:r>
      <w:r w:rsidR="007D672B" w:rsidRPr="007D672B">
        <w:rPr>
          <w:b/>
          <w:i/>
        </w:rPr>
        <w:t>(supplemental online)</w:t>
      </w:r>
      <w:r w:rsidR="007D672B">
        <w:t xml:space="preserve"> </w:t>
      </w:r>
      <w:r w:rsidR="009C67ED" w:rsidRPr="009C67ED">
        <w:t xml:space="preserve">Understanding the effects of Four or More ACEs (Adverse Childhood Experiences): </w:t>
      </w:r>
      <w:r w:rsidR="0003095E">
        <w:t>data based on 14,661 young adults in education</w:t>
      </w:r>
      <w:r w:rsidR="009C67ED" w:rsidRPr="009C67ED">
        <w:t xml:space="preserve"> from Karen Hughes, Lancet Public Health, 2017 - The effect of multiple adverse childhood experiences on health: a systematic review and meta-analysis</w:t>
      </w:r>
    </w:p>
    <w:p w:rsidR="009C67ED" w:rsidRPr="009C67ED" w:rsidRDefault="009C67ED" w:rsidP="009C67ED"/>
    <w:tbl>
      <w:tblPr>
        <w:tblW w:w="14174" w:type="dxa"/>
        <w:tblCellMar>
          <w:left w:w="10" w:type="dxa"/>
          <w:right w:w="10" w:type="dxa"/>
        </w:tblCellMar>
        <w:tblLook w:val="0000"/>
      </w:tblPr>
      <w:tblGrid>
        <w:gridCol w:w="3243"/>
        <w:gridCol w:w="3244"/>
        <w:gridCol w:w="284"/>
        <w:gridCol w:w="3701"/>
        <w:gridCol w:w="3702"/>
      </w:tblGrid>
      <w:tr w:rsidR="009C67ED" w:rsidRPr="009C67ED" w:rsidTr="004132D5">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rPr>
                <w:bCs/>
              </w:rPr>
              <w:t>Physical inactivity</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rPr>
                <w:bCs/>
              </w:rPr>
              <w:t>1·25 (1·03–1·52)</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7ED" w:rsidRPr="009C67ED" w:rsidRDefault="009C67ED" w:rsidP="009C67ED"/>
        </w:tc>
        <w:tc>
          <w:tcPr>
            <w:tcW w:w="3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rPr>
                <w:bCs/>
              </w:rPr>
              <w:t>Anxiety</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rPr>
                <w:bCs/>
              </w:rPr>
              <w:t>3·70 (2·62–5·22)</w:t>
            </w:r>
          </w:p>
        </w:tc>
      </w:tr>
      <w:tr w:rsidR="009C67ED" w:rsidRPr="009C67ED" w:rsidTr="004132D5">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Overweight or obesity</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1·39 (1·13–1·71)</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7ED" w:rsidRPr="009C67ED" w:rsidRDefault="009C67ED" w:rsidP="009C67ED">
            <w:pPr>
              <w:rPr>
                <w:bCs/>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Low life satisfaction</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4·36 (3·72–5·10)</w:t>
            </w:r>
          </w:p>
        </w:tc>
      </w:tr>
      <w:tr w:rsidR="009C67ED" w:rsidRPr="009C67ED" w:rsidTr="004132D5">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Diabetes</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1·52 (1·23–1·89)</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7ED" w:rsidRPr="009C67ED" w:rsidRDefault="009C67ED" w:rsidP="009C67ED"/>
        </w:tc>
        <w:tc>
          <w:tcPr>
            <w:tcW w:w="3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Depression</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4·40 (3·54–5·46)</w:t>
            </w:r>
          </w:p>
        </w:tc>
      </w:tr>
      <w:tr w:rsidR="009C67ED" w:rsidRPr="009C67ED" w:rsidTr="004132D5">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Cardiovascular disease</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2·07 (1·66–2·59)</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7ED" w:rsidRPr="009C67ED" w:rsidRDefault="009C67ED" w:rsidP="009C67ED"/>
        </w:tc>
        <w:tc>
          <w:tcPr>
            <w:tcW w:w="3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Illicit drug use</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5·62 (4·46–7·07)</w:t>
            </w:r>
          </w:p>
        </w:tc>
      </w:tr>
      <w:tr w:rsidR="009C67ED" w:rsidRPr="009C67ED" w:rsidTr="004132D5">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Heavy alcohol use</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2·20 (1·74–2·78)</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7ED" w:rsidRPr="009C67ED" w:rsidRDefault="009C67ED" w:rsidP="009C67ED"/>
        </w:tc>
        <w:tc>
          <w:tcPr>
            <w:tcW w:w="3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Problematic alcohol use</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5·84 (3·99–8·56)</w:t>
            </w:r>
          </w:p>
        </w:tc>
      </w:tr>
      <w:tr w:rsidR="009C67ED" w:rsidRPr="009C67ED" w:rsidTr="004132D5">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Poor self-rated health</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2·24 (1·97–2·54)</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7ED" w:rsidRPr="009C67ED" w:rsidRDefault="009C67ED" w:rsidP="009C67ED"/>
        </w:tc>
        <w:tc>
          <w:tcPr>
            <w:tcW w:w="3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Violence victimisation</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7·51 (5·60–10·08)</w:t>
            </w:r>
          </w:p>
        </w:tc>
      </w:tr>
      <w:tr w:rsidR="009C67ED" w:rsidRPr="009C67ED" w:rsidTr="004132D5">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Cancer</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2·31 (1·82–2·95)</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7ED" w:rsidRPr="009C67ED" w:rsidRDefault="009C67ED" w:rsidP="009C67ED"/>
        </w:tc>
        <w:tc>
          <w:tcPr>
            <w:tcW w:w="3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Violence perpetration</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8·10 (5·87–11·18)</w:t>
            </w:r>
          </w:p>
        </w:tc>
      </w:tr>
      <w:tr w:rsidR="009C67ED" w:rsidRPr="009C67ED" w:rsidTr="004132D5">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Smoking</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2·82 (2·38–3·34)</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7ED" w:rsidRPr="009C67ED" w:rsidRDefault="009C67ED" w:rsidP="009C67ED"/>
        </w:tc>
        <w:tc>
          <w:tcPr>
            <w:tcW w:w="3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Problematic drug use</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10·22 (7·62–13·71)</w:t>
            </w:r>
          </w:p>
        </w:tc>
      </w:tr>
      <w:tr w:rsidR="009C67ED" w:rsidRPr="009C67ED" w:rsidTr="004132D5">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Respiratory disease</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3·05 (2·47–3·77)</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7ED" w:rsidRPr="009C67ED" w:rsidRDefault="009C67ED" w:rsidP="009C67ED"/>
        </w:tc>
        <w:tc>
          <w:tcPr>
            <w:tcW w:w="3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Suicide attempt</w:t>
            </w:r>
          </w:p>
        </w:tc>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7ED" w:rsidRPr="009C67ED" w:rsidRDefault="009C67ED" w:rsidP="009C67ED">
            <w:r w:rsidRPr="009C67ED">
              <w:t>30·14 (14·73–61·67)</w:t>
            </w:r>
          </w:p>
        </w:tc>
      </w:tr>
    </w:tbl>
    <w:p w:rsidR="009C67ED" w:rsidRPr="009C67ED" w:rsidRDefault="009C67ED" w:rsidP="009C67ED"/>
    <w:p w:rsidR="00975300" w:rsidRDefault="00975300">
      <w:pPr>
        <w:suppressAutoHyphens w:val="0"/>
      </w:pPr>
      <w:r>
        <w:br w:type="page"/>
      </w:r>
    </w:p>
    <w:p w:rsidR="009C67ED" w:rsidRPr="00975300" w:rsidRDefault="00933CE2" w:rsidP="00975300">
      <w:pPr>
        <w:pStyle w:val="Default"/>
        <w:rPr>
          <w:sz w:val="23"/>
          <w:szCs w:val="23"/>
        </w:rPr>
      </w:pPr>
      <w:r>
        <w:lastRenderedPageBreak/>
        <w:t>Table Three</w:t>
      </w:r>
      <w:r w:rsidR="00975300">
        <w:t xml:space="preserve">: </w:t>
      </w:r>
      <w:r w:rsidR="007D672B" w:rsidRPr="007D672B">
        <w:rPr>
          <w:b/>
        </w:rPr>
        <w:t>(supplemental</w:t>
      </w:r>
      <w:r w:rsidR="007D672B">
        <w:rPr>
          <w:b/>
        </w:rPr>
        <w:t xml:space="preserve"> online</w:t>
      </w:r>
      <w:r w:rsidR="007D672B" w:rsidRPr="007D672B">
        <w:rPr>
          <w:b/>
        </w:rPr>
        <w:t>)</w:t>
      </w:r>
      <w:r w:rsidR="007D672B">
        <w:t xml:space="preserve"> </w:t>
      </w:r>
      <w:r w:rsidR="00975300">
        <w:t xml:space="preserve">Kings Fund Recommendations from </w:t>
      </w:r>
      <w:r w:rsidR="007D672B">
        <w:t>“</w:t>
      </w:r>
      <w:r w:rsidR="00975300">
        <w:rPr>
          <w:sz w:val="23"/>
          <w:szCs w:val="23"/>
        </w:rPr>
        <w:t>Bringing together physical and mental health A new frontier for int</w:t>
      </w:r>
      <w:r w:rsidR="00975300">
        <w:rPr>
          <w:sz w:val="23"/>
          <w:szCs w:val="23"/>
        </w:rPr>
        <w:t>e</w:t>
      </w:r>
      <w:r w:rsidR="00975300">
        <w:rPr>
          <w:sz w:val="23"/>
          <w:szCs w:val="23"/>
        </w:rPr>
        <w:t>grated care</w:t>
      </w:r>
      <w:r w:rsidR="007D672B">
        <w:rPr>
          <w:sz w:val="23"/>
          <w:szCs w:val="23"/>
        </w:rPr>
        <w:t>”</w:t>
      </w:r>
      <w:r w:rsidR="00975300">
        <w:rPr>
          <w:sz w:val="23"/>
          <w:szCs w:val="23"/>
        </w:rPr>
        <w:t xml:space="preserve"> </w:t>
      </w:r>
    </w:p>
    <w:p w:rsidR="00E202E5" w:rsidRPr="007C0AF0" w:rsidRDefault="00975300" w:rsidP="007C0AF0">
      <w:r w:rsidRPr="00975300">
        <w:rPr>
          <w:noProof/>
          <w:lang w:val="en-US" w:eastAsia="en-US"/>
        </w:rPr>
        <w:drawing>
          <wp:inline distT="0" distB="0" distL="0" distR="0">
            <wp:extent cx="8939755" cy="42430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2676"/>
                    <a:stretch/>
                  </pic:blipFill>
                  <pic:spPr bwMode="auto">
                    <a:xfrm>
                      <a:off x="0" y="0"/>
                      <a:ext cx="8967422" cy="425620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sidR="009F1F3A">
        <w:t xml:space="preserve">Source: </w:t>
      </w:r>
      <w:hyperlink r:id="rId15" w:history="1">
        <w:r w:rsidR="009F1F3A" w:rsidRPr="00475AA6">
          <w:rPr>
            <w:rStyle w:val="Hyperlink"/>
            <w:rFonts w:ascii="Arial" w:hAnsi="Arial" w:cs="Arial"/>
            <w:sz w:val="22"/>
            <w:szCs w:val="22"/>
          </w:rPr>
          <w:t>https://www.kingsfund.org.uk/publications/physical-and-mental-health</w:t>
        </w:r>
      </w:hyperlink>
    </w:p>
    <w:sectPr w:rsidR="00E202E5" w:rsidRPr="007C0AF0" w:rsidSect="00C7499E">
      <w:pgSz w:w="16838" w:h="11906" w:orient="landscape"/>
      <w:pgMar w:top="1800" w:right="1440" w:bottom="18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8FD" w:rsidRDefault="005C58FD">
      <w:r>
        <w:separator/>
      </w:r>
    </w:p>
  </w:endnote>
  <w:endnote w:type="continuationSeparator" w:id="0">
    <w:p w:rsidR="005C58FD" w:rsidRDefault="005C5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8FD" w:rsidRDefault="005C58FD">
      <w:r>
        <w:rPr>
          <w:color w:val="000000"/>
        </w:rPr>
        <w:separator/>
      </w:r>
    </w:p>
  </w:footnote>
  <w:footnote w:type="continuationSeparator" w:id="0">
    <w:p w:rsidR="005C58FD" w:rsidRDefault="005C5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5E5D"/>
    <w:multiLevelType w:val="hybridMultilevel"/>
    <w:tmpl w:val="4B5ED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48284B"/>
    <w:multiLevelType w:val="hybridMultilevel"/>
    <w:tmpl w:val="0D68A3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6022F3"/>
    <w:rsid w:val="00005100"/>
    <w:rsid w:val="00026E87"/>
    <w:rsid w:val="0003095E"/>
    <w:rsid w:val="00040CFF"/>
    <w:rsid w:val="000443C8"/>
    <w:rsid w:val="00051C96"/>
    <w:rsid w:val="00056E45"/>
    <w:rsid w:val="000A5341"/>
    <w:rsid w:val="000D784A"/>
    <w:rsid w:val="001343BB"/>
    <w:rsid w:val="00153B88"/>
    <w:rsid w:val="00163102"/>
    <w:rsid w:val="00177208"/>
    <w:rsid w:val="001A2D42"/>
    <w:rsid w:val="001C54ED"/>
    <w:rsid w:val="002308F1"/>
    <w:rsid w:val="00237788"/>
    <w:rsid w:val="002C3464"/>
    <w:rsid w:val="00301BAE"/>
    <w:rsid w:val="00322A53"/>
    <w:rsid w:val="003356CC"/>
    <w:rsid w:val="00367723"/>
    <w:rsid w:val="00367AE7"/>
    <w:rsid w:val="00367E53"/>
    <w:rsid w:val="003940A5"/>
    <w:rsid w:val="003B339F"/>
    <w:rsid w:val="003B551B"/>
    <w:rsid w:val="003F074F"/>
    <w:rsid w:val="00401A8D"/>
    <w:rsid w:val="004065F0"/>
    <w:rsid w:val="004132D5"/>
    <w:rsid w:val="004166F8"/>
    <w:rsid w:val="004C308F"/>
    <w:rsid w:val="00512E6C"/>
    <w:rsid w:val="00593EEB"/>
    <w:rsid w:val="00595081"/>
    <w:rsid w:val="005A5D07"/>
    <w:rsid w:val="005B5B14"/>
    <w:rsid w:val="005C58FD"/>
    <w:rsid w:val="005E3DD2"/>
    <w:rsid w:val="006022F3"/>
    <w:rsid w:val="00603031"/>
    <w:rsid w:val="00630EB4"/>
    <w:rsid w:val="006422F6"/>
    <w:rsid w:val="00684D0C"/>
    <w:rsid w:val="00687CB4"/>
    <w:rsid w:val="00691229"/>
    <w:rsid w:val="006B556B"/>
    <w:rsid w:val="006B6069"/>
    <w:rsid w:val="006B7353"/>
    <w:rsid w:val="006F14AF"/>
    <w:rsid w:val="007229F3"/>
    <w:rsid w:val="00743BBD"/>
    <w:rsid w:val="00745A64"/>
    <w:rsid w:val="00751175"/>
    <w:rsid w:val="007879BB"/>
    <w:rsid w:val="00794719"/>
    <w:rsid w:val="007C0AF0"/>
    <w:rsid w:val="007D672B"/>
    <w:rsid w:val="00806F5D"/>
    <w:rsid w:val="008455CA"/>
    <w:rsid w:val="00845F0F"/>
    <w:rsid w:val="00854BC4"/>
    <w:rsid w:val="00860525"/>
    <w:rsid w:val="00890569"/>
    <w:rsid w:val="008A0C09"/>
    <w:rsid w:val="008E2C62"/>
    <w:rsid w:val="008E5CB7"/>
    <w:rsid w:val="009043B0"/>
    <w:rsid w:val="00915C60"/>
    <w:rsid w:val="00933CE2"/>
    <w:rsid w:val="00975300"/>
    <w:rsid w:val="009776E3"/>
    <w:rsid w:val="009A10FE"/>
    <w:rsid w:val="009C2FB3"/>
    <w:rsid w:val="009C67ED"/>
    <w:rsid w:val="009F1F3A"/>
    <w:rsid w:val="00A04A43"/>
    <w:rsid w:val="00A35153"/>
    <w:rsid w:val="00A55381"/>
    <w:rsid w:val="00A73309"/>
    <w:rsid w:val="00A808DD"/>
    <w:rsid w:val="00A824E2"/>
    <w:rsid w:val="00A83F12"/>
    <w:rsid w:val="00AF7DF3"/>
    <w:rsid w:val="00B07286"/>
    <w:rsid w:val="00B351CB"/>
    <w:rsid w:val="00B376AE"/>
    <w:rsid w:val="00BE01AD"/>
    <w:rsid w:val="00BE1E9D"/>
    <w:rsid w:val="00BE7C78"/>
    <w:rsid w:val="00C042C1"/>
    <w:rsid w:val="00C557A4"/>
    <w:rsid w:val="00C7499E"/>
    <w:rsid w:val="00C966B9"/>
    <w:rsid w:val="00CE52DC"/>
    <w:rsid w:val="00D040FD"/>
    <w:rsid w:val="00D33ECC"/>
    <w:rsid w:val="00D76512"/>
    <w:rsid w:val="00D94A20"/>
    <w:rsid w:val="00DA3F8D"/>
    <w:rsid w:val="00DD7EF6"/>
    <w:rsid w:val="00E202E5"/>
    <w:rsid w:val="00E7266C"/>
    <w:rsid w:val="00E77345"/>
    <w:rsid w:val="00E8124D"/>
    <w:rsid w:val="00F24D5B"/>
    <w:rsid w:val="00F2627C"/>
    <w:rsid w:val="00F51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99E"/>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C7499E"/>
    <w:rPr>
      <w:rFonts w:ascii="Tahoma" w:hAnsi="Tahoma" w:cs="Tahoma"/>
      <w:sz w:val="16"/>
      <w:szCs w:val="16"/>
    </w:rPr>
  </w:style>
  <w:style w:type="character" w:customStyle="1" w:styleId="BalloonTextChar">
    <w:name w:val="Balloon Text Char"/>
    <w:basedOn w:val="DefaultParagraphFont"/>
    <w:rsid w:val="00C7499E"/>
    <w:rPr>
      <w:rFonts w:ascii="Tahoma" w:hAnsi="Tahoma" w:cs="Tahoma"/>
      <w:sz w:val="16"/>
      <w:szCs w:val="16"/>
    </w:rPr>
  </w:style>
  <w:style w:type="paragraph" w:customStyle="1" w:styleId="Default">
    <w:name w:val="Default"/>
    <w:rsid w:val="00975300"/>
    <w:pPr>
      <w:autoSpaceDE w:val="0"/>
      <w:adjustRightInd w:val="0"/>
      <w:textAlignment w:val="auto"/>
    </w:pPr>
    <w:rPr>
      <w:rFonts w:ascii="Calibri" w:hAnsi="Calibri" w:cs="Calibri"/>
      <w:color w:val="000000"/>
      <w:sz w:val="24"/>
      <w:szCs w:val="24"/>
    </w:rPr>
  </w:style>
  <w:style w:type="table" w:styleId="TableGrid">
    <w:name w:val="Table Grid"/>
    <w:basedOn w:val="TableNormal"/>
    <w:uiPriority w:val="39"/>
    <w:rsid w:val="00BE7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9BB"/>
    <w:pPr>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1F3A"/>
    <w:rPr>
      <w:color w:val="1F4E79" w:themeColor="accent1" w:themeShade="80"/>
      <w:u w:val="single"/>
    </w:rPr>
  </w:style>
  <w:style w:type="paragraph" w:styleId="ListParagraph">
    <w:name w:val="List Paragraph"/>
    <w:basedOn w:val="Normal"/>
    <w:uiPriority w:val="34"/>
    <w:unhideWhenUsed/>
    <w:qFormat/>
    <w:rsid w:val="00367AE7"/>
    <w:pPr>
      <w:suppressAutoHyphens w:val="0"/>
      <w:autoSpaceDN/>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bristolonecity.com/health-and-wellbeing/adverse-childhood-experiences/"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gov.scot/publications/girfec-national-practice-mod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www.kingsfund.org.uk/publications/physical-and-mental-health"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58A4EF-CD71-40B7-8F18-375455A5DE3E}" type="doc">
      <dgm:prSet loTypeId="urn:microsoft.com/office/officeart/2005/8/layout/hProcess7#1" loCatId="list" qsTypeId="urn:microsoft.com/office/officeart/2005/8/quickstyle/simple1" qsCatId="simple" csTypeId="urn:microsoft.com/office/officeart/2005/8/colors/accent1_2" csCatId="accent1" phldr="1"/>
      <dgm:spPr/>
      <dgm:t>
        <a:bodyPr/>
        <a:lstStyle/>
        <a:p>
          <a:endParaRPr lang="en-US"/>
        </a:p>
      </dgm:t>
    </dgm:pt>
    <dgm:pt modelId="{F75D637F-694B-44A7-84F8-1D5DEE3592B9}">
      <dgm:prSet phldrT="[Text]"/>
      <dgm:spPr>
        <a:xfrm>
          <a:off x="415" y="528101"/>
          <a:ext cx="1786830" cy="214419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Health Inequalities 1</a:t>
          </a:r>
        </a:p>
      </dgm:t>
    </dgm:pt>
    <dgm:pt modelId="{59DEC670-7942-43D0-8B24-6A16CFC75C6E}" type="parTrans" cxnId="{897C4B08-FB61-428B-B5C3-5535021094C0}">
      <dgm:prSet/>
      <dgm:spPr/>
      <dgm:t>
        <a:bodyPr/>
        <a:lstStyle/>
        <a:p>
          <a:endParaRPr lang="en-US"/>
        </a:p>
      </dgm:t>
    </dgm:pt>
    <dgm:pt modelId="{77B66B2D-F1EF-4761-A395-998232013416}" type="sibTrans" cxnId="{897C4B08-FB61-428B-B5C3-5535021094C0}">
      <dgm:prSet/>
      <dgm:spPr/>
      <dgm:t>
        <a:bodyPr/>
        <a:lstStyle/>
        <a:p>
          <a:endParaRPr lang="en-US"/>
        </a:p>
      </dgm:t>
    </dgm:pt>
    <dgm:pt modelId="{CBDE1BCD-6596-484E-82A5-6C4F20E2998B}">
      <dgm:prSet phldrT="[Text]" custT="1"/>
      <dgm:spPr>
        <a:xfrm>
          <a:off x="357781" y="528101"/>
          <a:ext cx="1331188" cy="2144196"/>
        </a:xfrm>
        <a:noFill/>
        <a:ln w="12700" cap="flat" cmpd="sng" algn="ctr">
          <a:noFill/>
          <a:prstDash val="solid"/>
          <a:miter lim="800000"/>
        </a:ln>
        <a:effectLst/>
        <a:sp3d/>
      </dgm:spPr>
      <dgm:t>
        <a:bodyPr/>
        <a:lstStyle/>
        <a:p>
          <a:r>
            <a:rPr lang="en-GB" sz="1050" i="1">
              <a:solidFill>
                <a:sysClr val="window" lastClr="FFFFFF"/>
              </a:solidFill>
              <a:latin typeface="Calibri" panose="020F0502020204030204"/>
              <a:ea typeface="+mn-ea"/>
              <a:cs typeface="+mn-cs"/>
            </a:rPr>
            <a:t>"preventable unfair and unjust differences in health status that arise from uneven distribution of social, economic and economic conditions that determine risks of getting ill, ability to prevent sickness, opportunities to take action and access to treatments when ill health occurs"</a:t>
          </a:r>
          <a:endParaRPr lang="en-US" sz="1050">
            <a:solidFill>
              <a:sysClr val="window" lastClr="FFFFFF"/>
            </a:solidFill>
            <a:latin typeface="Calibri" panose="020F0502020204030204"/>
            <a:ea typeface="+mn-ea"/>
            <a:cs typeface="+mn-cs"/>
          </a:endParaRPr>
        </a:p>
      </dgm:t>
    </dgm:pt>
    <dgm:pt modelId="{6A387AAC-9477-4DE4-9BFA-ACD5538AC1D4}" type="parTrans" cxnId="{B8F13F34-80FA-4CB8-8FEB-E403995BB7DF}">
      <dgm:prSet/>
      <dgm:spPr/>
      <dgm:t>
        <a:bodyPr/>
        <a:lstStyle/>
        <a:p>
          <a:endParaRPr lang="en-US"/>
        </a:p>
      </dgm:t>
    </dgm:pt>
    <dgm:pt modelId="{8E868ED9-B000-481F-A29D-AC8A7E76BFEA}" type="sibTrans" cxnId="{B8F13F34-80FA-4CB8-8FEB-E403995BB7DF}">
      <dgm:prSet/>
      <dgm:spPr/>
      <dgm:t>
        <a:bodyPr/>
        <a:lstStyle/>
        <a:p>
          <a:endParaRPr lang="en-US"/>
        </a:p>
      </dgm:t>
    </dgm:pt>
    <dgm:pt modelId="{85650452-0EB7-4257-8EA9-4F142D05D2A3}">
      <dgm:prSet phldrT="[Text]"/>
      <dgm:spPr>
        <a:xfrm>
          <a:off x="1849784" y="528101"/>
          <a:ext cx="1786830" cy="214419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Syndemics 2</a:t>
          </a:r>
        </a:p>
      </dgm:t>
    </dgm:pt>
    <dgm:pt modelId="{E8FA50FB-AEA1-4E99-A07D-F14115E2D07A}" type="parTrans" cxnId="{153AEBD8-B886-449A-A943-66FD7BD1277C}">
      <dgm:prSet/>
      <dgm:spPr/>
      <dgm:t>
        <a:bodyPr/>
        <a:lstStyle/>
        <a:p>
          <a:endParaRPr lang="en-US"/>
        </a:p>
      </dgm:t>
    </dgm:pt>
    <dgm:pt modelId="{B62F45C0-8263-4D3C-931D-1603B98AE42B}" type="sibTrans" cxnId="{153AEBD8-B886-449A-A943-66FD7BD1277C}">
      <dgm:prSet/>
      <dgm:spPr/>
      <dgm:t>
        <a:bodyPr/>
        <a:lstStyle/>
        <a:p>
          <a:endParaRPr lang="en-US"/>
        </a:p>
      </dgm:t>
    </dgm:pt>
    <dgm:pt modelId="{21C8B3A9-4E0D-48F1-8A09-C2ED414A0A29}">
      <dgm:prSet phldrT="[Text]"/>
      <dgm:spPr>
        <a:xfrm>
          <a:off x="2207150" y="528101"/>
          <a:ext cx="1331188" cy="2144196"/>
        </a:xfrm>
        <a:noFill/>
        <a:ln w="12700" cap="flat" cmpd="sng" algn="ctr">
          <a:noFill/>
          <a:prstDash val="solid"/>
          <a:miter lim="800000"/>
        </a:ln>
        <a:effectLst/>
        <a:sp3d/>
      </dgm:spPr>
      <dgm:t>
        <a:bodyPr/>
        <a:lstStyle/>
        <a:p>
          <a:r>
            <a:rPr lang="en-US">
              <a:solidFill>
                <a:sysClr val="window" lastClr="FFFFFF"/>
              </a:solidFill>
              <a:latin typeface="Calibri" panose="020F0502020204030204"/>
              <a:ea typeface="+mn-ea"/>
              <a:cs typeface="+mn-cs"/>
            </a:rPr>
            <a:t>"</a:t>
          </a:r>
          <a:r>
            <a:rPr lang="en-GB" b="0" i="0">
              <a:solidFill>
                <a:sysClr val="window" lastClr="FFFFFF"/>
              </a:solidFill>
              <a:latin typeface="Calibri" panose="020F0502020204030204"/>
              <a:ea typeface="+mn-ea"/>
              <a:cs typeface="+mn-cs"/>
            </a:rPr>
            <a:t>The syndemics model of health focuses on the biosocial complex, which consists of interacting, co-present, or sequential diseases and the social and environmental factors that promote and enhance the negative effects of disease interaction" ... why certain diseases cluster</a:t>
          </a:r>
          <a:endParaRPr lang="en-US">
            <a:solidFill>
              <a:sysClr val="window" lastClr="FFFFFF"/>
            </a:solidFill>
            <a:latin typeface="Calibri" panose="020F0502020204030204"/>
            <a:ea typeface="+mn-ea"/>
            <a:cs typeface="+mn-cs"/>
          </a:endParaRPr>
        </a:p>
      </dgm:t>
    </dgm:pt>
    <dgm:pt modelId="{FD863306-3394-4134-B543-69F7A09F06D5}" type="parTrans" cxnId="{DDC5320F-2B49-4362-9AEE-BD0F0F8FA71D}">
      <dgm:prSet/>
      <dgm:spPr/>
      <dgm:t>
        <a:bodyPr/>
        <a:lstStyle/>
        <a:p>
          <a:endParaRPr lang="en-US"/>
        </a:p>
      </dgm:t>
    </dgm:pt>
    <dgm:pt modelId="{C1601F9B-CBCF-4BB9-88B3-D963136512CA}" type="sibTrans" cxnId="{DDC5320F-2B49-4362-9AEE-BD0F0F8FA71D}">
      <dgm:prSet/>
      <dgm:spPr/>
      <dgm:t>
        <a:bodyPr/>
        <a:lstStyle/>
        <a:p>
          <a:endParaRPr lang="en-US"/>
        </a:p>
      </dgm:t>
    </dgm:pt>
    <dgm:pt modelId="{9C5F9111-51CE-49A1-860C-5DE2D2AC3F92}">
      <dgm:prSet phldrT="[Text]"/>
      <dgm:spPr>
        <a:xfrm>
          <a:off x="3699154" y="528101"/>
          <a:ext cx="1786830" cy="214419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Health Inequity 3</a:t>
          </a:r>
        </a:p>
      </dgm:t>
    </dgm:pt>
    <dgm:pt modelId="{0CD334AA-0519-4D37-8929-D12F23338167}" type="parTrans" cxnId="{D8506455-3537-4BD8-8E34-18243F1CB69E}">
      <dgm:prSet/>
      <dgm:spPr/>
      <dgm:t>
        <a:bodyPr/>
        <a:lstStyle/>
        <a:p>
          <a:endParaRPr lang="en-US"/>
        </a:p>
      </dgm:t>
    </dgm:pt>
    <dgm:pt modelId="{76D3DB8D-A74D-4720-89E6-2C7F6273C8BE}" type="sibTrans" cxnId="{D8506455-3537-4BD8-8E34-18243F1CB69E}">
      <dgm:prSet/>
      <dgm:spPr/>
      <dgm:t>
        <a:bodyPr/>
        <a:lstStyle/>
        <a:p>
          <a:endParaRPr lang="en-US"/>
        </a:p>
      </dgm:t>
    </dgm:pt>
    <dgm:pt modelId="{29DB0F45-9262-4A5F-B979-8C80549C84C4}">
      <dgm:prSet phldrT="[Text]"/>
      <dgm:spPr>
        <a:xfrm>
          <a:off x="4056520" y="528101"/>
          <a:ext cx="1331188" cy="2144196"/>
        </a:xfrm>
        <a:noFill/>
        <a:ln w="12700" cap="flat" cmpd="sng" algn="ctr">
          <a:noFill/>
          <a:prstDash val="solid"/>
          <a:miter lim="800000"/>
        </a:ln>
        <a:effectLst/>
        <a:sp3d/>
      </dgm:spPr>
      <dgm:t>
        <a:bodyPr/>
        <a:lstStyle/>
        <a:p>
          <a:r>
            <a:rPr lang="en-US">
              <a:solidFill>
                <a:sysClr val="window" lastClr="FFFFFF"/>
              </a:solidFill>
              <a:latin typeface="Calibri" panose="020F0502020204030204"/>
              <a:ea typeface="+mn-ea"/>
              <a:cs typeface="+mn-cs"/>
            </a:rPr>
            <a:t>"avoidable differences in outcomes (e.g. multimorbidities, poor access to / quality of healthcare and lower life expectancy) due to bad governance or exclusion". Examples in clinical practice include the inverse care law (Julian Hart), clinicians' low expectations &amp; less treatments offered </a:t>
          </a:r>
        </a:p>
      </dgm:t>
    </dgm:pt>
    <dgm:pt modelId="{E4001816-8BEE-4A06-A20B-1293501F04EC}" type="parTrans" cxnId="{1726033F-B9C6-4909-BEF8-CB1E8B073DD0}">
      <dgm:prSet/>
      <dgm:spPr/>
      <dgm:t>
        <a:bodyPr/>
        <a:lstStyle/>
        <a:p>
          <a:endParaRPr lang="en-US"/>
        </a:p>
      </dgm:t>
    </dgm:pt>
    <dgm:pt modelId="{F6420542-CBF1-40CB-A616-C8D789F51714}" type="sibTrans" cxnId="{1726033F-B9C6-4909-BEF8-CB1E8B073DD0}">
      <dgm:prSet/>
      <dgm:spPr/>
      <dgm:t>
        <a:bodyPr/>
        <a:lstStyle/>
        <a:p>
          <a:endParaRPr lang="en-US"/>
        </a:p>
      </dgm:t>
    </dgm:pt>
    <dgm:pt modelId="{A870DE0D-F486-41C6-BAB9-63EC57AC009A}" type="pres">
      <dgm:prSet presAssocID="{5D58A4EF-CD71-40B7-8F18-375455A5DE3E}" presName="Name0" presStyleCnt="0">
        <dgm:presLayoutVars>
          <dgm:dir/>
          <dgm:animLvl val="lvl"/>
          <dgm:resizeHandles val="exact"/>
        </dgm:presLayoutVars>
      </dgm:prSet>
      <dgm:spPr/>
      <dgm:t>
        <a:bodyPr/>
        <a:lstStyle/>
        <a:p>
          <a:endParaRPr lang="en-US"/>
        </a:p>
      </dgm:t>
    </dgm:pt>
    <dgm:pt modelId="{8693A357-C4BF-4B44-9718-34637547302F}" type="pres">
      <dgm:prSet presAssocID="{F75D637F-694B-44A7-84F8-1D5DEE3592B9}" presName="compositeNode" presStyleCnt="0">
        <dgm:presLayoutVars>
          <dgm:bulletEnabled val="1"/>
        </dgm:presLayoutVars>
      </dgm:prSet>
      <dgm:spPr/>
    </dgm:pt>
    <dgm:pt modelId="{D1FD5778-DCC1-4F24-9BBA-6A2C463F3775}" type="pres">
      <dgm:prSet presAssocID="{F75D637F-694B-44A7-84F8-1D5DEE3592B9}" presName="bgRect" presStyleLbl="node1" presStyleIdx="0" presStyleCnt="3"/>
      <dgm:spPr>
        <a:prstGeom prst="roundRect">
          <a:avLst>
            <a:gd name="adj" fmla="val 5000"/>
          </a:avLst>
        </a:prstGeom>
      </dgm:spPr>
      <dgm:t>
        <a:bodyPr/>
        <a:lstStyle/>
        <a:p>
          <a:endParaRPr lang="en-US"/>
        </a:p>
      </dgm:t>
    </dgm:pt>
    <dgm:pt modelId="{92AC2396-E083-4F95-AF52-C0D89A1484F6}" type="pres">
      <dgm:prSet presAssocID="{F75D637F-694B-44A7-84F8-1D5DEE3592B9}" presName="parentNode" presStyleLbl="node1" presStyleIdx="0" presStyleCnt="3">
        <dgm:presLayoutVars>
          <dgm:chMax val="0"/>
          <dgm:bulletEnabled val="1"/>
        </dgm:presLayoutVars>
      </dgm:prSet>
      <dgm:spPr/>
      <dgm:t>
        <a:bodyPr/>
        <a:lstStyle/>
        <a:p>
          <a:endParaRPr lang="en-US"/>
        </a:p>
      </dgm:t>
    </dgm:pt>
    <dgm:pt modelId="{878D211F-1B01-4A70-A4B9-45E7A62235BF}" type="pres">
      <dgm:prSet presAssocID="{F75D637F-694B-44A7-84F8-1D5DEE3592B9}" presName="childNode" presStyleLbl="node1" presStyleIdx="0" presStyleCnt="3">
        <dgm:presLayoutVars>
          <dgm:bulletEnabled val="1"/>
        </dgm:presLayoutVars>
      </dgm:prSet>
      <dgm:spPr>
        <a:prstGeom prst="rect">
          <a:avLst/>
        </a:prstGeom>
      </dgm:spPr>
      <dgm:t>
        <a:bodyPr/>
        <a:lstStyle/>
        <a:p>
          <a:endParaRPr lang="en-US"/>
        </a:p>
      </dgm:t>
    </dgm:pt>
    <dgm:pt modelId="{530A0F96-755D-49CD-B09D-37D909121F09}" type="pres">
      <dgm:prSet presAssocID="{77B66B2D-F1EF-4761-A395-998232013416}" presName="hSp" presStyleCnt="0"/>
      <dgm:spPr/>
    </dgm:pt>
    <dgm:pt modelId="{099D6B56-FCFE-40C2-8EE0-C5BE90576BD6}" type="pres">
      <dgm:prSet presAssocID="{77B66B2D-F1EF-4761-A395-998232013416}" presName="vProcSp" presStyleCnt="0"/>
      <dgm:spPr/>
    </dgm:pt>
    <dgm:pt modelId="{DEB69E0F-8D52-457B-B9C1-2CBF874E3EB3}" type="pres">
      <dgm:prSet presAssocID="{77B66B2D-F1EF-4761-A395-998232013416}" presName="vSp1" presStyleCnt="0"/>
      <dgm:spPr/>
    </dgm:pt>
    <dgm:pt modelId="{EC5D8E64-F4F6-48F9-8474-30514B9CD644}" type="pres">
      <dgm:prSet presAssocID="{77B66B2D-F1EF-4761-A395-998232013416}" presName="simulatedConn" presStyleLbl="solidFgAcc1" presStyleIdx="0" presStyleCnt="2"/>
      <dgm:spPr>
        <a:xfrm rot="5400000">
          <a:off x="1701237" y="2231370"/>
          <a:ext cx="314962" cy="268024"/>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US"/>
        </a:p>
      </dgm:t>
    </dgm:pt>
    <dgm:pt modelId="{4ADAB813-95E1-45A8-B9E4-A63A1CA7D287}" type="pres">
      <dgm:prSet presAssocID="{77B66B2D-F1EF-4761-A395-998232013416}" presName="vSp2" presStyleCnt="0"/>
      <dgm:spPr/>
    </dgm:pt>
    <dgm:pt modelId="{D16EDD93-3DE3-492E-A2F8-51A98CA95019}" type="pres">
      <dgm:prSet presAssocID="{77B66B2D-F1EF-4761-A395-998232013416}" presName="sibTrans" presStyleCnt="0"/>
      <dgm:spPr/>
    </dgm:pt>
    <dgm:pt modelId="{AE0696C9-B674-40FF-96A7-4400C6DB9911}" type="pres">
      <dgm:prSet presAssocID="{85650452-0EB7-4257-8EA9-4F142D05D2A3}" presName="compositeNode" presStyleCnt="0">
        <dgm:presLayoutVars>
          <dgm:bulletEnabled val="1"/>
        </dgm:presLayoutVars>
      </dgm:prSet>
      <dgm:spPr/>
    </dgm:pt>
    <dgm:pt modelId="{552EE9E3-9839-4851-BB52-CCDB30436CDA}" type="pres">
      <dgm:prSet presAssocID="{85650452-0EB7-4257-8EA9-4F142D05D2A3}" presName="bgRect" presStyleLbl="node1" presStyleIdx="1" presStyleCnt="3"/>
      <dgm:spPr>
        <a:prstGeom prst="roundRect">
          <a:avLst>
            <a:gd name="adj" fmla="val 5000"/>
          </a:avLst>
        </a:prstGeom>
      </dgm:spPr>
      <dgm:t>
        <a:bodyPr/>
        <a:lstStyle/>
        <a:p>
          <a:endParaRPr lang="en-US"/>
        </a:p>
      </dgm:t>
    </dgm:pt>
    <dgm:pt modelId="{19B97611-C3C6-4F1B-AC43-BE024E0B4896}" type="pres">
      <dgm:prSet presAssocID="{85650452-0EB7-4257-8EA9-4F142D05D2A3}" presName="parentNode" presStyleLbl="node1" presStyleIdx="1" presStyleCnt="3">
        <dgm:presLayoutVars>
          <dgm:chMax val="0"/>
          <dgm:bulletEnabled val="1"/>
        </dgm:presLayoutVars>
      </dgm:prSet>
      <dgm:spPr/>
      <dgm:t>
        <a:bodyPr/>
        <a:lstStyle/>
        <a:p>
          <a:endParaRPr lang="en-US"/>
        </a:p>
      </dgm:t>
    </dgm:pt>
    <dgm:pt modelId="{7543F2C3-8A29-4EC2-AE55-C8215A3563A3}" type="pres">
      <dgm:prSet presAssocID="{85650452-0EB7-4257-8EA9-4F142D05D2A3}" presName="childNode" presStyleLbl="node1" presStyleIdx="1" presStyleCnt="3">
        <dgm:presLayoutVars>
          <dgm:bulletEnabled val="1"/>
        </dgm:presLayoutVars>
      </dgm:prSet>
      <dgm:spPr>
        <a:prstGeom prst="rect">
          <a:avLst/>
        </a:prstGeom>
      </dgm:spPr>
      <dgm:t>
        <a:bodyPr/>
        <a:lstStyle/>
        <a:p>
          <a:endParaRPr lang="en-US"/>
        </a:p>
      </dgm:t>
    </dgm:pt>
    <dgm:pt modelId="{510DEBAE-70A2-4E67-98A4-8EC96950C6F8}" type="pres">
      <dgm:prSet presAssocID="{B62F45C0-8263-4D3C-931D-1603B98AE42B}" presName="hSp" presStyleCnt="0"/>
      <dgm:spPr/>
    </dgm:pt>
    <dgm:pt modelId="{7F920D89-5BC0-44BC-BA57-C28FEF17D9F7}" type="pres">
      <dgm:prSet presAssocID="{B62F45C0-8263-4D3C-931D-1603B98AE42B}" presName="vProcSp" presStyleCnt="0"/>
      <dgm:spPr/>
    </dgm:pt>
    <dgm:pt modelId="{C073AC8D-0068-4193-85D4-A1989DAEDF5D}" type="pres">
      <dgm:prSet presAssocID="{B62F45C0-8263-4D3C-931D-1603B98AE42B}" presName="vSp1" presStyleCnt="0"/>
      <dgm:spPr/>
    </dgm:pt>
    <dgm:pt modelId="{5B78E898-C834-4445-833F-AA3C88DD0FA5}" type="pres">
      <dgm:prSet presAssocID="{B62F45C0-8263-4D3C-931D-1603B98AE42B}" presName="simulatedConn" presStyleLbl="solidFgAcc1" presStyleIdx="1" presStyleCnt="2"/>
      <dgm:spPr>
        <a:xfrm rot="5400000">
          <a:off x="3550607" y="2231370"/>
          <a:ext cx="314962" cy="268024"/>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US"/>
        </a:p>
      </dgm:t>
    </dgm:pt>
    <dgm:pt modelId="{2E8198A0-C1BE-4657-BC52-273177E3F1B2}" type="pres">
      <dgm:prSet presAssocID="{B62F45C0-8263-4D3C-931D-1603B98AE42B}" presName="vSp2" presStyleCnt="0"/>
      <dgm:spPr/>
    </dgm:pt>
    <dgm:pt modelId="{7A52DDCF-D918-4D53-8890-A24C595CFD82}" type="pres">
      <dgm:prSet presAssocID="{B62F45C0-8263-4D3C-931D-1603B98AE42B}" presName="sibTrans" presStyleCnt="0"/>
      <dgm:spPr/>
    </dgm:pt>
    <dgm:pt modelId="{47B25975-7F2F-4054-B739-8CDAA7FBDE3C}" type="pres">
      <dgm:prSet presAssocID="{9C5F9111-51CE-49A1-860C-5DE2D2AC3F92}" presName="compositeNode" presStyleCnt="0">
        <dgm:presLayoutVars>
          <dgm:bulletEnabled val="1"/>
        </dgm:presLayoutVars>
      </dgm:prSet>
      <dgm:spPr/>
    </dgm:pt>
    <dgm:pt modelId="{6812D9F9-1A07-4C96-9B2B-EE928F00F8CA}" type="pres">
      <dgm:prSet presAssocID="{9C5F9111-51CE-49A1-860C-5DE2D2AC3F92}" presName="bgRect" presStyleLbl="node1" presStyleIdx="2" presStyleCnt="3"/>
      <dgm:spPr>
        <a:prstGeom prst="roundRect">
          <a:avLst>
            <a:gd name="adj" fmla="val 5000"/>
          </a:avLst>
        </a:prstGeom>
      </dgm:spPr>
      <dgm:t>
        <a:bodyPr/>
        <a:lstStyle/>
        <a:p>
          <a:endParaRPr lang="en-US"/>
        </a:p>
      </dgm:t>
    </dgm:pt>
    <dgm:pt modelId="{32A570F2-488C-4073-B209-8E199EDD3FFE}" type="pres">
      <dgm:prSet presAssocID="{9C5F9111-51CE-49A1-860C-5DE2D2AC3F92}" presName="parentNode" presStyleLbl="node1" presStyleIdx="2" presStyleCnt="3">
        <dgm:presLayoutVars>
          <dgm:chMax val="0"/>
          <dgm:bulletEnabled val="1"/>
        </dgm:presLayoutVars>
      </dgm:prSet>
      <dgm:spPr/>
      <dgm:t>
        <a:bodyPr/>
        <a:lstStyle/>
        <a:p>
          <a:endParaRPr lang="en-US"/>
        </a:p>
      </dgm:t>
    </dgm:pt>
    <dgm:pt modelId="{87C097FC-9470-4783-A6BD-8E519FE3B93B}" type="pres">
      <dgm:prSet presAssocID="{9C5F9111-51CE-49A1-860C-5DE2D2AC3F92}" presName="childNode" presStyleLbl="node1" presStyleIdx="2" presStyleCnt="3">
        <dgm:presLayoutVars>
          <dgm:bulletEnabled val="1"/>
        </dgm:presLayoutVars>
      </dgm:prSet>
      <dgm:spPr>
        <a:prstGeom prst="rect">
          <a:avLst/>
        </a:prstGeom>
      </dgm:spPr>
      <dgm:t>
        <a:bodyPr/>
        <a:lstStyle/>
        <a:p>
          <a:endParaRPr lang="en-US"/>
        </a:p>
      </dgm:t>
    </dgm:pt>
  </dgm:ptLst>
  <dgm:cxnLst>
    <dgm:cxn modelId="{BA7AF933-46D6-416D-A11D-54D66A685B6A}" type="presOf" srcId="{21C8B3A9-4E0D-48F1-8A09-C2ED414A0A29}" destId="{7543F2C3-8A29-4EC2-AE55-C8215A3563A3}" srcOrd="0" destOrd="0" presId="urn:microsoft.com/office/officeart/2005/8/layout/hProcess7#1"/>
    <dgm:cxn modelId="{1ADD3D04-1FCB-49F0-A6DB-5100F82C23DF}" type="presOf" srcId="{29DB0F45-9262-4A5F-B979-8C80549C84C4}" destId="{87C097FC-9470-4783-A6BD-8E519FE3B93B}" srcOrd="0" destOrd="0" presId="urn:microsoft.com/office/officeart/2005/8/layout/hProcess7#1"/>
    <dgm:cxn modelId="{A8DAC576-5341-4BFF-A2E1-CEAE53D324F7}" type="presOf" srcId="{85650452-0EB7-4257-8EA9-4F142D05D2A3}" destId="{19B97611-C3C6-4F1B-AC43-BE024E0B4896}" srcOrd="1" destOrd="0" presId="urn:microsoft.com/office/officeart/2005/8/layout/hProcess7#1"/>
    <dgm:cxn modelId="{E10C9616-A988-4BAF-AF62-4104BAB78C2E}" type="presOf" srcId="{9C5F9111-51CE-49A1-860C-5DE2D2AC3F92}" destId="{6812D9F9-1A07-4C96-9B2B-EE928F00F8CA}" srcOrd="0" destOrd="0" presId="urn:microsoft.com/office/officeart/2005/8/layout/hProcess7#1"/>
    <dgm:cxn modelId="{153AEBD8-B886-449A-A943-66FD7BD1277C}" srcId="{5D58A4EF-CD71-40B7-8F18-375455A5DE3E}" destId="{85650452-0EB7-4257-8EA9-4F142D05D2A3}" srcOrd="1" destOrd="0" parTransId="{E8FA50FB-AEA1-4E99-A07D-F14115E2D07A}" sibTransId="{B62F45C0-8263-4D3C-931D-1603B98AE42B}"/>
    <dgm:cxn modelId="{B8F13F34-80FA-4CB8-8FEB-E403995BB7DF}" srcId="{F75D637F-694B-44A7-84F8-1D5DEE3592B9}" destId="{CBDE1BCD-6596-484E-82A5-6C4F20E2998B}" srcOrd="0" destOrd="0" parTransId="{6A387AAC-9477-4DE4-9BFA-ACD5538AC1D4}" sibTransId="{8E868ED9-B000-481F-A29D-AC8A7E76BFEA}"/>
    <dgm:cxn modelId="{DDC5320F-2B49-4362-9AEE-BD0F0F8FA71D}" srcId="{85650452-0EB7-4257-8EA9-4F142D05D2A3}" destId="{21C8B3A9-4E0D-48F1-8A09-C2ED414A0A29}" srcOrd="0" destOrd="0" parTransId="{FD863306-3394-4134-B543-69F7A09F06D5}" sibTransId="{C1601F9B-CBCF-4BB9-88B3-D963136512CA}"/>
    <dgm:cxn modelId="{87EA7726-C2E7-4052-B64F-9BD3109F31CC}" type="presOf" srcId="{F75D637F-694B-44A7-84F8-1D5DEE3592B9}" destId="{92AC2396-E083-4F95-AF52-C0D89A1484F6}" srcOrd="1" destOrd="0" presId="urn:microsoft.com/office/officeart/2005/8/layout/hProcess7#1"/>
    <dgm:cxn modelId="{897C4B08-FB61-428B-B5C3-5535021094C0}" srcId="{5D58A4EF-CD71-40B7-8F18-375455A5DE3E}" destId="{F75D637F-694B-44A7-84F8-1D5DEE3592B9}" srcOrd="0" destOrd="0" parTransId="{59DEC670-7942-43D0-8B24-6A16CFC75C6E}" sibTransId="{77B66B2D-F1EF-4761-A395-998232013416}"/>
    <dgm:cxn modelId="{0DE290A5-7B6C-4703-89D9-71009603DAE7}" type="presOf" srcId="{F75D637F-694B-44A7-84F8-1D5DEE3592B9}" destId="{D1FD5778-DCC1-4F24-9BBA-6A2C463F3775}" srcOrd="0" destOrd="0" presId="urn:microsoft.com/office/officeart/2005/8/layout/hProcess7#1"/>
    <dgm:cxn modelId="{D3A34E96-183E-46FB-A13F-5B670035434B}" type="presOf" srcId="{9C5F9111-51CE-49A1-860C-5DE2D2AC3F92}" destId="{32A570F2-488C-4073-B209-8E199EDD3FFE}" srcOrd="1" destOrd="0" presId="urn:microsoft.com/office/officeart/2005/8/layout/hProcess7#1"/>
    <dgm:cxn modelId="{9D0EA1F3-46CC-4EF6-AC18-D8A6775C8998}" type="presOf" srcId="{CBDE1BCD-6596-484E-82A5-6C4F20E2998B}" destId="{878D211F-1B01-4A70-A4B9-45E7A62235BF}" srcOrd="0" destOrd="0" presId="urn:microsoft.com/office/officeart/2005/8/layout/hProcess7#1"/>
    <dgm:cxn modelId="{5C6C5A3C-E0B8-499A-BD9C-880DD966DE13}" type="presOf" srcId="{5D58A4EF-CD71-40B7-8F18-375455A5DE3E}" destId="{A870DE0D-F486-41C6-BAB9-63EC57AC009A}" srcOrd="0" destOrd="0" presId="urn:microsoft.com/office/officeart/2005/8/layout/hProcess7#1"/>
    <dgm:cxn modelId="{D8506455-3537-4BD8-8E34-18243F1CB69E}" srcId="{5D58A4EF-CD71-40B7-8F18-375455A5DE3E}" destId="{9C5F9111-51CE-49A1-860C-5DE2D2AC3F92}" srcOrd="2" destOrd="0" parTransId="{0CD334AA-0519-4D37-8929-D12F23338167}" sibTransId="{76D3DB8D-A74D-4720-89E6-2C7F6273C8BE}"/>
    <dgm:cxn modelId="{0D7E6361-5848-472A-89EF-324D271BDD22}" type="presOf" srcId="{85650452-0EB7-4257-8EA9-4F142D05D2A3}" destId="{552EE9E3-9839-4851-BB52-CCDB30436CDA}" srcOrd="0" destOrd="0" presId="urn:microsoft.com/office/officeart/2005/8/layout/hProcess7#1"/>
    <dgm:cxn modelId="{1726033F-B9C6-4909-BEF8-CB1E8B073DD0}" srcId="{9C5F9111-51CE-49A1-860C-5DE2D2AC3F92}" destId="{29DB0F45-9262-4A5F-B979-8C80549C84C4}" srcOrd="0" destOrd="0" parTransId="{E4001816-8BEE-4A06-A20B-1293501F04EC}" sibTransId="{F6420542-CBF1-40CB-A616-C8D789F51714}"/>
    <dgm:cxn modelId="{8D14941A-DB84-46CB-889E-46D483E8A531}" type="presParOf" srcId="{A870DE0D-F486-41C6-BAB9-63EC57AC009A}" destId="{8693A357-C4BF-4B44-9718-34637547302F}" srcOrd="0" destOrd="0" presId="urn:microsoft.com/office/officeart/2005/8/layout/hProcess7#1"/>
    <dgm:cxn modelId="{8053F6D3-6C60-4958-B323-5C85E6EB1187}" type="presParOf" srcId="{8693A357-C4BF-4B44-9718-34637547302F}" destId="{D1FD5778-DCC1-4F24-9BBA-6A2C463F3775}" srcOrd="0" destOrd="0" presId="urn:microsoft.com/office/officeart/2005/8/layout/hProcess7#1"/>
    <dgm:cxn modelId="{08D54F2E-BD5A-4E7F-AC4F-DAC43433933D}" type="presParOf" srcId="{8693A357-C4BF-4B44-9718-34637547302F}" destId="{92AC2396-E083-4F95-AF52-C0D89A1484F6}" srcOrd="1" destOrd="0" presId="urn:microsoft.com/office/officeart/2005/8/layout/hProcess7#1"/>
    <dgm:cxn modelId="{77478EC9-6302-4389-A27F-0234B6BE9895}" type="presParOf" srcId="{8693A357-C4BF-4B44-9718-34637547302F}" destId="{878D211F-1B01-4A70-A4B9-45E7A62235BF}" srcOrd="2" destOrd="0" presId="urn:microsoft.com/office/officeart/2005/8/layout/hProcess7#1"/>
    <dgm:cxn modelId="{19BF6ED8-AE58-40EF-A01B-73B2E735387A}" type="presParOf" srcId="{A870DE0D-F486-41C6-BAB9-63EC57AC009A}" destId="{530A0F96-755D-49CD-B09D-37D909121F09}" srcOrd="1" destOrd="0" presId="urn:microsoft.com/office/officeart/2005/8/layout/hProcess7#1"/>
    <dgm:cxn modelId="{59932CB8-0DB7-47BA-A55D-21B7EC4A3AFA}" type="presParOf" srcId="{A870DE0D-F486-41C6-BAB9-63EC57AC009A}" destId="{099D6B56-FCFE-40C2-8EE0-C5BE90576BD6}" srcOrd="2" destOrd="0" presId="urn:microsoft.com/office/officeart/2005/8/layout/hProcess7#1"/>
    <dgm:cxn modelId="{0689CB05-8327-4313-B3F4-6E5BED929D47}" type="presParOf" srcId="{099D6B56-FCFE-40C2-8EE0-C5BE90576BD6}" destId="{DEB69E0F-8D52-457B-B9C1-2CBF874E3EB3}" srcOrd="0" destOrd="0" presId="urn:microsoft.com/office/officeart/2005/8/layout/hProcess7#1"/>
    <dgm:cxn modelId="{DE915F64-DE68-44A5-B3A5-514D0A3896EA}" type="presParOf" srcId="{099D6B56-FCFE-40C2-8EE0-C5BE90576BD6}" destId="{EC5D8E64-F4F6-48F9-8474-30514B9CD644}" srcOrd="1" destOrd="0" presId="urn:microsoft.com/office/officeart/2005/8/layout/hProcess7#1"/>
    <dgm:cxn modelId="{23A2506E-3E77-4291-BEF0-381F5A145857}" type="presParOf" srcId="{099D6B56-FCFE-40C2-8EE0-C5BE90576BD6}" destId="{4ADAB813-95E1-45A8-B9E4-A63A1CA7D287}" srcOrd="2" destOrd="0" presId="urn:microsoft.com/office/officeart/2005/8/layout/hProcess7#1"/>
    <dgm:cxn modelId="{A893ED8E-A2F6-4D0A-B7C3-7B2FA7E6E956}" type="presParOf" srcId="{A870DE0D-F486-41C6-BAB9-63EC57AC009A}" destId="{D16EDD93-3DE3-492E-A2F8-51A98CA95019}" srcOrd="3" destOrd="0" presId="urn:microsoft.com/office/officeart/2005/8/layout/hProcess7#1"/>
    <dgm:cxn modelId="{CAE26E97-16B1-4AF6-AF96-A8E5334A1549}" type="presParOf" srcId="{A870DE0D-F486-41C6-BAB9-63EC57AC009A}" destId="{AE0696C9-B674-40FF-96A7-4400C6DB9911}" srcOrd="4" destOrd="0" presId="urn:microsoft.com/office/officeart/2005/8/layout/hProcess7#1"/>
    <dgm:cxn modelId="{1377775B-4450-49A5-B573-DC15DF4C551A}" type="presParOf" srcId="{AE0696C9-B674-40FF-96A7-4400C6DB9911}" destId="{552EE9E3-9839-4851-BB52-CCDB30436CDA}" srcOrd="0" destOrd="0" presId="urn:microsoft.com/office/officeart/2005/8/layout/hProcess7#1"/>
    <dgm:cxn modelId="{38512006-132A-4CAD-B03C-9F5401CED8E3}" type="presParOf" srcId="{AE0696C9-B674-40FF-96A7-4400C6DB9911}" destId="{19B97611-C3C6-4F1B-AC43-BE024E0B4896}" srcOrd="1" destOrd="0" presId="urn:microsoft.com/office/officeart/2005/8/layout/hProcess7#1"/>
    <dgm:cxn modelId="{6633F008-8072-4F9A-90AB-D5A63B6CC90C}" type="presParOf" srcId="{AE0696C9-B674-40FF-96A7-4400C6DB9911}" destId="{7543F2C3-8A29-4EC2-AE55-C8215A3563A3}" srcOrd="2" destOrd="0" presId="urn:microsoft.com/office/officeart/2005/8/layout/hProcess7#1"/>
    <dgm:cxn modelId="{C1B02780-54B0-43CD-A311-7E04C5333E8A}" type="presParOf" srcId="{A870DE0D-F486-41C6-BAB9-63EC57AC009A}" destId="{510DEBAE-70A2-4E67-98A4-8EC96950C6F8}" srcOrd="5" destOrd="0" presId="urn:microsoft.com/office/officeart/2005/8/layout/hProcess7#1"/>
    <dgm:cxn modelId="{BB738C29-E00E-40AC-84E2-96E53EB0B2AF}" type="presParOf" srcId="{A870DE0D-F486-41C6-BAB9-63EC57AC009A}" destId="{7F920D89-5BC0-44BC-BA57-C28FEF17D9F7}" srcOrd="6" destOrd="0" presId="urn:microsoft.com/office/officeart/2005/8/layout/hProcess7#1"/>
    <dgm:cxn modelId="{212A061F-1BEE-4B08-9E38-78A95CE6EEDF}" type="presParOf" srcId="{7F920D89-5BC0-44BC-BA57-C28FEF17D9F7}" destId="{C073AC8D-0068-4193-85D4-A1989DAEDF5D}" srcOrd="0" destOrd="0" presId="urn:microsoft.com/office/officeart/2005/8/layout/hProcess7#1"/>
    <dgm:cxn modelId="{D74543EE-3EB5-45CD-BCA9-116D8E4313B6}" type="presParOf" srcId="{7F920D89-5BC0-44BC-BA57-C28FEF17D9F7}" destId="{5B78E898-C834-4445-833F-AA3C88DD0FA5}" srcOrd="1" destOrd="0" presId="urn:microsoft.com/office/officeart/2005/8/layout/hProcess7#1"/>
    <dgm:cxn modelId="{3DA0A703-4D1F-4239-ACA3-B0170059F636}" type="presParOf" srcId="{7F920D89-5BC0-44BC-BA57-C28FEF17D9F7}" destId="{2E8198A0-C1BE-4657-BC52-273177E3F1B2}" srcOrd="2" destOrd="0" presId="urn:microsoft.com/office/officeart/2005/8/layout/hProcess7#1"/>
    <dgm:cxn modelId="{9DCC27DF-E95B-48BE-8F0B-8CF9E4873F17}" type="presParOf" srcId="{A870DE0D-F486-41C6-BAB9-63EC57AC009A}" destId="{7A52DDCF-D918-4D53-8890-A24C595CFD82}" srcOrd="7" destOrd="0" presId="urn:microsoft.com/office/officeart/2005/8/layout/hProcess7#1"/>
    <dgm:cxn modelId="{3B1CB2F1-B9A5-4D3D-997B-322F93892061}" type="presParOf" srcId="{A870DE0D-F486-41C6-BAB9-63EC57AC009A}" destId="{47B25975-7F2F-4054-B739-8CDAA7FBDE3C}" srcOrd="8" destOrd="0" presId="urn:microsoft.com/office/officeart/2005/8/layout/hProcess7#1"/>
    <dgm:cxn modelId="{6E1547BC-AD5F-4362-80F0-B962EED19646}" type="presParOf" srcId="{47B25975-7F2F-4054-B739-8CDAA7FBDE3C}" destId="{6812D9F9-1A07-4C96-9B2B-EE928F00F8CA}" srcOrd="0" destOrd="0" presId="urn:microsoft.com/office/officeart/2005/8/layout/hProcess7#1"/>
    <dgm:cxn modelId="{C3490072-5127-4893-AF74-E5F181AA5001}" type="presParOf" srcId="{47B25975-7F2F-4054-B739-8CDAA7FBDE3C}" destId="{32A570F2-488C-4073-B209-8E199EDD3FFE}" srcOrd="1" destOrd="0" presId="urn:microsoft.com/office/officeart/2005/8/layout/hProcess7#1"/>
    <dgm:cxn modelId="{995EA17B-E56B-4371-B65D-A52FB0D9E0D9}" type="presParOf" srcId="{47B25975-7F2F-4054-B739-8CDAA7FBDE3C}" destId="{87C097FC-9470-4783-A6BD-8E519FE3B93B}" srcOrd="2" destOrd="0" presId="urn:microsoft.com/office/officeart/2005/8/layout/hProcess7#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1FD5778-DCC1-4F24-9BBA-6A2C463F3775}">
      <dsp:nvSpPr>
        <dsp:cNvPr id="0" name=""/>
        <dsp:cNvSpPr/>
      </dsp:nvSpPr>
      <dsp:spPr>
        <a:xfrm>
          <a:off x="415" y="528101"/>
          <a:ext cx="1786830" cy="2144196"/>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lvl="0" algn="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Health Inequalities 1</a:t>
          </a:r>
        </a:p>
      </dsp:txBody>
      <dsp:txXfrm rot="16200000">
        <a:off x="-700022" y="1228539"/>
        <a:ext cx="1758241" cy="357366"/>
      </dsp:txXfrm>
    </dsp:sp>
    <dsp:sp modelId="{878D211F-1B01-4A70-A4B9-45E7A62235BF}">
      <dsp:nvSpPr>
        <dsp:cNvPr id="0" name=""/>
        <dsp:cNvSpPr/>
      </dsp:nvSpPr>
      <dsp:spPr>
        <a:xfrm>
          <a:off x="357781" y="528101"/>
          <a:ext cx="1331188" cy="21441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lvl="0" algn="l" defTabSz="466725">
            <a:lnSpc>
              <a:spcPct val="90000"/>
            </a:lnSpc>
            <a:spcBef>
              <a:spcPct val="0"/>
            </a:spcBef>
            <a:spcAft>
              <a:spcPct val="35000"/>
            </a:spcAft>
          </a:pPr>
          <a:r>
            <a:rPr lang="en-GB" sz="1050" i="1" kern="1200">
              <a:solidFill>
                <a:sysClr val="window" lastClr="FFFFFF"/>
              </a:solidFill>
              <a:latin typeface="Calibri" panose="020F0502020204030204"/>
              <a:ea typeface="+mn-ea"/>
              <a:cs typeface="+mn-cs"/>
            </a:rPr>
            <a:t>"preventable unfair and unjust differences in health status that arise from uneven distribution of social, economic and economic conditions that determine risks of getting ill, ability to prevent sickness, opportunities to take action and access to treatments when ill health occurs"</a:t>
          </a:r>
          <a:endParaRPr lang="en-US" sz="1050" kern="1200">
            <a:solidFill>
              <a:sysClr val="window" lastClr="FFFFFF"/>
            </a:solidFill>
            <a:latin typeface="Calibri" panose="020F0502020204030204"/>
            <a:ea typeface="+mn-ea"/>
            <a:cs typeface="+mn-cs"/>
          </a:endParaRPr>
        </a:p>
      </dsp:txBody>
      <dsp:txXfrm>
        <a:off x="357781" y="528101"/>
        <a:ext cx="1331188" cy="2144196"/>
      </dsp:txXfrm>
    </dsp:sp>
    <dsp:sp modelId="{552EE9E3-9839-4851-BB52-CCDB30436CDA}">
      <dsp:nvSpPr>
        <dsp:cNvPr id="0" name=""/>
        <dsp:cNvSpPr/>
      </dsp:nvSpPr>
      <dsp:spPr>
        <a:xfrm>
          <a:off x="1849784" y="528101"/>
          <a:ext cx="1786830" cy="2144196"/>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lvl="0" algn="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Syndemics 2</a:t>
          </a:r>
        </a:p>
      </dsp:txBody>
      <dsp:txXfrm rot="16200000">
        <a:off x="1149347" y="1228539"/>
        <a:ext cx="1758241" cy="357366"/>
      </dsp:txXfrm>
    </dsp:sp>
    <dsp:sp modelId="{EC5D8E64-F4F6-48F9-8474-30514B9CD644}">
      <dsp:nvSpPr>
        <dsp:cNvPr id="0" name=""/>
        <dsp:cNvSpPr/>
      </dsp:nvSpPr>
      <dsp:spPr>
        <a:xfrm rot="5400000">
          <a:off x="1701237" y="2231370"/>
          <a:ext cx="314962" cy="268024"/>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543F2C3-8A29-4EC2-AE55-C8215A3563A3}">
      <dsp:nvSpPr>
        <dsp:cNvPr id="0" name=""/>
        <dsp:cNvSpPr/>
      </dsp:nvSpPr>
      <dsp:spPr>
        <a:xfrm>
          <a:off x="2207150" y="528101"/>
          <a:ext cx="1331188" cy="21441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lvl="0" algn="l"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a:t>
          </a:r>
          <a:r>
            <a:rPr lang="en-GB" sz="1100" b="0" i="0" kern="1200">
              <a:solidFill>
                <a:sysClr val="window" lastClr="FFFFFF"/>
              </a:solidFill>
              <a:latin typeface="Calibri" panose="020F0502020204030204"/>
              <a:ea typeface="+mn-ea"/>
              <a:cs typeface="+mn-cs"/>
            </a:rPr>
            <a:t>The syndemics model of health focuses on the biosocial complex, which consists of interacting, co-present, or sequential diseases and the social and environmental factors that promote and enhance the negative effects of disease interaction" ... why certain diseases cluster</a:t>
          </a:r>
          <a:endParaRPr lang="en-US" sz="1100" kern="1200">
            <a:solidFill>
              <a:sysClr val="window" lastClr="FFFFFF"/>
            </a:solidFill>
            <a:latin typeface="Calibri" panose="020F0502020204030204"/>
            <a:ea typeface="+mn-ea"/>
            <a:cs typeface="+mn-cs"/>
          </a:endParaRPr>
        </a:p>
      </dsp:txBody>
      <dsp:txXfrm>
        <a:off x="2207150" y="528101"/>
        <a:ext cx="1331188" cy="2144196"/>
      </dsp:txXfrm>
    </dsp:sp>
    <dsp:sp modelId="{6812D9F9-1A07-4C96-9B2B-EE928F00F8CA}">
      <dsp:nvSpPr>
        <dsp:cNvPr id="0" name=""/>
        <dsp:cNvSpPr/>
      </dsp:nvSpPr>
      <dsp:spPr>
        <a:xfrm>
          <a:off x="3699154" y="528101"/>
          <a:ext cx="1786830" cy="2144196"/>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lvl="0" algn="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Health Inequity 3</a:t>
          </a:r>
        </a:p>
      </dsp:txBody>
      <dsp:txXfrm rot="16200000">
        <a:off x="2998716" y="1228539"/>
        <a:ext cx="1758241" cy="357366"/>
      </dsp:txXfrm>
    </dsp:sp>
    <dsp:sp modelId="{5B78E898-C834-4445-833F-AA3C88DD0FA5}">
      <dsp:nvSpPr>
        <dsp:cNvPr id="0" name=""/>
        <dsp:cNvSpPr/>
      </dsp:nvSpPr>
      <dsp:spPr>
        <a:xfrm rot="5400000">
          <a:off x="3550607" y="2231370"/>
          <a:ext cx="314962" cy="268024"/>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7C097FC-9470-4783-A6BD-8E519FE3B93B}">
      <dsp:nvSpPr>
        <dsp:cNvPr id="0" name=""/>
        <dsp:cNvSpPr/>
      </dsp:nvSpPr>
      <dsp:spPr>
        <a:xfrm>
          <a:off x="4056520" y="528101"/>
          <a:ext cx="1331188" cy="21441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lvl="0" algn="l"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"avoidable differences in outcomes (e.g. multimorbidities, poor access to / quality of healthcare and lower life expectancy) due to bad governance or exclusion". Examples in clinical practice include the inverse care law (Julian Hart), clinicians' low expectations &amp; less treatments offered </a:t>
          </a:r>
        </a:p>
      </dsp:txBody>
      <dsp:txXfrm>
        <a:off x="4056520" y="528101"/>
        <a:ext cx="1331188" cy="214419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14043</TotalTime>
  <Pages>4</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Byrne</dc:creator>
  <cp:keywords/>
  <dc:description/>
  <cp:lastModifiedBy>pradeepkumar.m</cp:lastModifiedBy>
  <cp:revision>27</cp:revision>
  <cp:lastPrinted>2021-05-14T15:03:00Z</cp:lastPrinted>
  <dcterms:created xsi:type="dcterms:W3CDTF">2021-09-29T09:27:00Z</dcterms:created>
  <dcterms:modified xsi:type="dcterms:W3CDTF">2022-02-24T09:24:00Z</dcterms:modified>
</cp:coreProperties>
</file>