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0E" w:rsidRPr="009B73DF" w:rsidRDefault="00BA400E" w:rsidP="00BA400E">
      <w:pPr>
        <w:ind w:firstLineChars="0" w:firstLine="0"/>
        <w:jc w:val="center"/>
        <w:rPr>
          <w:b/>
          <w:color w:val="FF0000"/>
          <w:sz w:val="52"/>
          <w:szCs w:val="52"/>
        </w:rPr>
      </w:pPr>
      <w:r w:rsidRPr="009B73DF">
        <w:rPr>
          <w:rFonts w:hint="eastAsia"/>
          <w:b/>
          <w:color w:val="FF0000"/>
          <w:sz w:val="52"/>
          <w:szCs w:val="52"/>
        </w:rPr>
        <w:t>Support</w:t>
      </w:r>
      <w:r w:rsidR="00C37DE0">
        <w:rPr>
          <w:b/>
          <w:color w:val="FF0000"/>
          <w:sz w:val="52"/>
          <w:szCs w:val="52"/>
        </w:rPr>
        <w:t>ing</w:t>
      </w:r>
      <w:r w:rsidRPr="009B73DF">
        <w:rPr>
          <w:rFonts w:hint="eastAsia"/>
          <w:b/>
          <w:color w:val="FF0000"/>
          <w:sz w:val="52"/>
          <w:szCs w:val="52"/>
        </w:rPr>
        <w:t xml:space="preserve"> Information</w:t>
      </w:r>
    </w:p>
    <w:p w:rsidR="00BA400E" w:rsidRDefault="00BA400E" w:rsidP="00BA400E">
      <w:pPr>
        <w:snapToGrid w:val="0"/>
        <w:spacing w:after="120" w:line="240" w:lineRule="auto"/>
        <w:ind w:firstLine="482"/>
        <w:jc w:val="center"/>
        <w:rPr>
          <w:b/>
          <w:szCs w:val="24"/>
        </w:rPr>
      </w:pPr>
    </w:p>
    <w:p w:rsidR="00BA400E" w:rsidRPr="003A4FE6" w:rsidRDefault="00BA400E" w:rsidP="00BA400E">
      <w:pPr>
        <w:snapToGrid w:val="0"/>
        <w:spacing w:after="120" w:line="240" w:lineRule="auto"/>
        <w:ind w:firstLine="482"/>
        <w:jc w:val="center"/>
        <w:rPr>
          <w:szCs w:val="24"/>
        </w:rPr>
      </w:pPr>
      <w:r w:rsidRPr="003A4FE6">
        <w:rPr>
          <w:rFonts w:hint="eastAsia"/>
          <w:b/>
          <w:szCs w:val="24"/>
        </w:rPr>
        <w:t xml:space="preserve">Table </w:t>
      </w:r>
      <w:r>
        <w:rPr>
          <w:rFonts w:hint="eastAsia"/>
          <w:b/>
          <w:szCs w:val="24"/>
        </w:rPr>
        <w:t>S</w:t>
      </w:r>
      <w:r w:rsidRPr="003A4FE6">
        <w:rPr>
          <w:rFonts w:hint="eastAsia"/>
          <w:b/>
          <w:szCs w:val="24"/>
        </w:rPr>
        <w:t>1.</w:t>
      </w:r>
      <w:r w:rsidRPr="003A4FE6">
        <w:rPr>
          <w:rFonts w:hint="eastAsia"/>
          <w:szCs w:val="24"/>
        </w:rPr>
        <w:t xml:space="preserve"> Surface properties, pore-structure parameters of</w:t>
      </w:r>
      <w:r>
        <w:rPr>
          <w:rFonts w:hint="eastAsia"/>
          <w:szCs w:val="24"/>
        </w:rPr>
        <w:t xml:space="preserve"> PCAC-5</w:t>
      </w:r>
    </w:p>
    <w:tbl>
      <w:tblPr>
        <w:tblStyle w:val="a5"/>
        <w:tblW w:w="0" w:type="auto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0"/>
        <w:gridCol w:w="964"/>
        <w:gridCol w:w="1051"/>
        <w:gridCol w:w="1051"/>
        <w:gridCol w:w="1125"/>
        <w:gridCol w:w="43"/>
        <w:gridCol w:w="1091"/>
        <w:gridCol w:w="1091"/>
        <w:gridCol w:w="836"/>
        <w:gridCol w:w="43"/>
      </w:tblGrid>
      <w:tr w:rsidR="00BA400E" w:rsidRPr="00442841" w:rsidTr="00D87F39">
        <w:trPr>
          <w:gridAfter w:val="1"/>
          <w:wAfter w:w="43" w:type="dxa"/>
          <w:trHeight w:val="870"/>
          <w:jc w:val="center"/>
        </w:trPr>
        <w:tc>
          <w:tcPr>
            <w:tcW w:w="11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400E" w:rsidRPr="00442841" w:rsidRDefault="00BA400E" w:rsidP="00D87F39">
            <w:pPr>
              <w:ind w:firstLineChars="0" w:firstLine="0"/>
              <w:jc w:val="center"/>
              <w:rPr>
                <w:rFonts w:cs="Times New Roman"/>
                <w:color w:val="000000"/>
                <w:szCs w:val="24"/>
                <w:lang w:val="en-GB"/>
              </w:rPr>
            </w:pPr>
            <w:r w:rsidRPr="00442841">
              <w:rPr>
                <w:rFonts w:cs="Times New Roman"/>
                <w:color w:val="000000"/>
                <w:szCs w:val="24"/>
                <w:lang w:val="en-GB"/>
              </w:rPr>
              <w:t>Samples</w:t>
            </w:r>
          </w:p>
        </w:tc>
        <w:tc>
          <w:tcPr>
            <w:tcW w:w="9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400E" w:rsidRPr="00442841" w:rsidRDefault="00BA400E" w:rsidP="00D87F39">
            <w:pPr>
              <w:ind w:firstLineChars="0" w:firstLine="0"/>
              <w:jc w:val="center"/>
              <w:rPr>
                <w:rFonts w:cs="Times New Roman"/>
                <w:color w:val="000000"/>
                <w:szCs w:val="24"/>
                <w:lang w:val="en-GB"/>
              </w:rPr>
            </w:pPr>
            <w:proofErr w:type="spellStart"/>
            <w:r w:rsidRPr="00442841">
              <w:rPr>
                <w:rFonts w:cs="Times New Roman"/>
                <w:color w:val="000000"/>
                <w:szCs w:val="24"/>
                <w:lang w:val="en-GB"/>
              </w:rPr>
              <w:t>S</w:t>
            </w:r>
            <w:r w:rsidRPr="00442841">
              <w:rPr>
                <w:rFonts w:cs="Times New Roman"/>
                <w:color w:val="000000"/>
                <w:szCs w:val="24"/>
                <w:vertAlign w:val="subscript"/>
                <w:lang w:val="en-GB"/>
              </w:rPr>
              <w:t>BET</w:t>
            </w:r>
            <w:r>
              <w:rPr>
                <w:rFonts w:cs="Times New Roman"/>
                <w:color w:val="000000"/>
                <w:szCs w:val="24"/>
                <w:vertAlign w:val="superscript"/>
                <w:lang w:val="en-GB"/>
              </w:rPr>
              <w:t>a</w:t>
            </w:r>
            <w:proofErr w:type="spellEnd"/>
          </w:p>
          <w:p w:rsidR="00BA400E" w:rsidRPr="00442841" w:rsidRDefault="00BA400E" w:rsidP="00D87F39">
            <w:pPr>
              <w:ind w:firstLineChars="0" w:firstLine="0"/>
              <w:jc w:val="center"/>
              <w:rPr>
                <w:rFonts w:cs="Times New Roman"/>
                <w:color w:val="000000"/>
                <w:szCs w:val="24"/>
                <w:lang w:val="en-GB"/>
              </w:rPr>
            </w:pPr>
            <w:r>
              <w:rPr>
                <w:rFonts w:cs="Times New Roman" w:hint="eastAsia"/>
                <w:color w:val="000000"/>
                <w:szCs w:val="24"/>
                <w:lang w:val="en-GB"/>
              </w:rPr>
              <w:t>(</w:t>
            </w:r>
            <w:r w:rsidRPr="00442841">
              <w:rPr>
                <w:rFonts w:cs="Times New Roman"/>
                <w:color w:val="000000"/>
                <w:szCs w:val="24"/>
                <w:lang w:val="en-GB"/>
              </w:rPr>
              <w:t>m</w:t>
            </w:r>
            <w:r w:rsidRPr="00442841">
              <w:rPr>
                <w:rFonts w:cs="Times New Roman"/>
                <w:color w:val="000000"/>
                <w:szCs w:val="24"/>
                <w:vertAlign w:val="superscript"/>
                <w:lang w:val="en-GB"/>
              </w:rPr>
              <w:t>2</w:t>
            </w:r>
            <w:r>
              <w:rPr>
                <w:rFonts w:cs="Times New Roman" w:hint="eastAsia"/>
                <w:color w:val="000000"/>
                <w:szCs w:val="24"/>
                <w:lang w:val="en-GB"/>
              </w:rPr>
              <w:t xml:space="preserve"> </w:t>
            </w:r>
            <w:r w:rsidRPr="00442841">
              <w:rPr>
                <w:rFonts w:cs="Times New Roman"/>
                <w:color w:val="000000"/>
                <w:szCs w:val="24"/>
                <w:lang w:val="en-GB"/>
              </w:rPr>
              <w:t>g</w:t>
            </w:r>
            <w:r w:rsidRPr="002901CE">
              <w:rPr>
                <w:rFonts w:cs="Times New Roman" w:hint="eastAsia"/>
                <w:color w:val="000000"/>
                <w:szCs w:val="24"/>
                <w:vertAlign w:val="superscript"/>
                <w:lang w:val="en-GB"/>
              </w:rPr>
              <w:t>-1</w:t>
            </w:r>
            <w:r>
              <w:rPr>
                <w:rFonts w:cs="Times New Roman" w:hint="eastAsia"/>
                <w:color w:val="000000"/>
                <w:szCs w:val="24"/>
                <w:lang w:val="en-GB"/>
              </w:rPr>
              <w:t>)</w:t>
            </w:r>
          </w:p>
        </w:tc>
        <w:tc>
          <w:tcPr>
            <w:tcW w:w="1051" w:type="dxa"/>
            <w:tcBorders>
              <w:bottom w:val="single" w:sz="8" w:space="0" w:color="auto"/>
            </w:tcBorders>
            <w:vAlign w:val="center"/>
          </w:tcPr>
          <w:p w:rsidR="00BA400E" w:rsidRPr="00442841" w:rsidRDefault="00BA400E" w:rsidP="00D87F39">
            <w:pPr>
              <w:ind w:firstLineChars="0" w:firstLine="0"/>
              <w:jc w:val="center"/>
              <w:rPr>
                <w:rFonts w:cs="Times New Roman"/>
                <w:color w:val="000000"/>
                <w:szCs w:val="24"/>
                <w:lang w:val="en-GB"/>
              </w:rPr>
            </w:pPr>
            <w:proofErr w:type="spellStart"/>
            <w:r w:rsidRPr="00442841">
              <w:rPr>
                <w:rFonts w:cs="Times New Roman"/>
                <w:color w:val="000000"/>
                <w:szCs w:val="24"/>
                <w:lang w:val="en-GB"/>
              </w:rPr>
              <w:t>S</w:t>
            </w:r>
            <w:r w:rsidRPr="00442841">
              <w:rPr>
                <w:rFonts w:cs="Times New Roman"/>
                <w:color w:val="000000"/>
                <w:szCs w:val="24"/>
                <w:vertAlign w:val="subscript"/>
                <w:lang w:val="en-GB"/>
              </w:rPr>
              <w:t>Meso</w:t>
            </w:r>
            <w:r>
              <w:rPr>
                <w:rFonts w:cs="Times New Roman" w:hint="eastAsia"/>
                <w:color w:val="000000"/>
                <w:szCs w:val="24"/>
                <w:vertAlign w:val="superscript"/>
                <w:lang w:val="en-GB"/>
              </w:rPr>
              <w:t>b</w:t>
            </w:r>
            <w:proofErr w:type="spellEnd"/>
          </w:p>
          <w:p w:rsidR="00BA400E" w:rsidRPr="00442841" w:rsidRDefault="00BA400E" w:rsidP="00D87F39">
            <w:pPr>
              <w:ind w:firstLineChars="0" w:firstLine="0"/>
              <w:jc w:val="center"/>
              <w:rPr>
                <w:rFonts w:cs="Times New Roman"/>
                <w:color w:val="000000"/>
                <w:szCs w:val="24"/>
                <w:lang w:val="en-GB"/>
              </w:rPr>
            </w:pPr>
            <w:r>
              <w:rPr>
                <w:rFonts w:cs="Times New Roman" w:hint="eastAsia"/>
                <w:color w:val="000000"/>
                <w:szCs w:val="24"/>
                <w:lang w:val="en-GB"/>
              </w:rPr>
              <w:t>(</w:t>
            </w:r>
            <w:r w:rsidRPr="00442841">
              <w:rPr>
                <w:rFonts w:cs="Times New Roman"/>
                <w:color w:val="000000"/>
                <w:szCs w:val="24"/>
                <w:lang w:val="en-GB"/>
              </w:rPr>
              <w:t>m</w:t>
            </w:r>
            <w:r w:rsidRPr="00442841">
              <w:rPr>
                <w:rFonts w:cs="Times New Roman"/>
                <w:color w:val="000000"/>
                <w:szCs w:val="24"/>
                <w:vertAlign w:val="superscript"/>
                <w:lang w:val="en-GB"/>
              </w:rPr>
              <w:t>2</w:t>
            </w:r>
            <w:r w:rsidRPr="00442841">
              <w:rPr>
                <w:rFonts w:cs="Times New Roman"/>
                <w:color w:val="000000"/>
                <w:szCs w:val="24"/>
                <w:lang w:val="en-GB"/>
              </w:rPr>
              <w:t xml:space="preserve"> g</w:t>
            </w:r>
            <w:r w:rsidRPr="002901CE">
              <w:rPr>
                <w:rFonts w:cs="Times New Roman" w:hint="eastAsia"/>
                <w:color w:val="000000"/>
                <w:szCs w:val="24"/>
                <w:vertAlign w:val="superscript"/>
                <w:lang w:val="en-GB"/>
              </w:rPr>
              <w:t>-1</w:t>
            </w:r>
            <w:r>
              <w:rPr>
                <w:rFonts w:cs="Times New Roman" w:hint="eastAsia"/>
                <w:color w:val="000000"/>
                <w:szCs w:val="24"/>
                <w:lang w:val="en-GB"/>
              </w:rPr>
              <w:t>)</w:t>
            </w:r>
          </w:p>
        </w:tc>
        <w:tc>
          <w:tcPr>
            <w:tcW w:w="10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400E" w:rsidRPr="00442841" w:rsidRDefault="00BA400E" w:rsidP="00D87F39">
            <w:pPr>
              <w:ind w:firstLineChars="0" w:firstLine="0"/>
              <w:jc w:val="center"/>
              <w:rPr>
                <w:rFonts w:cs="Times New Roman"/>
                <w:color w:val="000000"/>
                <w:szCs w:val="24"/>
                <w:lang w:val="en-GB"/>
              </w:rPr>
            </w:pPr>
            <w:proofErr w:type="spellStart"/>
            <w:r w:rsidRPr="00442841">
              <w:rPr>
                <w:rFonts w:cs="Times New Roman"/>
                <w:color w:val="000000"/>
                <w:szCs w:val="24"/>
                <w:lang w:val="en-GB"/>
              </w:rPr>
              <w:t>S</w:t>
            </w:r>
            <w:r w:rsidRPr="00442841">
              <w:rPr>
                <w:rFonts w:cs="Times New Roman"/>
                <w:color w:val="000000"/>
                <w:szCs w:val="24"/>
                <w:vertAlign w:val="subscript"/>
                <w:lang w:val="en-GB"/>
              </w:rPr>
              <w:t>Micro</w:t>
            </w:r>
            <w:r>
              <w:rPr>
                <w:rFonts w:cs="Times New Roman" w:hint="eastAsia"/>
                <w:color w:val="000000"/>
                <w:szCs w:val="24"/>
                <w:vertAlign w:val="superscript"/>
                <w:lang w:val="en-GB"/>
              </w:rPr>
              <w:t>c</w:t>
            </w:r>
            <w:proofErr w:type="spellEnd"/>
          </w:p>
          <w:p w:rsidR="00BA400E" w:rsidRPr="00442841" w:rsidRDefault="00BA400E" w:rsidP="00D87F39">
            <w:pPr>
              <w:ind w:firstLineChars="0" w:firstLine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 w:hint="eastAsia"/>
                <w:color w:val="000000"/>
                <w:szCs w:val="24"/>
                <w:lang w:val="en-GB"/>
              </w:rPr>
              <w:t>(</w:t>
            </w:r>
            <w:r w:rsidRPr="00442841">
              <w:rPr>
                <w:rFonts w:cs="Times New Roman"/>
                <w:color w:val="000000"/>
                <w:szCs w:val="24"/>
                <w:lang w:val="en-GB"/>
              </w:rPr>
              <w:t>m</w:t>
            </w:r>
            <w:r w:rsidRPr="00442841">
              <w:rPr>
                <w:rFonts w:cs="Times New Roman"/>
                <w:color w:val="000000"/>
                <w:szCs w:val="24"/>
                <w:vertAlign w:val="superscript"/>
                <w:lang w:val="en-GB"/>
              </w:rPr>
              <w:t>2</w:t>
            </w:r>
            <w:r w:rsidRPr="00442841">
              <w:rPr>
                <w:rFonts w:cs="Times New Roman"/>
                <w:color w:val="000000"/>
                <w:szCs w:val="24"/>
                <w:lang w:val="en-GB"/>
              </w:rPr>
              <w:t xml:space="preserve"> g</w:t>
            </w:r>
            <w:r w:rsidRPr="002901CE">
              <w:rPr>
                <w:rFonts w:cs="Times New Roman" w:hint="eastAsia"/>
                <w:color w:val="000000"/>
                <w:szCs w:val="24"/>
                <w:vertAlign w:val="superscript"/>
                <w:lang w:val="en-GB"/>
              </w:rPr>
              <w:t>-1</w:t>
            </w:r>
            <w:r>
              <w:rPr>
                <w:rFonts w:cs="Times New Roman" w:hint="eastAsia"/>
                <w:color w:val="000000"/>
                <w:szCs w:val="24"/>
                <w:lang w:val="en-GB"/>
              </w:rPr>
              <w:t>)</w:t>
            </w:r>
          </w:p>
        </w:tc>
        <w:tc>
          <w:tcPr>
            <w:tcW w:w="116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400E" w:rsidRPr="00442841" w:rsidRDefault="00BA400E" w:rsidP="00D87F39">
            <w:pPr>
              <w:ind w:firstLineChars="0" w:firstLine="0"/>
              <w:jc w:val="center"/>
              <w:rPr>
                <w:rFonts w:cs="Times New Roman"/>
                <w:color w:val="000000"/>
                <w:szCs w:val="24"/>
                <w:lang w:val="en-GB"/>
              </w:rPr>
            </w:pPr>
            <w:proofErr w:type="spellStart"/>
            <w:r w:rsidRPr="00442841">
              <w:rPr>
                <w:rFonts w:cs="Times New Roman"/>
                <w:color w:val="000000"/>
                <w:szCs w:val="24"/>
                <w:lang w:val="en-GB"/>
              </w:rPr>
              <w:t>V</w:t>
            </w:r>
            <w:r w:rsidRPr="00442841">
              <w:rPr>
                <w:rFonts w:cs="Times New Roman"/>
                <w:color w:val="000000"/>
                <w:szCs w:val="24"/>
                <w:vertAlign w:val="subscript"/>
                <w:lang w:val="en-GB"/>
              </w:rPr>
              <w:t>Total</w:t>
            </w:r>
            <w:r>
              <w:rPr>
                <w:rFonts w:cs="Times New Roman"/>
                <w:color w:val="000000"/>
                <w:szCs w:val="24"/>
                <w:vertAlign w:val="superscript"/>
                <w:lang w:val="en-GB"/>
              </w:rPr>
              <w:t>d</w:t>
            </w:r>
            <w:proofErr w:type="spellEnd"/>
          </w:p>
          <w:p w:rsidR="00BA400E" w:rsidRPr="00442841" w:rsidRDefault="00BA400E" w:rsidP="00D87F39">
            <w:pPr>
              <w:ind w:firstLineChars="0" w:firstLine="0"/>
              <w:jc w:val="center"/>
              <w:rPr>
                <w:rFonts w:cs="Times New Roman"/>
                <w:color w:val="000000"/>
                <w:szCs w:val="24"/>
                <w:lang w:val="en-GB"/>
              </w:rPr>
            </w:pPr>
            <w:r>
              <w:rPr>
                <w:rFonts w:cs="Times New Roman" w:hint="eastAsia"/>
                <w:color w:val="000000"/>
                <w:szCs w:val="24"/>
                <w:lang w:val="en-GB"/>
              </w:rPr>
              <w:t>(</w:t>
            </w:r>
            <w:r w:rsidRPr="00442841">
              <w:rPr>
                <w:rFonts w:cs="Times New Roman"/>
                <w:color w:val="000000"/>
                <w:szCs w:val="24"/>
                <w:lang w:val="en-GB"/>
              </w:rPr>
              <w:t>cm</w:t>
            </w:r>
            <w:r w:rsidRPr="00442841">
              <w:rPr>
                <w:rFonts w:cs="Times New Roman"/>
                <w:color w:val="000000"/>
                <w:szCs w:val="24"/>
                <w:vertAlign w:val="superscript"/>
                <w:lang w:val="en-GB"/>
              </w:rPr>
              <w:t>3</w:t>
            </w:r>
            <w:r w:rsidRPr="00442841">
              <w:rPr>
                <w:rFonts w:cs="Times New Roman"/>
                <w:color w:val="000000"/>
                <w:szCs w:val="24"/>
                <w:lang w:val="en-GB"/>
              </w:rPr>
              <w:t xml:space="preserve"> g</w:t>
            </w:r>
            <w:r w:rsidRPr="002901CE">
              <w:rPr>
                <w:rFonts w:cs="Times New Roman" w:hint="eastAsia"/>
                <w:color w:val="000000"/>
                <w:szCs w:val="24"/>
                <w:vertAlign w:val="superscript"/>
                <w:lang w:val="en-GB"/>
              </w:rPr>
              <w:t>-1</w:t>
            </w:r>
            <w:r>
              <w:rPr>
                <w:rFonts w:cs="Times New Roman" w:hint="eastAsia"/>
                <w:color w:val="000000"/>
                <w:szCs w:val="24"/>
                <w:lang w:val="en-GB"/>
              </w:rPr>
              <w:t>)</w:t>
            </w:r>
          </w:p>
        </w:tc>
        <w:tc>
          <w:tcPr>
            <w:tcW w:w="1091" w:type="dxa"/>
            <w:tcBorders>
              <w:bottom w:val="single" w:sz="8" w:space="0" w:color="auto"/>
            </w:tcBorders>
            <w:vAlign w:val="center"/>
          </w:tcPr>
          <w:p w:rsidR="00BA400E" w:rsidRPr="00442841" w:rsidRDefault="00BA400E" w:rsidP="00D87F39">
            <w:pPr>
              <w:ind w:firstLineChars="0" w:firstLine="0"/>
              <w:jc w:val="center"/>
              <w:rPr>
                <w:rFonts w:cs="Times New Roman"/>
                <w:color w:val="000000"/>
                <w:szCs w:val="24"/>
                <w:lang w:val="en-GB"/>
              </w:rPr>
            </w:pPr>
            <w:proofErr w:type="spellStart"/>
            <w:r w:rsidRPr="00442841">
              <w:rPr>
                <w:rFonts w:cs="Times New Roman"/>
                <w:color w:val="000000"/>
                <w:szCs w:val="24"/>
                <w:lang w:val="en-GB"/>
              </w:rPr>
              <w:t>V</w:t>
            </w:r>
            <w:r w:rsidRPr="00442841">
              <w:rPr>
                <w:rFonts w:cs="Times New Roman"/>
                <w:color w:val="000000"/>
                <w:szCs w:val="24"/>
                <w:vertAlign w:val="subscript"/>
                <w:lang w:val="en-GB"/>
              </w:rPr>
              <w:t>Meso</w:t>
            </w:r>
            <w:r>
              <w:rPr>
                <w:rFonts w:cs="Times New Roman" w:hint="eastAsia"/>
                <w:color w:val="000000"/>
                <w:szCs w:val="24"/>
                <w:vertAlign w:val="superscript"/>
                <w:lang w:val="en-GB"/>
              </w:rPr>
              <w:t>e</w:t>
            </w:r>
            <w:proofErr w:type="spellEnd"/>
          </w:p>
          <w:p w:rsidR="00BA400E" w:rsidRPr="00442841" w:rsidRDefault="00BA400E" w:rsidP="00D87F39">
            <w:pPr>
              <w:ind w:firstLineChars="0" w:firstLine="0"/>
              <w:jc w:val="center"/>
              <w:rPr>
                <w:rFonts w:cs="Times New Roman"/>
                <w:color w:val="000000"/>
                <w:szCs w:val="24"/>
                <w:lang w:val="en-GB"/>
              </w:rPr>
            </w:pPr>
            <w:r>
              <w:rPr>
                <w:rFonts w:cs="Times New Roman" w:hint="eastAsia"/>
                <w:color w:val="000000"/>
                <w:szCs w:val="24"/>
                <w:lang w:val="en-GB"/>
              </w:rPr>
              <w:t>(</w:t>
            </w:r>
            <w:r w:rsidRPr="00442841">
              <w:rPr>
                <w:rFonts w:cs="Times New Roman"/>
                <w:color w:val="000000"/>
                <w:szCs w:val="24"/>
                <w:lang w:val="en-GB"/>
              </w:rPr>
              <w:t>cm</w:t>
            </w:r>
            <w:r w:rsidRPr="00442841">
              <w:rPr>
                <w:rFonts w:cs="Times New Roman"/>
                <w:color w:val="000000"/>
                <w:szCs w:val="24"/>
                <w:vertAlign w:val="superscript"/>
                <w:lang w:val="en-GB"/>
              </w:rPr>
              <w:t>3</w:t>
            </w:r>
            <w:r w:rsidRPr="00442841">
              <w:rPr>
                <w:rFonts w:cs="Times New Roman"/>
                <w:color w:val="000000"/>
                <w:szCs w:val="24"/>
                <w:lang w:val="en-GB"/>
              </w:rPr>
              <w:t xml:space="preserve"> g</w:t>
            </w:r>
            <w:r w:rsidRPr="002901CE">
              <w:rPr>
                <w:rFonts w:cs="Times New Roman" w:hint="eastAsia"/>
                <w:color w:val="000000"/>
                <w:szCs w:val="24"/>
                <w:vertAlign w:val="superscript"/>
                <w:lang w:val="en-GB"/>
              </w:rPr>
              <w:t>-1</w:t>
            </w:r>
            <w:r>
              <w:rPr>
                <w:rFonts w:cs="Times New Roman" w:hint="eastAsia"/>
                <w:color w:val="000000"/>
                <w:szCs w:val="24"/>
                <w:lang w:val="en-GB"/>
              </w:rPr>
              <w:t>)</w:t>
            </w:r>
          </w:p>
        </w:tc>
        <w:tc>
          <w:tcPr>
            <w:tcW w:w="109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400E" w:rsidRPr="00442841" w:rsidRDefault="00BA400E" w:rsidP="00D87F39">
            <w:pPr>
              <w:ind w:firstLineChars="0" w:firstLine="0"/>
              <w:jc w:val="center"/>
              <w:rPr>
                <w:rFonts w:cs="Times New Roman"/>
                <w:color w:val="000000"/>
                <w:szCs w:val="24"/>
                <w:lang w:val="en-GB"/>
              </w:rPr>
            </w:pPr>
            <w:proofErr w:type="spellStart"/>
            <w:r w:rsidRPr="00442841">
              <w:rPr>
                <w:rFonts w:cs="Times New Roman"/>
                <w:color w:val="000000"/>
                <w:szCs w:val="24"/>
                <w:lang w:val="en-GB"/>
              </w:rPr>
              <w:t>V</w:t>
            </w:r>
            <w:r w:rsidRPr="00442841">
              <w:rPr>
                <w:rFonts w:cs="Times New Roman"/>
                <w:color w:val="000000"/>
                <w:szCs w:val="24"/>
                <w:vertAlign w:val="subscript"/>
                <w:lang w:val="en-GB"/>
              </w:rPr>
              <w:t>Micro</w:t>
            </w:r>
            <w:r>
              <w:rPr>
                <w:rFonts w:cs="Times New Roman" w:hint="eastAsia"/>
                <w:color w:val="000000"/>
                <w:szCs w:val="24"/>
                <w:vertAlign w:val="superscript"/>
                <w:lang w:val="en-GB"/>
              </w:rPr>
              <w:t>f</w:t>
            </w:r>
            <w:proofErr w:type="spellEnd"/>
          </w:p>
          <w:p w:rsidR="00BA400E" w:rsidRPr="00442841" w:rsidRDefault="00BA400E" w:rsidP="00D87F39">
            <w:pPr>
              <w:ind w:firstLineChars="0" w:firstLine="0"/>
              <w:jc w:val="center"/>
              <w:rPr>
                <w:rFonts w:cs="Times New Roman"/>
                <w:color w:val="000000"/>
                <w:szCs w:val="24"/>
                <w:lang w:val="en-GB"/>
              </w:rPr>
            </w:pPr>
            <w:r>
              <w:rPr>
                <w:rFonts w:cs="Times New Roman" w:hint="eastAsia"/>
                <w:color w:val="000000"/>
                <w:szCs w:val="24"/>
                <w:lang w:val="en-GB"/>
              </w:rPr>
              <w:t>(</w:t>
            </w:r>
            <w:r w:rsidRPr="00442841">
              <w:rPr>
                <w:rFonts w:cs="Times New Roman"/>
                <w:color w:val="000000"/>
                <w:szCs w:val="24"/>
                <w:lang w:val="en-GB"/>
              </w:rPr>
              <w:t>cm</w:t>
            </w:r>
            <w:r w:rsidRPr="00442841">
              <w:rPr>
                <w:rFonts w:cs="Times New Roman"/>
                <w:color w:val="000000"/>
                <w:szCs w:val="24"/>
                <w:vertAlign w:val="superscript"/>
                <w:lang w:val="en-GB"/>
              </w:rPr>
              <w:t>3</w:t>
            </w:r>
            <w:r w:rsidRPr="00442841">
              <w:rPr>
                <w:rFonts w:cs="Times New Roman"/>
                <w:color w:val="000000"/>
                <w:szCs w:val="24"/>
                <w:lang w:val="en-GB"/>
              </w:rPr>
              <w:t xml:space="preserve"> g</w:t>
            </w:r>
            <w:r w:rsidRPr="002901CE">
              <w:rPr>
                <w:rFonts w:cs="Times New Roman" w:hint="eastAsia"/>
                <w:color w:val="000000"/>
                <w:szCs w:val="24"/>
                <w:vertAlign w:val="superscript"/>
                <w:lang w:val="en-GB"/>
              </w:rPr>
              <w:t>-1</w:t>
            </w:r>
            <w:r>
              <w:rPr>
                <w:rFonts w:cs="Times New Roman" w:hint="eastAsia"/>
                <w:color w:val="000000"/>
                <w:szCs w:val="24"/>
                <w:lang w:val="en-GB"/>
              </w:rPr>
              <w:t>)</w:t>
            </w:r>
          </w:p>
        </w:tc>
        <w:tc>
          <w:tcPr>
            <w:tcW w:w="8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400E" w:rsidRPr="00442841" w:rsidRDefault="00BA400E" w:rsidP="00D87F39">
            <w:pPr>
              <w:ind w:firstLineChars="0" w:firstLine="0"/>
              <w:jc w:val="center"/>
              <w:rPr>
                <w:rFonts w:cs="Times New Roman"/>
                <w:color w:val="000000"/>
                <w:szCs w:val="24"/>
                <w:lang w:val="en-GB"/>
              </w:rPr>
            </w:pPr>
            <w:r w:rsidRPr="00442841">
              <w:rPr>
                <w:rFonts w:cs="Times New Roman"/>
                <w:color w:val="000000"/>
                <w:szCs w:val="24"/>
                <w:lang w:val="en-GB"/>
              </w:rPr>
              <w:t>D</w:t>
            </w:r>
            <w:r>
              <w:rPr>
                <w:rFonts w:cs="Times New Roman" w:hint="eastAsia"/>
                <w:color w:val="000000"/>
                <w:szCs w:val="24"/>
                <w:vertAlign w:val="superscript"/>
                <w:lang w:val="en-GB"/>
              </w:rPr>
              <w:t>g</w:t>
            </w:r>
          </w:p>
          <w:p w:rsidR="00BA400E" w:rsidRPr="00442841" w:rsidRDefault="00BA400E" w:rsidP="00D87F39">
            <w:pPr>
              <w:ind w:firstLineChars="0" w:firstLine="0"/>
              <w:jc w:val="center"/>
              <w:rPr>
                <w:rFonts w:cs="Times New Roman"/>
                <w:color w:val="000000"/>
                <w:szCs w:val="24"/>
                <w:lang w:val="en-GB"/>
              </w:rPr>
            </w:pPr>
            <w:r>
              <w:rPr>
                <w:rFonts w:cs="Times New Roman" w:hint="eastAsia"/>
                <w:color w:val="000000"/>
                <w:szCs w:val="24"/>
                <w:lang w:val="en-GB"/>
              </w:rPr>
              <w:t>(</w:t>
            </w:r>
            <w:r>
              <w:rPr>
                <w:rFonts w:cs="Times New Roman"/>
                <w:color w:val="000000"/>
                <w:szCs w:val="24"/>
                <w:lang w:val="en-GB"/>
              </w:rPr>
              <w:t>nm</w:t>
            </w:r>
            <w:r>
              <w:rPr>
                <w:rFonts w:cs="Times New Roman" w:hint="eastAsia"/>
                <w:color w:val="000000"/>
                <w:szCs w:val="24"/>
                <w:lang w:val="en-GB"/>
              </w:rPr>
              <w:t>)</w:t>
            </w:r>
          </w:p>
        </w:tc>
      </w:tr>
      <w:tr w:rsidR="00BA400E" w:rsidRPr="00442841" w:rsidTr="00D87F39">
        <w:trPr>
          <w:trHeight w:val="119"/>
          <w:jc w:val="center"/>
        </w:trPr>
        <w:tc>
          <w:tcPr>
            <w:tcW w:w="1140" w:type="dxa"/>
            <w:shd w:val="clear" w:color="auto" w:fill="auto"/>
            <w:vAlign w:val="center"/>
          </w:tcPr>
          <w:p w:rsidR="00BA400E" w:rsidRPr="00DE6317" w:rsidRDefault="00BA400E" w:rsidP="00D87F39">
            <w:pPr>
              <w:ind w:firstLineChars="0" w:firstLine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 w:hint="eastAsia"/>
                <w:color w:val="000000"/>
                <w:szCs w:val="24"/>
              </w:rPr>
              <w:t>PC</w:t>
            </w:r>
            <w:r w:rsidRPr="00DE6317">
              <w:rPr>
                <w:rFonts w:cs="Times New Roman"/>
                <w:color w:val="000000"/>
                <w:szCs w:val="24"/>
              </w:rPr>
              <w:t>AC</w:t>
            </w:r>
            <w:r>
              <w:rPr>
                <w:rFonts w:cs="Times New Roman" w:hint="eastAsia"/>
                <w:color w:val="000000"/>
                <w:szCs w:val="24"/>
              </w:rPr>
              <w:t>-5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BA400E" w:rsidRPr="00DE6317" w:rsidRDefault="00BA400E" w:rsidP="00D87F39">
            <w:pPr>
              <w:ind w:firstLineChars="0" w:firstLine="0"/>
              <w:jc w:val="center"/>
              <w:rPr>
                <w:rFonts w:cs="Times New Roman"/>
                <w:color w:val="000000"/>
                <w:szCs w:val="24"/>
              </w:rPr>
            </w:pPr>
            <w:r w:rsidRPr="00DE6317">
              <w:rPr>
                <w:rFonts w:cs="Times New Roman"/>
                <w:color w:val="000000"/>
                <w:szCs w:val="24"/>
              </w:rPr>
              <w:t>2</w:t>
            </w:r>
            <w:r>
              <w:rPr>
                <w:rFonts w:cs="Times New Roman" w:hint="eastAsia"/>
                <w:color w:val="000000"/>
                <w:szCs w:val="24"/>
              </w:rPr>
              <w:t>098</w:t>
            </w:r>
            <w:r w:rsidRPr="00DE6317">
              <w:rPr>
                <w:rFonts w:cs="Times New Roman"/>
                <w:color w:val="000000"/>
                <w:szCs w:val="24"/>
              </w:rPr>
              <w:t>.</w:t>
            </w:r>
            <w:r>
              <w:rPr>
                <w:rFonts w:cs="Times New Roman" w:hint="eastAsia"/>
                <w:color w:val="000000"/>
                <w:szCs w:val="24"/>
              </w:rPr>
              <w:t>6</w:t>
            </w:r>
            <w:r w:rsidRPr="00DE6317"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051" w:type="dxa"/>
            <w:vAlign w:val="center"/>
          </w:tcPr>
          <w:p w:rsidR="00BA400E" w:rsidRPr="00DE6317" w:rsidRDefault="00BA400E" w:rsidP="00D87F39">
            <w:pPr>
              <w:ind w:firstLineChars="0" w:firstLine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 w:hint="eastAsia"/>
                <w:color w:val="000000"/>
                <w:szCs w:val="24"/>
              </w:rPr>
              <w:t>816.2</w:t>
            </w:r>
            <w:r w:rsidRPr="00DE6317"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BA400E" w:rsidRPr="00DE6317" w:rsidRDefault="00BA400E" w:rsidP="00D87F39">
            <w:pPr>
              <w:ind w:firstLineChars="0" w:firstLine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 w:hint="eastAsia"/>
                <w:color w:val="000000"/>
                <w:szCs w:val="24"/>
              </w:rPr>
              <w:t>1282.4</w:t>
            </w:r>
            <w:r w:rsidRPr="00DE6317"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BA400E" w:rsidRPr="00DE6317" w:rsidRDefault="00BA400E" w:rsidP="00D87F39">
            <w:pPr>
              <w:ind w:firstLineChars="0" w:firstLine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 w:hint="eastAsia"/>
                <w:color w:val="000000"/>
                <w:szCs w:val="24"/>
              </w:rPr>
              <w:t>1.17</w:t>
            </w:r>
            <w:r w:rsidRPr="00DE6317"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  <w:vAlign w:val="center"/>
          </w:tcPr>
          <w:p w:rsidR="00BA400E" w:rsidRPr="00DE6317" w:rsidRDefault="00BA400E" w:rsidP="00D87F39">
            <w:pPr>
              <w:ind w:firstLineChars="0" w:firstLine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 w:hint="eastAsia"/>
                <w:color w:val="000000"/>
                <w:szCs w:val="24"/>
              </w:rPr>
              <w:t>0.59</w:t>
            </w:r>
            <w:r w:rsidRPr="00DE6317"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BA400E" w:rsidRPr="00DE6317" w:rsidRDefault="00BA400E" w:rsidP="00D87F39">
            <w:pPr>
              <w:ind w:firstLineChars="0" w:firstLine="0"/>
              <w:jc w:val="center"/>
              <w:rPr>
                <w:rFonts w:cs="Times New Roman"/>
                <w:color w:val="000000"/>
                <w:szCs w:val="24"/>
              </w:rPr>
            </w:pPr>
            <w:r w:rsidRPr="00DE6317">
              <w:rPr>
                <w:rFonts w:cs="Times New Roman"/>
                <w:color w:val="000000"/>
                <w:szCs w:val="24"/>
              </w:rPr>
              <w:t>0.</w:t>
            </w:r>
            <w:r>
              <w:rPr>
                <w:rFonts w:cs="Times New Roman" w:hint="eastAsia"/>
                <w:color w:val="000000"/>
                <w:szCs w:val="24"/>
              </w:rPr>
              <w:t>58</w:t>
            </w:r>
            <w:r w:rsidRPr="00DE6317"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879" w:type="dxa"/>
            <w:gridSpan w:val="2"/>
            <w:shd w:val="clear" w:color="auto" w:fill="auto"/>
            <w:vAlign w:val="center"/>
          </w:tcPr>
          <w:p w:rsidR="00BA400E" w:rsidRPr="00DE6317" w:rsidRDefault="00BA400E" w:rsidP="00D87F39">
            <w:pPr>
              <w:ind w:firstLineChars="0" w:firstLine="0"/>
              <w:jc w:val="center"/>
              <w:rPr>
                <w:rFonts w:cs="Times New Roman"/>
                <w:color w:val="000000"/>
                <w:szCs w:val="24"/>
              </w:rPr>
            </w:pPr>
            <w:r w:rsidRPr="00DE6317">
              <w:rPr>
                <w:rFonts w:cs="Times New Roman"/>
                <w:color w:val="000000"/>
                <w:szCs w:val="24"/>
              </w:rPr>
              <w:t>2.2</w:t>
            </w:r>
            <w:r>
              <w:rPr>
                <w:rFonts w:cs="Times New Roman" w:hint="eastAsia"/>
                <w:color w:val="000000"/>
                <w:szCs w:val="24"/>
              </w:rPr>
              <w:t>3</w:t>
            </w:r>
            <w:r w:rsidRPr="00DE6317"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</w:tbl>
    <w:p w:rsidR="006D68FA" w:rsidRDefault="006D68FA" w:rsidP="006D68FA">
      <w:pPr>
        <w:spacing w:line="240" w:lineRule="auto"/>
        <w:ind w:leftChars="59" w:left="142" w:rightChars="44" w:right="106" w:firstLineChars="0" w:firstLine="0"/>
        <w:rPr>
          <w:rFonts w:eastAsia="宋体" w:cs="Times New Roman"/>
          <w:color w:val="000000"/>
          <w:kern w:val="0"/>
          <w:sz w:val="20"/>
          <w:szCs w:val="20"/>
          <w:vertAlign w:val="subscript"/>
        </w:rPr>
      </w:pPr>
      <w:proofErr w:type="gramStart"/>
      <w:r w:rsidRPr="003A4FE6">
        <w:rPr>
          <w:sz w:val="20"/>
          <w:szCs w:val="20"/>
          <w:vertAlign w:val="superscript"/>
        </w:rPr>
        <w:t>a</w:t>
      </w:r>
      <w:proofErr w:type="gramEnd"/>
      <w:r w:rsidRPr="003A4FE6">
        <w:rPr>
          <w:rFonts w:hint="eastAsia"/>
          <w:sz w:val="20"/>
          <w:szCs w:val="20"/>
          <w:vertAlign w:val="superscript"/>
        </w:rPr>
        <w:t xml:space="preserve"> </w:t>
      </w:r>
      <w:r w:rsidRPr="003A4FE6">
        <w:rPr>
          <w:sz w:val="20"/>
          <w:szCs w:val="20"/>
        </w:rPr>
        <w:t>BET surface area</w:t>
      </w:r>
      <w:r w:rsidRPr="003A4FE6">
        <w:rPr>
          <w:rFonts w:hint="eastAsia"/>
          <w:sz w:val="20"/>
          <w:szCs w:val="20"/>
        </w:rPr>
        <w:t xml:space="preserve">; </w:t>
      </w:r>
      <w:r w:rsidRPr="003A4FE6">
        <w:rPr>
          <w:rFonts w:hint="eastAsia"/>
          <w:sz w:val="20"/>
          <w:szCs w:val="20"/>
          <w:vertAlign w:val="superscript"/>
        </w:rPr>
        <w:t xml:space="preserve">b </w:t>
      </w:r>
      <w:proofErr w:type="spellStart"/>
      <w:r w:rsidRPr="003A4FE6">
        <w:rPr>
          <w:rFonts w:hint="eastAsia"/>
          <w:sz w:val="20"/>
          <w:szCs w:val="20"/>
        </w:rPr>
        <w:t>Meso</w:t>
      </w:r>
      <w:r>
        <w:rPr>
          <w:rFonts w:hint="eastAsia"/>
          <w:sz w:val="20"/>
          <w:szCs w:val="20"/>
        </w:rPr>
        <w:t>pore</w:t>
      </w:r>
      <w:proofErr w:type="spellEnd"/>
      <w:r w:rsidRPr="005F2336">
        <w:rPr>
          <w:rFonts w:hint="eastAsia"/>
          <w:sz w:val="20"/>
          <w:szCs w:val="20"/>
        </w:rPr>
        <w:t xml:space="preserve"> </w:t>
      </w:r>
      <w:r w:rsidRPr="003A4FE6">
        <w:rPr>
          <w:rFonts w:hint="eastAsia"/>
          <w:sz w:val="20"/>
          <w:szCs w:val="20"/>
        </w:rPr>
        <w:t>surface area</w:t>
      </w:r>
      <w:r w:rsidRPr="003A4FE6">
        <w:rPr>
          <w:sz w:val="20"/>
          <w:szCs w:val="20"/>
        </w:rPr>
        <w:t xml:space="preserve"> calculated by</w:t>
      </w:r>
      <w:r w:rsidRPr="003A4FE6"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BJH</w:t>
      </w:r>
      <w:r w:rsidRPr="003A4FE6">
        <w:rPr>
          <w:sz w:val="20"/>
          <w:szCs w:val="20"/>
        </w:rPr>
        <w:t xml:space="preserve"> method</w:t>
      </w:r>
      <w:r>
        <w:rPr>
          <w:rFonts w:hint="eastAsia"/>
          <w:sz w:val="20"/>
          <w:szCs w:val="20"/>
        </w:rPr>
        <w:t xml:space="preserve"> using adsorption branch</w:t>
      </w:r>
      <w:r w:rsidRPr="003A4FE6">
        <w:rPr>
          <w:rFonts w:hint="eastAsia"/>
          <w:sz w:val="20"/>
          <w:szCs w:val="20"/>
        </w:rPr>
        <w:t xml:space="preserve">; </w:t>
      </w:r>
      <w:r w:rsidRPr="003A4FE6">
        <w:rPr>
          <w:rFonts w:hint="eastAsia"/>
          <w:sz w:val="20"/>
          <w:szCs w:val="20"/>
          <w:vertAlign w:val="superscript"/>
        </w:rPr>
        <w:t>c</w:t>
      </w:r>
      <w:r w:rsidRPr="003A4FE6">
        <w:rPr>
          <w:sz w:val="20"/>
          <w:szCs w:val="20"/>
        </w:rPr>
        <w:t xml:space="preserve"> </w:t>
      </w:r>
      <w:proofErr w:type="spellStart"/>
      <w:r w:rsidRPr="003A4FE6">
        <w:rPr>
          <w:sz w:val="20"/>
          <w:szCs w:val="20"/>
        </w:rPr>
        <w:t>Micropore</w:t>
      </w:r>
      <w:proofErr w:type="spellEnd"/>
      <w:r w:rsidRPr="003A4FE6">
        <w:rPr>
          <w:sz w:val="20"/>
          <w:szCs w:val="20"/>
        </w:rPr>
        <w:t xml:space="preserve"> surface area</w:t>
      </w:r>
      <w:r w:rsidRPr="003A4FE6">
        <w:rPr>
          <w:rFonts w:hint="eastAsia"/>
          <w:sz w:val="20"/>
          <w:szCs w:val="20"/>
        </w:rPr>
        <w:t xml:space="preserve"> </w:t>
      </w:r>
      <w:proofErr w:type="spellStart"/>
      <w:r w:rsidRPr="003A4FE6">
        <w:rPr>
          <w:rFonts w:eastAsia="宋体" w:cs="Times New Roman" w:hint="eastAsia"/>
          <w:color w:val="000000"/>
          <w:kern w:val="0"/>
          <w:sz w:val="20"/>
          <w:szCs w:val="20"/>
        </w:rPr>
        <w:t>S</w:t>
      </w:r>
      <w:r w:rsidRPr="003A4FE6">
        <w:rPr>
          <w:rFonts w:eastAsia="宋体" w:cs="Times New Roman"/>
          <w:color w:val="000000"/>
          <w:kern w:val="0"/>
          <w:sz w:val="20"/>
          <w:szCs w:val="20"/>
          <w:vertAlign w:val="subscript"/>
        </w:rPr>
        <w:t>mic</w:t>
      </w:r>
      <w:r>
        <w:rPr>
          <w:rFonts w:eastAsia="宋体" w:cs="Times New Roman" w:hint="eastAsia"/>
          <w:color w:val="000000"/>
          <w:kern w:val="0"/>
          <w:sz w:val="20"/>
          <w:szCs w:val="20"/>
          <w:vertAlign w:val="subscript"/>
        </w:rPr>
        <w:t>ro</w:t>
      </w:r>
      <w:proofErr w:type="spellEnd"/>
      <w:r w:rsidRPr="002901CE">
        <w:rPr>
          <w:rFonts w:eastAsia="宋体" w:cs="Times New Roman" w:hint="eastAsia"/>
          <w:color w:val="000000"/>
          <w:kern w:val="0"/>
          <w:sz w:val="20"/>
          <w:szCs w:val="20"/>
        </w:rPr>
        <w:t>=</w:t>
      </w:r>
      <w:r w:rsidRPr="003A4FE6">
        <w:rPr>
          <w:rFonts w:eastAsia="宋体" w:cs="Times New Roman"/>
          <w:color w:val="000000"/>
          <w:kern w:val="0"/>
          <w:sz w:val="20"/>
          <w:szCs w:val="20"/>
        </w:rPr>
        <w:t>S</w:t>
      </w:r>
      <w:r w:rsidRPr="003A4FE6">
        <w:rPr>
          <w:rFonts w:eastAsia="宋体" w:cs="Times New Roman"/>
          <w:color w:val="000000"/>
          <w:kern w:val="0"/>
          <w:sz w:val="20"/>
          <w:szCs w:val="20"/>
          <w:vertAlign w:val="subscript"/>
        </w:rPr>
        <w:t>BET</w:t>
      </w:r>
      <w:r w:rsidRPr="002901CE">
        <w:rPr>
          <w:rFonts w:eastAsia="宋体" w:cs="Times New Roman" w:hint="eastAsia"/>
          <w:color w:val="000000"/>
          <w:kern w:val="0"/>
          <w:sz w:val="20"/>
          <w:szCs w:val="20"/>
        </w:rPr>
        <w:t>-</w:t>
      </w:r>
      <w:proofErr w:type="spellStart"/>
      <w:r w:rsidRPr="003A4FE6">
        <w:rPr>
          <w:rFonts w:eastAsia="宋体" w:cs="Times New Roman"/>
          <w:color w:val="000000"/>
          <w:kern w:val="0"/>
          <w:sz w:val="20"/>
          <w:szCs w:val="20"/>
        </w:rPr>
        <w:t>S</w:t>
      </w:r>
      <w:r>
        <w:rPr>
          <w:rFonts w:eastAsia="宋体" w:cs="Times New Roman" w:hint="eastAsia"/>
          <w:color w:val="000000"/>
          <w:kern w:val="0"/>
          <w:sz w:val="20"/>
          <w:szCs w:val="20"/>
          <w:vertAlign w:val="subscript"/>
        </w:rPr>
        <w:t>M</w:t>
      </w:r>
      <w:r w:rsidRPr="003A4FE6">
        <w:rPr>
          <w:rFonts w:eastAsia="宋体" w:cs="Times New Roman" w:hint="eastAsia"/>
          <w:color w:val="000000"/>
          <w:kern w:val="0"/>
          <w:sz w:val="20"/>
          <w:szCs w:val="20"/>
          <w:vertAlign w:val="subscript"/>
        </w:rPr>
        <w:t>es</w:t>
      </w:r>
      <w:r>
        <w:rPr>
          <w:rFonts w:eastAsia="宋体" w:cs="Times New Roman" w:hint="eastAsia"/>
          <w:color w:val="000000"/>
          <w:kern w:val="0"/>
          <w:sz w:val="20"/>
          <w:szCs w:val="20"/>
          <w:vertAlign w:val="subscript"/>
        </w:rPr>
        <w:t>o</w:t>
      </w:r>
      <w:proofErr w:type="spellEnd"/>
      <w:r w:rsidRPr="003A4FE6">
        <w:rPr>
          <w:rFonts w:hint="eastAsia"/>
          <w:sz w:val="20"/>
          <w:szCs w:val="20"/>
        </w:rPr>
        <w:t xml:space="preserve">; </w:t>
      </w:r>
      <w:r w:rsidRPr="003A4FE6">
        <w:rPr>
          <w:rFonts w:hint="eastAsia"/>
          <w:sz w:val="20"/>
          <w:szCs w:val="20"/>
          <w:vertAlign w:val="superscript"/>
        </w:rPr>
        <w:t xml:space="preserve">d </w:t>
      </w:r>
      <w:r w:rsidRPr="002901CE">
        <w:rPr>
          <w:sz w:val="20"/>
          <w:szCs w:val="20"/>
        </w:rPr>
        <w:t>Total pore volume, measured at P/P</w:t>
      </w:r>
      <w:r>
        <w:rPr>
          <w:rFonts w:hint="eastAsia"/>
          <w:sz w:val="20"/>
          <w:szCs w:val="20"/>
        </w:rPr>
        <w:t>o</w:t>
      </w:r>
      <w:r w:rsidRPr="002901CE">
        <w:rPr>
          <w:sz w:val="20"/>
          <w:szCs w:val="20"/>
        </w:rPr>
        <w:t>=0.99</w:t>
      </w:r>
      <w:r w:rsidRPr="003A4FE6">
        <w:rPr>
          <w:rFonts w:hint="eastAsia"/>
          <w:sz w:val="20"/>
          <w:szCs w:val="20"/>
        </w:rPr>
        <w:t>;</w:t>
      </w:r>
      <w:r w:rsidRPr="003A4FE6">
        <w:rPr>
          <w:sz w:val="20"/>
          <w:szCs w:val="20"/>
        </w:rPr>
        <w:t xml:space="preserve"> </w:t>
      </w:r>
      <w:r w:rsidRPr="003A4FE6">
        <w:rPr>
          <w:rFonts w:hint="eastAsia"/>
          <w:sz w:val="20"/>
          <w:szCs w:val="20"/>
          <w:vertAlign w:val="superscript"/>
        </w:rPr>
        <w:t>e</w:t>
      </w:r>
      <w:r w:rsidRPr="003A4FE6">
        <w:rPr>
          <w:rFonts w:hint="eastAsia"/>
          <w:sz w:val="20"/>
          <w:szCs w:val="20"/>
        </w:rPr>
        <w:t xml:space="preserve"> </w:t>
      </w:r>
      <w:proofErr w:type="spellStart"/>
      <w:r>
        <w:rPr>
          <w:rFonts w:hint="eastAsia"/>
          <w:sz w:val="20"/>
          <w:szCs w:val="20"/>
        </w:rPr>
        <w:t>Mesopore</w:t>
      </w:r>
      <w:proofErr w:type="spellEnd"/>
      <w:r>
        <w:rPr>
          <w:rFonts w:hint="eastAsia"/>
          <w:sz w:val="20"/>
          <w:szCs w:val="20"/>
        </w:rPr>
        <w:t xml:space="preserve">  volume</w:t>
      </w:r>
      <w:r w:rsidRPr="003A4FE6">
        <w:rPr>
          <w:sz w:val="20"/>
          <w:szCs w:val="20"/>
        </w:rPr>
        <w:t xml:space="preserve"> calculated by</w:t>
      </w:r>
      <w:r w:rsidRPr="003A4FE6"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BJH</w:t>
      </w:r>
      <w:r w:rsidRPr="003A4FE6">
        <w:rPr>
          <w:sz w:val="20"/>
          <w:szCs w:val="20"/>
        </w:rPr>
        <w:t xml:space="preserve"> method</w:t>
      </w:r>
      <w:r>
        <w:rPr>
          <w:rFonts w:hint="eastAsia"/>
          <w:sz w:val="20"/>
          <w:szCs w:val="20"/>
        </w:rPr>
        <w:t xml:space="preserve"> using adsorption </w:t>
      </w:r>
      <w:proofErr w:type="spellStart"/>
      <w:r>
        <w:rPr>
          <w:rFonts w:hint="eastAsia"/>
          <w:sz w:val="20"/>
          <w:szCs w:val="20"/>
        </w:rPr>
        <w:t>brance</w:t>
      </w:r>
      <w:proofErr w:type="spellEnd"/>
      <w:r>
        <w:rPr>
          <w:rFonts w:hint="eastAsia"/>
          <w:sz w:val="20"/>
          <w:szCs w:val="20"/>
        </w:rPr>
        <w:t>;</w:t>
      </w:r>
      <w:r w:rsidRPr="002901CE">
        <w:rPr>
          <w:rFonts w:hint="eastAsia"/>
          <w:sz w:val="20"/>
          <w:szCs w:val="20"/>
          <w:vertAlign w:val="superscript"/>
        </w:rPr>
        <w:t xml:space="preserve"> f</w:t>
      </w:r>
      <w:r>
        <w:rPr>
          <w:rFonts w:hint="eastAsia"/>
          <w:sz w:val="20"/>
          <w:szCs w:val="20"/>
        </w:rPr>
        <w:t xml:space="preserve"> </w:t>
      </w:r>
      <w:proofErr w:type="spellStart"/>
      <w:r w:rsidRPr="005F2336">
        <w:rPr>
          <w:rFonts w:hint="eastAsia"/>
          <w:sz w:val="20"/>
          <w:szCs w:val="20"/>
        </w:rPr>
        <w:t>M</w:t>
      </w:r>
      <w:r w:rsidRPr="005F2336">
        <w:rPr>
          <w:sz w:val="20"/>
          <w:szCs w:val="20"/>
        </w:rPr>
        <w:t>icropor</w:t>
      </w:r>
      <w:r w:rsidRPr="005F2336">
        <w:rPr>
          <w:rFonts w:hint="eastAsia"/>
          <w:sz w:val="20"/>
          <w:szCs w:val="20"/>
        </w:rPr>
        <w:t>ous</w:t>
      </w:r>
      <w:proofErr w:type="spellEnd"/>
      <w:r w:rsidRPr="005F2336">
        <w:rPr>
          <w:sz w:val="20"/>
          <w:szCs w:val="20"/>
        </w:rPr>
        <w:t xml:space="preserve"> volume </w:t>
      </w:r>
      <w:proofErr w:type="spellStart"/>
      <w:r w:rsidRPr="005F2336">
        <w:rPr>
          <w:rFonts w:cs="Times New Roman"/>
          <w:sz w:val="20"/>
          <w:szCs w:val="20"/>
        </w:rPr>
        <w:t>V</w:t>
      </w:r>
      <w:r w:rsidRPr="00A70B5F">
        <w:rPr>
          <w:rFonts w:cs="Times New Roman"/>
          <w:szCs w:val="24"/>
          <w:vertAlign w:val="subscript"/>
        </w:rPr>
        <w:t>Micro</w:t>
      </w:r>
      <w:proofErr w:type="spellEnd"/>
      <w:r w:rsidRPr="002901CE">
        <w:rPr>
          <w:rFonts w:eastAsia="宋体" w:cs="Times New Roman" w:hint="eastAsia"/>
          <w:color w:val="000000"/>
          <w:kern w:val="0"/>
          <w:sz w:val="20"/>
          <w:szCs w:val="20"/>
        </w:rPr>
        <w:t xml:space="preserve"> =</w:t>
      </w:r>
      <w:proofErr w:type="spellStart"/>
      <w:r>
        <w:rPr>
          <w:rFonts w:eastAsia="宋体" w:cs="Times New Roman" w:hint="eastAsia"/>
          <w:color w:val="000000"/>
          <w:kern w:val="0"/>
          <w:sz w:val="20"/>
          <w:szCs w:val="20"/>
        </w:rPr>
        <w:t>V</w:t>
      </w:r>
      <w:r>
        <w:rPr>
          <w:rFonts w:eastAsia="宋体" w:cs="Times New Roman" w:hint="eastAsia"/>
          <w:color w:val="000000"/>
          <w:kern w:val="0"/>
          <w:sz w:val="20"/>
          <w:szCs w:val="20"/>
          <w:vertAlign w:val="subscript"/>
        </w:rPr>
        <w:t>Total</w:t>
      </w:r>
      <w:r w:rsidRPr="002901CE">
        <w:rPr>
          <w:rFonts w:eastAsia="宋体" w:cs="Times New Roman" w:hint="eastAsia"/>
          <w:color w:val="000000"/>
          <w:kern w:val="0"/>
          <w:sz w:val="20"/>
          <w:szCs w:val="20"/>
        </w:rPr>
        <w:t>-</w:t>
      </w:r>
      <w:r>
        <w:rPr>
          <w:rFonts w:eastAsia="宋体" w:cs="Times New Roman" w:hint="eastAsia"/>
          <w:color w:val="000000"/>
          <w:kern w:val="0"/>
          <w:sz w:val="20"/>
          <w:szCs w:val="20"/>
        </w:rPr>
        <w:t>V</w:t>
      </w:r>
      <w:r>
        <w:rPr>
          <w:rFonts w:eastAsia="宋体" w:cs="Times New Roman" w:hint="eastAsia"/>
          <w:color w:val="000000"/>
          <w:kern w:val="0"/>
          <w:sz w:val="20"/>
          <w:szCs w:val="20"/>
          <w:vertAlign w:val="subscript"/>
        </w:rPr>
        <w:t>M</w:t>
      </w:r>
      <w:r w:rsidRPr="003A4FE6">
        <w:rPr>
          <w:rFonts w:eastAsia="宋体" w:cs="Times New Roman" w:hint="eastAsia"/>
          <w:color w:val="000000"/>
          <w:kern w:val="0"/>
          <w:sz w:val="20"/>
          <w:szCs w:val="20"/>
          <w:vertAlign w:val="subscript"/>
        </w:rPr>
        <w:t>es</w:t>
      </w:r>
      <w:r>
        <w:rPr>
          <w:rFonts w:eastAsia="宋体" w:cs="Times New Roman" w:hint="eastAsia"/>
          <w:color w:val="000000"/>
          <w:kern w:val="0"/>
          <w:sz w:val="20"/>
          <w:szCs w:val="20"/>
          <w:vertAlign w:val="subscript"/>
        </w:rPr>
        <w:t>o</w:t>
      </w:r>
      <w:proofErr w:type="spellEnd"/>
      <w:r w:rsidRPr="003636D6">
        <w:rPr>
          <w:rFonts w:eastAsia="宋体" w:cs="Times New Roman"/>
          <w:color w:val="000000"/>
          <w:kern w:val="0"/>
          <w:sz w:val="20"/>
          <w:szCs w:val="20"/>
        </w:rPr>
        <w:t>;</w:t>
      </w:r>
      <w:r>
        <w:rPr>
          <w:rFonts w:eastAsia="宋体" w:cs="Times New Roman" w:hint="eastAsia"/>
          <w:color w:val="000000"/>
          <w:kern w:val="0"/>
          <w:sz w:val="20"/>
          <w:szCs w:val="20"/>
          <w:vertAlign w:val="subscript"/>
        </w:rPr>
        <w:t xml:space="preserve"> </w:t>
      </w:r>
      <w:r w:rsidRPr="002901CE">
        <w:rPr>
          <w:rFonts w:hint="eastAsia"/>
          <w:sz w:val="20"/>
          <w:szCs w:val="20"/>
          <w:vertAlign w:val="superscript"/>
        </w:rPr>
        <w:t>g</w:t>
      </w:r>
      <w:r>
        <w:rPr>
          <w:rFonts w:hint="eastAsia"/>
          <w:sz w:val="20"/>
          <w:szCs w:val="20"/>
        </w:rPr>
        <w:t xml:space="preserve"> </w:t>
      </w:r>
      <w:r w:rsidRPr="005F2336">
        <w:rPr>
          <w:sz w:val="20"/>
          <w:szCs w:val="20"/>
        </w:rPr>
        <w:t>Average pore width</w:t>
      </w:r>
      <w:r>
        <w:rPr>
          <w:rFonts w:hint="eastAsia"/>
          <w:sz w:val="20"/>
          <w:szCs w:val="20"/>
        </w:rPr>
        <w:t xml:space="preserve"> </w:t>
      </w:r>
      <w:r w:rsidRPr="005F2336">
        <w:rPr>
          <w:sz w:val="20"/>
          <w:szCs w:val="20"/>
        </w:rPr>
        <w:t>calculated by 4V</w:t>
      </w:r>
      <w:r w:rsidRPr="005F2336">
        <w:rPr>
          <w:sz w:val="20"/>
          <w:szCs w:val="20"/>
          <w:vertAlign w:val="subscript"/>
        </w:rPr>
        <w:t>Total</w:t>
      </w:r>
      <w:r w:rsidRPr="005F2336">
        <w:rPr>
          <w:sz w:val="20"/>
          <w:szCs w:val="20"/>
        </w:rPr>
        <w:t>/S</w:t>
      </w:r>
      <w:r w:rsidRPr="005F2336">
        <w:rPr>
          <w:sz w:val="20"/>
          <w:szCs w:val="20"/>
          <w:vertAlign w:val="subscript"/>
        </w:rPr>
        <w:t>BET</w:t>
      </w:r>
      <w:r w:rsidR="0092586E">
        <w:rPr>
          <w:rFonts w:hint="eastAsia"/>
          <w:sz w:val="20"/>
          <w:szCs w:val="20"/>
          <w:vertAlign w:val="subscript"/>
        </w:rPr>
        <w:t>.</w:t>
      </w:r>
    </w:p>
    <w:p w:rsidR="00001BA1" w:rsidRDefault="006D7DF7" w:rsidP="00FF72E4">
      <w:pPr>
        <w:spacing w:line="240" w:lineRule="auto"/>
        <w:ind w:rightChars="44" w:right="106" w:firstLineChars="0" w:firstLine="0"/>
        <w:jc w:val="center"/>
        <w:rPr>
          <w:sz w:val="20"/>
          <w:szCs w:val="20"/>
        </w:rPr>
      </w:pPr>
      <w:r>
        <w:object w:dxaOrig="24750" w:dyaOrig="191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5.05pt;height:197.25pt" o:ole="">
            <v:imagedata r:id="rId7" o:title=""/>
          </v:shape>
          <o:OLEObject Type="Embed" ProgID="Origin50.Graph" ShapeID="_x0000_i1025" DrawAspect="Content" ObjectID="_1527317628" r:id="rId8"/>
        </w:object>
      </w:r>
    </w:p>
    <w:p w:rsidR="00001BA1" w:rsidRPr="00636B92" w:rsidRDefault="00CE6D9B" w:rsidP="00CE6D9B">
      <w:pPr>
        <w:spacing w:line="240" w:lineRule="auto"/>
        <w:ind w:leftChars="59" w:left="142" w:rightChars="44" w:right="106" w:firstLine="420"/>
        <w:jc w:val="center"/>
        <w:rPr>
          <w:sz w:val="20"/>
          <w:szCs w:val="20"/>
        </w:rPr>
      </w:pPr>
      <w:proofErr w:type="gramStart"/>
      <w:r>
        <w:rPr>
          <w:rFonts w:hint="eastAsia"/>
          <w:bCs/>
          <w:sz w:val="21"/>
          <w:szCs w:val="21"/>
        </w:rPr>
        <w:t>Fig.</w:t>
      </w:r>
      <w:proofErr w:type="gramEnd"/>
      <w:r>
        <w:rPr>
          <w:rFonts w:hint="eastAsia"/>
          <w:bCs/>
          <w:sz w:val="21"/>
          <w:szCs w:val="21"/>
        </w:rPr>
        <w:t xml:space="preserve"> S1. </w:t>
      </w:r>
      <w:r w:rsidRPr="005460C2">
        <w:rPr>
          <w:bCs/>
          <w:sz w:val="21"/>
          <w:szCs w:val="21"/>
        </w:rPr>
        <w:t xml:space="preserve">CV curve </w:t>
      </w:r>
      <w:r>
        <w:rPr>
          <w:rFonts w:hint="eastAsia"/>
          <w:bCs/>
          <w:sz w:val="21"/>
          <w:szCs w:val="21"/>
        </w:rPr>
        <w:t>of PCAAC-4</w:t>
      </w:r>
      <w:bookmarkStart w:id="0" w:name="_GoBack"/>
      <w:r w:rsidR="0092586E">
        <w:rPr>
          <w:rFonts w:hint="eastAsia"/>
          <w:bCs/>
          <w:sz w:val="21"/>
          <w:szCs w:val="21"/>
        </w:rPr>
        <w:t xml:space="preserve"> </w:t>
      </w:r>
      <w:bookmarkEnd w:id="0"/>
      <w:r w:rsidRPr="005460C2">
        <w:rPr>
          <w:bCs/>
          <w:sz w:val="21"/>
          <w:szCs w:val="21"/>
        </w:rPr>
        <w:t>at a scan rate of 1</w:t>
      </w:r>
      <w:r w:rsidR="00AD6903">
        <w:rPr>
          <w:rFonts w:hint="eastAsia"/>
          <w:bCs/>
          <w:sz w:val="21"/>
          <w:szCs w:val="21"/>
        </w:rPr>
        <w:t>0</w:t>
      </w:r>
      <w:r w:rsidRPr="005460C2">
        <w:rPr>
          <w:bCs/>
          <w:sz w:val="21"/>
          <w:szCs w:val="21"/>
        </w:rPr>
        <w:t>0 mV s</w:t>
      </w:r>
      <w:r w:rsidRPr="005460C2">
        <w:rPr>
          <w:bCs/>
          <w:sz w:val="21"/>
          <w:szCs w:val="21"/>
          <w:vertAlign w:val="superscript"/>
        </w:rPr>
        <w:t>-1</w:t>
      </w:r>
    </w:p>
    <w:p w:rsidR="002654EE" w:rsidRDefault="00BA400E" w:rsidP="002654EE">
      <w:pPr>
        <w:ind w:firstLineChars="0" w:firstLine="0"/>
        <w:jc w:val="center"/>
      </w:pPr>
      <w:r>
        <w:object w:dxaOrig="24750" w:dyaOrig="19125">
          <v:shape id="_x0000_i1026" type="#_x0000_t75" style="width:248.95pt;height:192.15pt" o:ole="">
            <v:imagedata r:id="rId9" o:title=""/>
          </v:shape>
          <o:OLEObject Type="Embed" ProgID="Origin50.Graph" ShapeID="_x0000_i1026" DrawAspect="Content" ObjectID="_1527317629" r:id="rId10"/>
        </w:object>
      </w:r>
    </w:p>
    <w:p w:rsidR="002654EE" w:rsidRPr="00804AC0" w:rsidRDefault="002654EE" w:rsidP="00804AC0">
      <w:pPr>
        <w:ind w:firstLineChars="0" w:firstLine="0"/>
        <w:jc w:val="center"/>
        <w:rPr>
          <w:bCs/>
          <w:sz w:val="21"/>
          <w:szCs w:val="21"/>
        </w:rPr>
      </w:pPr>
      <w:r w:rsidRPr="005460C2">
        <w:rPr>
          <w:bCs/>
          <w:sz w:val="21"/>
          <w:szCs w:val="21"/>
        </w:rPr>
        <w:t xml:space="preserve">Fig. </w:t>
      </w:r>
      <w:r>
        <w:rPr>
          <w:rFonts w:hint="eastAsia"/>
          <w:bCs/>
          <w:sz w:val="21"/>
          <w:szCs w:val="21"/>
        </w:rPr>
        <w:t>S</w:t>
      </w:r>
      <w:r w:rsidR="00DD26DC">
        <w:rPr>
          <w:rFonts w:hint="eastAsia"/>
          <w:bCs/>
          <w:sz w:val="21"/>
          <w:szCs w:val="21"/>
        </w:rPr>
        <w:t>2</w:t>
      </w:r>
      <w:r w:rsidRPr="005460C2">
        <w:rPr>
          <w:bCs/>
          <w:sz w:val="21"/>
          <w:szCs w:val="21"/>
        </w:rPr>
        <w:t>.</w:t>
      </w:r>
      <w:r>
        <w:rPr>
          <w:rFonts w:hint="eastAsia"/>
          <w:bCs/>
          <w:sz w:val="21"/>
          <w:szCs w:val="21"/>
        </w:rPr>
        <w:t xml:space="preserve"> </w:t>
      </w:r>
      <w:r w:rsidRPr="005460C2">
        <w:rPr>
          <w:bCs/>
          <w:sz w:val="21"/>
          <w:szCs w:val="21"/>
        </w:rPr>
        <w:t xml:space="preserve">Capacitive performance of </w:t>
      </w:r>
      <w:r w:rsidR="00804AC0" w:rsidRPr="005460C2">
        <w:rPr>
          <w:rFonts w:hint="eastAsia"/>
          <w:bCs/>
          <w:sz w:val="21"/>
          <w:szCs w:val="21"/>
        </w:rPr>
        <w:t>PCAC</w:t>
      </w:r>
      <w:r w:rsidR="00804AC0">
        <w:rPr>
          <w:rFonts w:hint="eastAsia"/>
          <w:bCs/>
          <w:sz w:val="21"/>
          <w:szCs w:val="21"/>
        </w:rPr>
        <w:t xml:space="preserve">-4 and </w:t>
      </w:r>
      <w:r w:rsidRPr="005460C2">
        <w:rPr>
          <w:rFonts w:hint="eastAsia"/>
          <w:bCs/>
          <w:sz w:val="21"/>
          <w:szCs w:val="21"/>
        </w:rPr>
        <w:t>PCAC</w:t>
      </w:r>
      <w:r w:rsidR="00804AC0">
        <w:rPr>
          <w:rFonts w:hint="eastAsia"/>
          <w:bCs/>
          <w:sz w:val="21"/>
          <w:szCs w:val="21"/>
        </w:rPr>
        <w:t>-5</w:t>
      </w:r>
      <w:r w:rsidRPr="005460C2">
        <w:rPr>
          <w:bCs/>
          <w:sz w:val="21"/>
          <w:szCs w:val="21"/>
        </w:rPr>
        <w:t xml:space="preserve"> determined in a three-electrode cell in 6M KOH electrolyte: Specific capacitance at various current densities from 1 to </w:t>
      </w:r>
      <w:r w:rsidRPr="005460C2">
        <w:rPr>
          <w:rFonts w:hint="eastAsia"/>
          <w:bCs/>
          <w:sz w:val="21"/>
          <w:szCs w:val="21"/>
        </w:rPr>
        <w:t>5</w:t>
      </w:r>
      <w:r w:rsidRPr="005460C2">
        <w:rPr>
          <w:bCs/>
          <w:sz w:val="21"/>
          <w:szCs w:val="21"/>
        </w:rPr>
        <w:t>0 A g</w:t>
      </w:r>
      <w:r w:rsidRPr="005460C2">
        <w:rPr>
          <w:bCs/>
          <w:sz w:val="21"/>
          <w:szCs w:val="21"/>
          <w:vertAlign w:val="superscript"/>
        </w:rPr>
        <w:t>-1</w:t>
      </w:r>
      <w:r w:rsidRPr="005460C2">
        <w:rPr>
          <w:rFonts w:hint="eastAsia"/>
          <w:bCs/>
          <w:sz w:val="21"/>
          <w:szCs w:val="21"/>
        </w:rPr>
        <w:t>.</w:t>
      </w:r>
    </w:p>
    <w:p w:rsidR="002654EE" w:rsidRDefault="002654EE" w:rsidP="002654EE">
      <w:pPr>
        <w:ind w:firstLineChars="0" w:firstLine="0"/>
        <w:jc w:val="center"/>
      </w:pPr>
    </w:p>
    <w:p w:rsidR="00BA400E" w:rsidRDefault="00FF72E4" w:rsidP="00FF72E4">
      <w:pPr>
        <w:ind w:firstLineChars="0" w:firstLine="0"/>
        <w:jc w:val="center"/>
      </w:pPr>
      <w:r>
        <w:object w:dxaOrig="26310" w:dyaOrig="18600">
          <v:shape id="_x0000_i1027" type="#_x0000_t75" style="width:255.05pt;height:193.7pt" o:ole="">
            <v:imagedata r:id="rId11" o:title=""/>
          </v:shape>
          <o:OLEObject Type="Embed" ProgID="Origin50.Graph" ShapeID="_x0000_i1027" DrawAspect="Content" ObjectID="_1527317630" r:id="rId12"/>
        </w:object>
      </w:r>
    </w:p>
    <w:p w:rsidR="00FF72E4" w:rsidRPr="005F793B" w:rsidRDefault="00FF72E4" w:rsidP="00FF72E4">
      <w:pPr>
        <w:ind w:firstLineChars="0" w:firstLine="0"/>
        <w:jc w:val="center"/>
        <w:rPr>
          <w:rFonts w:cs="Times New Roman"/>
          <w:color w:val="000000"/>
          <w:szCs w:val="24"/>
        </w:rPr>
      </w:pPr>
      <w:bookmarkStart w:id="1" w:name="OLE_LINK123"/>
      <w:bookmarkStart w:id="2" w:name="OLE_LINK124"/>
      <w:r>
        <w:rPr>
          <w:rFonts w:hint="eastAsia"/>
          <w:bCs/>
          <w:sz w:val="21"/>
          <w:szCs w:val="21"/>
        </w:rPr>
        <w:t xml:space="preserve">Fig. S3. </w:t>
      </w:r>
      <w:proofErr w:type="spellStart"/>
      <w:r w:rsidRPr="00D734A7">
        <w:rPr>
          <w:bCs/>
          <w:sz w:val="21"/>
          <w:szCs w:val="21"/>
        </w:rPr>
        <w:t>Ragone</w:t>
      </w:r>
      <w:proofErr w:type="spellEnd"/>
      <w:r w:rsidRPr="00D734A7">
        <w:rPr>
          <w:bCs/>
          <w:sz w:val="21"/>
          <w:szCs w:val="21"/>
        </w:rPr>
        <w:t xml:space="preserve"> plot</w:t>
      </w:r>
      <w:bookmarkEnd w:id="1"/>
      <w:bookmarkEnd w:id="2"/>
      <w:r>
        <w:rPr>
          <w:rFonts w:hint="eastAsia"/>
          <w:bCs/>
          <w:sz w:val="21"/>
          <w:szCs w:val="21"/>
        </w:rPr>
        <w:t>s</w:t>
      </w:r>
      <w:r w:rsidRPr="00D734A7">
        <w:rPr>
          <w:bCs/>
          <w:sz w:val="21"/>
          <w:szCs w:val="21"/>
        </w:rPr>
        <w:t xml:space="preserve"> of </w:t>
      </w:r>
      <w:r w:rsidRPr="00D734A7">
        <w:rPr>
          <w:rFonts w:hint="eastAsia"/>
          <w:bCs/>
          <w:sz w:val="21"/>
          <w:szCs w:val="21"/>
        </w:rPr>
        <w:t>PCAC</w:t>
      </w:r>
      <w:r>
        <w:rPr>
          <w:rFonts w:hint="eastAsia"/>
          <w:bCs/>
          <w:sz w:val="21"/>
          <w:szCs w:val="21"/>
        </w:rPr>
        <w:t>s</w:t>
      </w:r>
    </w:p>
    <w:p w:rsidR="00BA400E" w:rsidRDefault="001543A0" w:rsidP="001543A0">
      <w:pPr>
        <w:ind w:firstLineChars="0" w:firstLine="0"/>
        <w:jc w:val="center"/>
      </w:pPr>
      <w:r>
        <w:object w:dxaOrig="24750" w:dyaOrig="19125">
          <v:shape id="_x0000_i1028" type="#_x0000_t75" style="width:255.05pt;height:197.25pt" o:ole="">
            <v:imagedata r:id="rId13" o:title=""/>
          </v:shape>
          <o:OLEObject Type="Embed" ProgID="Origin50.Graph" ShapeID="_x0000_i1028" DrawAspect="Content" ObjectID="_1527317631" r:id="rId14"/>
        </w:object>
      </w:r>
    </w:p>
    <w:p w:rsidR="001543A0" w:rsidRDefault="001543A0" w:rsidP="001543A0">
      <w:pPr>
        <w:ind w:firstLineChars="0" w:firstLine="0"/>
        <w:jc w:val="center"/>
        <w:rPr>
          <w:rFonts w:cs="Times New Roman"/>
          <w:color w:val="000000"/>
          <w:szCs w:val="24"/>
        </w:rPr>
      </w:pPr>
      <w:proofErr w:type="gramStart"/>
      <w:r>
        <w:rPr>
          <w:rFonts w:hint="eastAsia"/>
          <w:bCs/>
          <w:sz w:val="21"/>
          <w:szCs w:val="21"/>
        </w:rPr>
        <w:t>Fig.</w:t>
      </w:r>
      <w:proofErr w:type="gramEnd"/>
      <w:r>
        <w:rPr>
          <w:rFonts w:hint="eastAsia"/>
          <w:bCs/>
          <w:sz w:val="21"/>
          <w:szCs w:val="21"/>
        </w:rPr>
        <w:t xml:space="preserve"> S4. </w:t>
      </w:r>
      <w:r w:rsidRPr="005460C2">
        <w:rPr>
          <w:bCs/>
          <w:sz w:val="21"/>
          <w:szCs w:val="21"/>
        </w:rPr>
        <w:t xml:space="preserve">Capacitive performance of </w:t>
      </w:r>
      <w:r w:rsidRPr="005460C2">
        <w:rPr>
          <w:rFonts w:hint="eastAsia"/>
          <w:bCs/>
          <w:sz w:val="21"/>
          <w:szCs w:val="21"/>
        </w:rPr>
        <w:t>PCAC</w:t>
      </w:r>
      <w:r>
        <w:rPr>
          <w:rFonts w:hint="eastAsia"/>
          <w:bCs/>
          <w:sz w:val="21"/>
          <w:szCs w:val="21"/>
        </w:rPr>
        <w:t>-4</w:t>
      </w:r>
      <w:r w:rsidRPr="005460C2">
        <w:rPr>
          <w:bCs/>
          <w:sz w:val="21"/>
          <w:szCs w:val="21"/>
        </w:rPr>
        <w:t xml:space="preserve"> determined in a three-electrode cell in </w:t>
      </w:r>
      <w:r>
        <w:rPr>
          <w:rFonts w:hint="eastAsia"/>
          <w:bCs/>
          <w:sz w:val="21"/>
          <w:szCs w:val="21"/>
        </w:rPr>
        <w:t>1</w:t>
      </w:r>
      <w:r w:rsidRPr="005460C2">
        <w:rPr>
          <w:bCs/>
          <w:sz w:val="21"/>
          <w:szCs w:val="21"/>
        </w:rPr>
        <w:t xml:space="preserve">M </w:t>
      </w:r>
      <w:r>
        <w:rPr>
          <w:rFonts w:hint="eastAsia"/>
          <w:bCs/>
          <w:sz w:val="21"/>
          <w:szCs w:val="21"/>
        </w:rPr>
        <w:t>H</w:t>
      </w:r>
      <w:r w:rsidRPr="00BE55F7">
        <w:rPr>
          <w:rFonts w:hint="eastAsia"/>
          <w:bCs/>
          <w:sz w:val="21"/>
          <w:szCs w:val="21"/>
          <w:vertAlign w:val="subscript"/>
        </w:rPr>
        <w:t>2</w:t>
      </w:r>
      <w:r>
        <w:rPr>
          <w:rFonts w:hint="eastAsia"/>
          <w:bCs/>
          <w:sz w:val="21"/>
          <w:szCs w:val="21"/>
        </w:rPr>
        <w:t>SO</w:t>
      </w:r>
      <w:r w:rsidRPr="00BE55F7">
        <w:rPr>
          <w:rFonts w:hint="eastAsia"/>
          <w:bCs/>
          <w:sz w:val="21"/>
          <w:szCs w:val="21"/>
          <w:vertAlign w:val="subscript"/>
        </w:rPr>
        <w:t>4</w:t>
      </w:r>
      <w:r w:rsidRPr="005460C2">
        <w:rPr>
          <w:bCs/>
          <w:sz w:val="21"/>
          <w:szCs w:val="21"/>
        </w:rPr>
        <w:t xml:space="preserve"> electrolyte:</w:t>
      </w:r>
      <w:r>
        <w:rPr>
          <w:rFonts w:hint="eastAsia"/>
          <w:sz w:val="21"/>
          <w:szCs w:val="21"/>
        </w:rPr>
        <w:t xml:space="preserve"> </w:t>
      </w:r>
      <w:r w:rsidR="007D3DA2">
        <w:rPr>
          <w:rFonts w:hint="eastAsia"/>
          <w:bCs/>
          <w:sz w:val="21"/>
          <w:szCs w:val="21"/>
        </w:rPr>
        <w:t>s</w:t>
      </w:r>
      <w:r w:rsidR="007D3DA2" w:rsidRPr="005460C2">
        <w:rPr>
          <w:bCs/>
          <w:sz w:val="21"/>
          <w:szCs w:val="21"/>
        </w:rPr>
        <w:t xml:space="preserve">pecific capacitance at various current densities from 1 to </w:t>
      </w:r>
      <w:r w:rsidR="007D3DA2" w:rsidRPr="005460C2">
        <w:rPr>
          <w:rFonts w:hint="eastAsia"/>
          <w:bCs/>
          <w:sz w:val="21"/>
          <w:szCs w:val="21"/>
        </w:rPr>
        <w:t>5</w:t>
      </w:r>
      <w:r w:rsidR="007D3DA2" w:rsidRPr="005460C2">
        <w:rPr>
          <w:bCs/>
          <w:sz w:val="21"/>
          <w:szCs w:val="21"/>
        </w:rPr>
        <w:t>0 A g</w:t>
      </w:r>
      <w:r w:rsidR="007D3DA2" w:rsidRPr="005460C2">
        <w:rPr>
          <w:bCs/>
          <w:sz w:val="21"/>
          <w:szCs w:val="21"/>
          <w:vertAlign w:val="superscript"/>
        </w:rPr>
        <w:t>-1</w:t>
      </w:r>
      <w:r w:rsidR="007D3DA2" w:rsidRPr="005460C2">
        <w:rPr>
          <w:rFonts w:hint="eastAsia"/>
          <w:bCs/>
          <w:sz w:val="21"/>
          <w:szCs w:val="21"/>
        </w:rPr>
        <w:t>.</w:t>
      </w:r>
    </w:p>
    <w:sectPr w:rsidR="001543A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9FE" w:rsidRDefault="007069FE" w:rsidP="00BA400E">
      <w:pPr>
        <w:spacing w:line="240" w:lineRule="auto"/>
        <w:ind w:firstLine="480"/>
      </w:pPr>
      <w:r>
        <w:separator/>
      </w:r>
    </w:p>
  </w:endnote>
  <w:endnote w:type="continuationSeparator" w:id="0">
    <w:p w:rsidR="007069FE" w:rsidRDefault="007069FE" w:rsidP="00BA400E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DA2" w:rsidRDefault="007D3DA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DA2" w:rsidRDefault="007D3DA2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DA2" w:rsidRDefault="007D3DA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9FE" w:rsidRDefault="007069FE" w:rsidP="00BA400E">
      <w:pPr>
        <w:spacing w:line="240" w:lineRule="auto"/>
        <w:ind w:firstLine="480"/>
      </w:pPr>
      <w:r>
        <w:separator/>
      </w:r>
    </w:p>
  </w:footnote>
  <w:footnote w:type="continuationSeparator" w:id="0">
    <w:p w:rsidR="007069FE" w:rsidRDefault="007069FE" w:rsidP="00BA400E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DA2" w:rsidRDefault="007D3DA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DA2" w:rsidRDefault="007D3DA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DA2" w:rsidRDefault="007D3DA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14D"/>
    <w:rsid w:val="00001BA1"/>
    <w:rsid w:val="001543A0"/>
    <w:rsid w:val="002654EE"/>
    <w:rsid w:val="003636D6"/>
    <w:rsid w:val="0041614D"/>
    <w:rsid w:val="005F6E23"/>
    <w:rsid w:val="006119D4"/>
    <w:rsid w:val="006B0E78"/>
    <w:rsid w:val="006D68FA"/>
    <w:rsid w:val="006D7DF7"/>
    <w:rsid w:val="007069FE"/>
    <w:rsid w:val="007D3DA2"/>
    <w:rsid w:val="00804AC0"/>
    <w:rsid w:val="0092586E"/>
    <w:rsid w:val="00AD6903"/>
    <w:rsid w:val="00BA400E"/>
    <w:rsid w:val="00BD221B"/>
    <w:rsid w:val="00C37DE0"/>
    <w:rsid w:val="00CE6D9B"/>
    <w:rsid w:val="00D35427"/>
    <w:rsid w:val="00DD26DC"/>
    <w:rsid w:val="00EC49FA"/>
    <w:rsid w:val="00FC5CE2"/>
    <w:rsid w:val="00FC7B96"/>
    <w:rsid w:val="00FF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00E"/>
    <w:pPr>
      <w:widowControl w:val="0"/>
      <w:spacing w:line="360" w:lineRule="auto"/>
      <w:ind w:firstLineChars="200" w:firstLine="200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40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hAnsiTheme="minorHAns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40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400E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hAnsiTheme="minorHAns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400E"/>
    <w:rPr>
      <w:sz w:val="18"/>
      <w:szCs w:val="18"/>
    </w:rPr>
  </w:style>
  <w:style w:type="table" w:styleId="a5">
    <w:name w:val="Table Grid"/>
    <w:basedOn w:val="a1"/>
    <w:uiPriority w:val="59"/>
    <w:rsid w:val="00BA40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FC7B96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C7B96"/>
    <w:rPr>
      <w:rFonts w:ascii="Times New Roman" w:hAnsi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00E"/>
    <w:pPr>
      <w:widowControl w:val="0"/>
      <w:spacing w:line="360" w:lineRule="auto"/>
      <w:ind w:firstLineChars="200" w:firstLine="200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40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hAnsiTheme="minorHAns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40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400E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hAnsiTheme="minorHAns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400E"/>
    <w:rPr>
      <w:sz w:val="18"/>
      <w:szCs w:val="18"/>
    </w:rPr>
  </w:style>
  <w:style w:type="table" w:styleId="a5">
    <w:name w:val="Table Grid"/>
    <w:basedOn w:val="a1"/>
    <w:uiPriority w:val="59"/>
    <w:rsid w:val="00BA40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FC7B96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C7B96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emf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emf"/><Relationship Id="rId12" Type="http://schemas.openxmlformats.org/officeDocument/2006/relationships/oleObject" Target="embeddings/oleObject3.bin"/><Relationship Id="rId17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oleObject" Target="embeddings/oleObject2.bin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4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15</cp:revision>
  <dcterms:created xsi:type="dcterms:W3CDTF">2016-04-05T15:20:00Z</dcterms:created>
  <dcterms:modified xsi:type="dcterms:W3CDTF">2016-06-13T02:07:00Z</dcterms:modified>
</cp:coreProperties>
</file>