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907CE0" w14:textId="77777777" w:rsidR="000A5197" w:rsidRDefault="000A5197" w:rsidP="000A5197">
      <w:pPr>
        <w:pStyle w:val="Head1"/>
        <w:outlineLvl w:val="0"/>
      </w:pPr>
      <w:r>
        <w:t>Supplementary Information</w:t>
      </w:r>
    </w:p>
    <w:p w14:paraId="2F1383CE" w14:textId="77777777" w:rsidR="00974075" w:rsidRDefault="000A5197">
      <w:r>
        <w:rPr>
          <w:noProof/>
          <w:lang w:val="en-GB" w:eastAsia="en-GB"/>
        </w:rPr>
        <w:drawing>
          <wp:inline distT="0" distB="0" distL="0" distR="0" wp14:anchorId="64C4F972" wp14:editId="73A272B6">
            <wp:extent cx="5480050" cy="5056505"/>
            <wp:effectExtent l="0" t="0" r="6350" b="0"/>
            <wp:docPr id="2" name="Picture 2" descr="../../Documents/documents%20-%20presentations/papers/SiChevron%20paper/Fig.%20cyclic%20elastic%20def/Figure_fatigue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documents%20-%20presentations/papers/SiChevron%20paper/Fig.%20cyclic%20elastic%20def/Figure_fatigue_S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0050" cy="5056505"/>
                    </a:xfrm>
                    <a:prstGeom prst="rect">
                      <a:avLst/>
                    </a:prstGeom>
                    <a:noFill/>
                    <a:ln>
                      <a:noFill/>
                    </a:ln>
                  </pic:spPr>
                </pic:pic>
              </a:graphicData>
            </a:graphic>
          </wp:inline>
        </w:drawing>
      </w:r>
    </w:p>
    <w:p w14:paraId="1AB434EE" w14:textId="77777777" w:rsidR="000A5197" w:rsidRPr="00484DED" w:rsidRDefault="000A5197" w:rsidP="00C9392A">
      <w:pPr>
        <w:pStyle w:val="SICHVSUPP"/>
      </w:pPr>
      <w:r w:rsidRPr="00484DED">
        <w:t xml:space="preserve">Figure S1 Sample C1 during the “small </w:t>
      </w:r>
      <w:r>
        <w:t>chevron notch pre-fatigue</w:t>
      </w:r>
      <w:r w:rsidRPr="00484DED">
        <w:t>” preparation step to ease crack initiation at the subsequent testing stage. (a) The micromanipulator is approached to the FIB-produced cantilever beam. (b) The micromanipulator is carbon-welded to the beam. The dashed white line is for reference. In (c) and (d) the beam is slightly bent downwards and upwards, respectively. (e) The micromanipulator is detached by FIB milling its tip. (f) The free-end of the cantilever beam is cut by FIB milling, leaving the sample ready for micromechanical testing.</w:t>
      </w:r>
    </w:p>
    <w:p w14:paraId="0E5F3FB1" w14:textId="77777777" w:rsidR="000A5197" w:rsidRDefault="000A5197" w:rsidP="000A5197">
      <w:pPr>
        <w:rPr>
          <w:lang w:val="en-GB"/>
        </w:rPr>
      </w:pPr>
      <w:r>
        <w:rPr>
          <w:lang w:val="en-GB"/>
        </w:rPr>
        <w:br w:type="page"/>
      </w:r>
    </w:p>
    <w:p w14:paraId="771B29BC" w14:textId="77777777" w:rsidR="000A5197" w:rsidRDefault="000A5197">
      <w:r>
        <w:rPr>
          <w:noProof/>
          <w:lang w:val="en-GB" w:eastAsia="en-GB"/>
        </w:rPr>
        <w:lastRenderedPageBreak/>
        <w:drawing>
          <wp:inline distT="0" distB="0" distL="0" distR="0" wp14:anchorId="3A17AA53" wp14:editId="38EE15E2">
            <wp:extent cx="5486400" cy="1388110"/>
            <wp:effectExtent l="0" t="0" r="0" b="8890"/>
            <wp:docPr id="5" name="Picture 5" descr="../../Documents/documents%20-%20presentations/papers/SiChevron%20paper/Fig.%20precrack/Fig%20precrac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documents%20-%20presentations/papers/SiChevron%20paper/Fig.%20precrack/Fig%20precrack.p"/>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86400" cy="1388110"/>
                    </a:xfrm>
                    <a:prstGeom prst="rect">
                      <a:avLst/>
                    </a:prstGeom>
                    <a:noFill/>
                    <a:ln>
                      <a:noFill/>
                    </a:ln>
                  </pic:spPr>
                </pic:pic>
              </a:graphicData>
            </a:graphic>
          </wp:inline>
        </w:drawing>
      </w:r>
    </w:p>
    <w:p w14:paraId="681D1997" w14:textId="77777777" w:rsidR="000A5197" w:rsidRPr="00CC37DE" w:rsidRDefault="000A5197" w:rsidP="00C9392A">
      <w:pPr>
        <w:pStyle w:val="SICHVSUPP"/>
      </w:pPr>
      <w:r w:rsidRPr="00D05E16">
        <w:t>Figure S2 (a) SEM image of Sample C2 from a tilted point of view. Close-up views of the notch (dashed square in (a)) before and after the small cyclic pre-deformation step are shown in (b) and (</w:t>
      </w:r>
      <w:r w:rsidRPr="00CC37DE">
        <w:t>c), respectively, where the view is straight down from the top. Signs of a small crack may be distinguished in (c) at the tip of the triangular ligament.</w:t>
      </w:r>
    </w:p>
    <w:p w14:paraId="3F6B9F48" w14:textId="77777777" w:rsidR="000A5197" w:rsidRPr="00CC37DE" w:rsidRDefault="000A5197" w:rsidP="000A5197">
      <w:pPr>
        <w:rPr>
          <w:color w:val="000000" w:themeColor="text1"/>
          <w:lang w:val="en-GB"/>
        </w:rPr>
      </w:pPr>
    </w:p>
    <w:p w14:paraId="1ECA5670" w14:textId="77777777" w:rsidR="000A5197" w:rsidRDefault="000A5197" w:rsidP="000A5197">
      <w:pPr>
        <w:rPr>
          <w:lang w:val="en-GB"/>
        </w:rPr>
      </w:pPr>
    </w:p>
    <w:p w14:paraId="5362D2E4" w14:textId="77777777" w:rsidR="000A5197" w:rsidRDefault="000A5197" w:rsidP="000A5197">
      <w:pPr>
        <w:rPr>
          <w:lang w:val="en-GB"/>
        </w:rPr>
      </w:pPr>
      <w:r>
        <w:rPr>
          <w:lang w:val="en-GB"/>
        </w:rPr>
        <w:br w:type="page"/>
      </w:r>
    </w:p>
    <w:p w14:paraId="11414441" w14:textId="157A4A34" w:rsidR="000A5197" w:rsidRDefault="009E3164">
      <w:r>
        <w:rPr>
          <w:noProof/>
          <w:lang w:val="en-GB" w:eastAsia="en-GB"/>
        </w:rPr>
        <w:drawing>
          <wp:inline distT="0" distB="0" distL="0" distR="0" wp14:anchorId="1DB408FA" wp14:editId="44CD5D1F">
            <wp:extent cx="5753100" cy="3590925"/>
            <wp:effectExtent l="0" t="0" r="12700" b="0"/>
            <wp:docPr id="11" name="Picture 11" descr="../../../Documents/documents%20-%20presentations/papers/SiChevron%20paper/Figs.%20Fracture%20Surfaces/st_no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documents%20-%20presentations/papers/SiChevron%20paper/Figs.%20Fracture%20Surfaces/st_notch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3100" cy="3590925"/>
                    </a:xfrm>
                    <a:prstGeom prst="rect">
                      <a:avLst/>
                    </a:prstGeom>
                    <a:noFill/>
                    <a:ln>
                      <a:noFill/>
                    </a:ln>
                  </pic:spPr>
                </pic:pic>
              </a:graphicData>
            </a:graphic>
          </wp:inline>
        </w:drawing>
      </w:r>
    </w:p>
    <w:p w14:paraId="0FE439C6" w14:textId="28A72326" w:rsidR="000A5197" w:rsidRPr="00881FAA" w:rsidRDefault="000A5197" w:rsidP="00C9392A">
      <w:pPr>
        <w:pStyle w:val="SICHVSUPP"/>
        <w:rPr>
          <w:color w:val="00B050"/>
        </w:rPr>
      </w:pPr>
      <w:r w:rsidRPr="00CC37DE">
        <w:t xml:space="preserve">Figure S3 Fractured surfaces, all along (111) planes, of </w:t>
      </w:r>
      <w:r w:rsidR="0070671F" w:rsidRPr="005A6531">
        <w:rPr>
          <w:color w:val="FF0000"/>
        </w:rPr>
        <w:t>the four</w:t>
      </w:r>
      <w:r w:rsidRPr="005A6531">
        <w:rPr>
          <w:color w:val="FF0000"/>
        </w:rPr>
        <w:t xml:space="preserve"> </w:t>
      </w:r>
      <w:r w:rsidRPr="00CC37DE">
        <w:t xml:space="preserve">tested single crystal silicon micro-cantilevers with a straight-through notch (STN). Scale bar in all images represents 1 </w:t>
      </w:r>
      <w:proofErr w:type="spellStart"/>
      <w:r w:rsidRPr="00CC37DE">
        <w:t>μm</w:t>
      </w:r>
      <w:proofErr w:type="spellEnd"/>
      <w:r w:rsidRPr="00CC37DE">
        <w:t xml:space="preserve">. </w:t>
      </w:r>
      <w:r w:rsidR="0070671F" w:rsidRPr="005A6531">
        <w:rPr>
          <w:color w:val="FF0000"/>
        </w:rPr>
        <w:t xml:space="preserve">Columns of images (a) to (d) correspond to different images of the fracture surface of Specimen S1 to S4, respectively. Images on the top and middle rows are taken from different perspectives. </w:t>
      </w:r>
      <w:r w:rsidRPr="00CC37DE">
        <w:t>Notch geometri</w:t>
      </w:r>
      <w:r>
        <w:t>es used for calculations are superimposed and indicated with a white dashed line</w:t>
      </w:r>
      <w:r w:rsidR="0070671F">
        <w:t xml:space="preserve"> </w:t>
      </w:r>
      <w:r w:rsidR="0070671F" w:rsidRPr="005A6531">
        <w:rPr>
          <w:color w:val="FF0000"/>
        </w:rPr>
        <w:t>in the top</w:t>
      </w:r>
      <w:r w:rsidR="00881FAA" w:rsidRPr="005A6531">
        <w:rPr>
          <w:color w:val="FF0000"/>
        </w:rPr>
        <w:t>-</w:t>
      </w:r>
      <w:r w:rsidR="0070671F" w:rsidRPr="005A6531">
        <w:rPr>
          <w:color w:val="FF0000"/>
        </w:rPr>
        <w:t>row images</w:t>
      </w:r>
      <w:r w:rsidRPr="005A6531">
        <w:rPr>
          <w:color w:val="FF0000"/>
        </w:rPr>
        <w:t>.</w:t>
      </w:r>
      <w:r w:rsidR="0070671F" w:rsidRPr="005A6531">
        <w:rPr>
          <w:color w:val="FF0000"/>
        </w:rPr>
        <w:t xml:space="preserve"> The </w:t>
      </w:r>
      <w:r w:rsidR="00881FAA" w:rsidRPr="005A6531">
        <w:rPr>
          <w:color w:val="FF0000"/>
        </w:rPr>
        <w:t xml:space="preserve">brightness and contrast of the </w:t>
      </w:r>
      <w:r w:rsidR="0070671F" w:rsidRPr="005A6531">
        <w:rPr>
          <w:color w:val="FF0000"/>
        </w:rPr>
        <w:t>bottom</w:t>
      </w:r>
      <w:r w:rsidR="00881FAA" w:rsidRPr="005A6531">
        <w:rPr>
          <w:color w:val="FF0000"/>
        </w:rPr>
        <w:t>-</w:t>
      </w:r>
      <w:r w:rsidR="0070671F" w:rsidRPr="005A6531">
        <w:rPr>
          <w:color w:val="FF0000"/>
        </w:rPr>
        <w:t xml:space="preserve">row images </w:t>
      </w:r>
      <w:r w:rsidR="00881FAA" w:rsidRPr="005A6531">
        <w:rPr>
          <w:color w:val="FF0000"/>
        </w:rPr>
        <w:t xml:space="preserve">have been manipulated to enhance the visibility of marks on the fracture surfaces. </w:t>
      </w:r>
    </w:p>
    <w:p w14:paraId="41891155" w14:textId="77777777" w:rsidR="000A5197" w:rsidRDefault="000A5197" w:rsidP="000A5197">
      <w:pPr>
        <w:rPr>
          <w:lang w:val="en-GB"/>
        </w:rPr>
      </w:pPr>
    </w:p>
    <w:p w14:paraId="426AD0C1" w14:textId="77777777" w:rsidR="000A5197" w:rsidRDefault="000A5197" w:rsidP="000A5197">
      <w:pPr>
        <w:rPr>
          <w:lang w:val="en-GB"/>
        </w:rPr>
      </w:pPr>
      <w:r>
        <w:rPr>
          <w:lang w:val="en-GB"/>
        </w:rPr>
        <w:br w:type="page"/>
      </w:r>
    </w:p>
    <w:p w14:paraId="16D76504" w14:textId="77777777" w:rsidR="000A5197" w:rsidRDefault="000A5197"/>
    <w:p w14:paraId="604B0951" w14:textId="4AA15B05" w:rsidR="000A5197" w:rsidRDefault="009E3164">
      <w:r>
        <w:rPr>
          <w:noProof/>
          <w:lang w:val="en-GB" w:eastAsia="en-GB"/>
        </w:rPr>
        <w:drawing>
          <wp:inline distT="0" distB="0" distL="0" distR="0" wp14:anchorId="099C70E7" wp14:editId="46ABDF46">
            <wp:extent cx="5546725" cy="5111115"/>
            <wp:effectExtent l="0" t="0" r="0" b="0"/>
            <wp:docPr id="10" name="Picture 10" descr="../../../Documents/documents%20-%20presentations/papers/SiChevron%20paper/Figs.%20Fracture%20Surfaces/chv_no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documents%20-%20presentations/papers/SiChevron%20paper/Figs.%20Fracture%20Surfaces/chv_notch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46725" cy="5111115"/>
                    </a:xfrm>
                    <a:prstGeom prst="rect">
                      <a:avLst/>
                    </a:prstGeom>
                    <a:noFill/>
                    <a:ln>
                      <a:noFill/>
                    </a:ln>
                  </pic:spPr>
                </pic:pic>
              </a:graphicData>
            </a:graphic>
          </wp:inline>
        </w:drawing>
      </w:r>
    </w:p>
    <w:p w14:paraId="39B1517A" w14:textId="73171D4F" w:rsidR="000A5197" w:rsidRPr="005A6531" w:rsidRDefault="000A5197" w:rsidP="00C9392A">
      <w:pPr>
        <w:pStyle w:val="SICHVSUPP"/>
        <w:rPr>
          <w:color w:val="FF0000"/>
        </w:rPr>
      </w:pPr>
      <w:r>
        <w:t>Figure S4</w:t>
      </w:r>
      <w:r w:rsidRPr="00CC37DE">
        <w:t xml:space="preserve"> Fractured surfaces, (111) planes, of </w:t>
      </w:r>
      <w:r w:rsidR="00881FAA" w:rsidRPr="005A6531">
        <w:rPr>
          <w:color w:val="FF0000"/>
        </w:rPr>
        <w:t>the three</w:t>
      </w:r>
      <w:r w:rsidRPr="005A6531">
        <w:rPr>
          <w:color w:val="FF0000"/>
        </w:rPr>
        <w:t xml:space="preserve"> </w:t>
      </w:r>
      <w:r w:rsidRPr="00CC37DE">
        <w:t xml:space="preserve">tested single crystal silicon micro-cantilevers with a chevron notch (CN). Scale bar in all images represents 0.5 </w:t>
      </w:r>
      <w:proofErr w:type="spellStart"/>
      <w:r w:rsidRPr="00CC37DE">
        <w:t>μm</w:t>
      </w:r>
      <w:proofErr w:type="spellEnd"/>
      <w:r>
        <w:t>.</w:t>
      </w:r>
      <w:r w:rsidR="00881FAA">
        <w:t xml:space="preserve"> </w:t>
      </w:r>
      <w:r w:rsidR="00881FAA" w:rsidRPr="005A6531">
        <w:rPr>
          <w:color w:val="FF0000"/>
        </w:rPr>
        <w:t>Columns of images (a) to (c) correspond to different images of the fracture surface of Specimen C1 to C3, respectively. Images on the top and middle rows are taken from different perspectives. The brightness and contrast of the bottom-row images have been manipulated to enhance the visibility of marks on the fracture surfaces.</w:t>
      </w:r>
    </w:p>
    <w:p w14:paraId="628F821F" w14:textId="77777777" w:rsidR="000A5197" w:rsidRDefault="000A5197" w:rsidP="000A5197">
      <w:pPr>
        <w:rPr>
          <w:lang w:val="en-GB"/>
        </w:rPr>
      </w:pPr>
      <w:r>
        <w:rPr>
          <w:lang w:val="en-GB"/>
        </w:rPr>
        <w:br w:type="page"/>
      </w:r>
    </w:p>
    <w:p w14:paraId="367FC012" w14:textId="77777777" w:rsidR="000A5197" w:rsidRDefault="000A5197">
      <w:r>
        <w:rPr>
          <w:noProof/>
          <w:lang w:val="en-GB" w:eastAsia="en-GB"/>
        </w:rPr>
        <w:drawing>
          <wp:inline distT="0" distB="0" distL="0" distR="0" wp14:anchorId="5BEA16CD" wp14:editId="3E79A870">
            <wp:extent cx="5486400" cy="29806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chv33_fatigue.eps"/>
                    <pic:cNvPicPr/>
                  </pic:nvPicPr>
                  <pic:blipFill>
                    <a:blip r:embed="rId9">
                      <a:extLst>
                        <a:ext uri="{28A0092B-C50C-407E-A947-70E740481C1C}">
                          <a14:useLocalDpi xmlns:a14="http://schemas.microsoft.com/office/drawing/2010/main" val="0"/>
                        </a:ext>
                      </a:extLst>
                    </a:blip>
                    <a:stretch>
                      <a:fillRect/>
                    </a:stretch>
                  </pic:blipFill>
                  <pic:spPr>
                    <a:xfrm>
                      <a:off x="0" y="0"/>
                      <a:ext cx="5486400" cy="2980690"/>
                    </a:xfrm>
                    <a:prstGeom prst="rect">
                      <a:avLst/>
                    </a:prstGeom>
                  </pic:spPr>
                </pic:pic>
              </a:graphicData>
            </a:graphic>
          </wp:inline>
        </w:drawing>
      </w:r>
    </w:p>
    <w:p w14:paraId="5DF84017" w14:textId="3302512A" w:rsidR="000A5197" w:rsidRDefault="000A5197" w:rsidP="00C9392A">
      <w:pPr>
        <w:pStyle w:val="SICHVSUPP"/>
      </w:pPr>
      <w:r>
        <w:t xml:space="preserve">Figure S5 </w:t>
      </w:r>
      <w:r w:rsidRPr="00CC37DE">
        <w:t xml:space="preserve">CN Sample C2 before (a) and after (b) cyclic elastic deformation. Cyclic deformation of the micro-cantilever resulted in the formation of spherical drops at the notch end. The drop was removed prior to the mechanical test by additional FIB milling under </w:t>
      </w:r>
      <w:r w:rsidR="005A6531" w:rsidRPr="005A6531">
        <w:rPr>
          <w:color w:val="FF0000"/>
        </w:rPr>
        <w:t>a</w:t>
      </w:r>
      <w:r w:rsidRPr="005A6531">
        <w:rPr>
          <w:color w:val="FF0000"/>
        </w:rPr>
        <w:t xml:space="preserve"> </w:t>
      </w:r>
      <w:r w:rsidRPr="00CC37DE">
        <w:t>current</w:t>
      </w:r>
      <w:r w:rsidR="005A6531">
        <w:t xml:space="preserve"> </w:t>
      </w:r>
      <w:r w:rsidR="005A6531" w:rsidRPr="005A6531">
        <w:rPr>
          <w:color w:val="FF0000"/>
        </w:rPr>
        <w:t xml:space="preserve">of 10 </w:t>
      </w:r>
      <w:proofErr w:type="spellStart"/>
      <w:r w:rsidR="005A6531" w:rsidRPr="005A6531">
        <w:rPr>
          <w:color w:val="FF0000"/>
        </w:rPr>
        <w:t>pA</w:t>
      </w:r>
      <w:r w:rsidRPr="00CC37DE">
        <w:t>.</w:t>
      </w:r>
      <w:proofErr w:type="spellEnd"/>
      <w:r w:rsidRPr="00CC37DE">
        <w:t xml:space="preserve"> </w:t>
      </w:r>
    </w:p>
    <w:p w14:paraId="17BF8C1F" w14:textId="77777777" w:rsidR="000A5197" w:rsidRDefault="000A5197" w:rsidP="000A5197">
      <w:pPr>
        <w:rPr>
          <w:lang w:val="en-GB"/>
        </w:rPr>
      </w:pPr>
    </w:p>
    <w:p w14:paraId="2A6F4BF8" w14:textId="77777777" w:rsidR="000A5197" w:rsidRDefault="000A5197" w:rsidP="000A5197">
      <w:pPr>
        <w:rPr>
          <w:lang w:val="en-GB"/>
        </w:rPr>
      </w:pPr>
      <w:r>
        <w:rPr>
          <w:lang w:val="en-GB"/>
        </w:rPr>
        <w:br w:type="page"/>
      </w:r>
    </w:p>
    <w:p w14:paraId="0AC2203F" w14:textId="77777777" w:rsidR="000A5197" w:rsidRDefault="000A5197" w:rsidP="000A5197">
      <w:pPr>
        <w:rPr>
          <w:lang w:val="en-GB"/>
        </w:rPr>
      </w:pPr>
      <w:r>
        <w:rPr>
          <w:noProof/>
          <w:lang w:val="en-GB" w:eastAsia="en-GB"/>
        </w:rPr>
        <mc:AlternateContent>
          <mc:Choice Requires="wps">
            <w:drawing>
              <wp:anchor distT="0" distB="0" distL="114300" distR="114300" simplePos="0" relativeHeight="251660288" behindDoc="0" locked="0" layoutInCell="1" allowOverlap="1" wp14:anchorId="4F3C9E0B" wp14:editId="6387E83B">
                <wp:simplePos x="0" y="0"/>
                <wp:positionH relativeFrom="column">
                  <wp:posOffset>2450754</wp:posOffset>
                </wp:positionH>
                <wp:positionV relativeFrom="paragraph">
                  <wp:posOffset>2566507</wp:posOffset>
                </wp:positionV>
                <wp:extent cx="355600" cy="914400"/>
                <wp:effectExtent l="0" t="0" r="0" b="0"/>
                <wp:wrapNone/>
                <wp:docPr id="9" name="Text Box 9"/>
                <wp:cNvGraphicFramePr/>
                <a:graphic xmlns:a="http://schemas.openxmlformats.org/drawingml/2006/main">
                  <a:graphicData uri="http://schemas.microsoft.com/office/word/2010/wordprocessingShape">
                    <wps:wsp>
                      <wps:cNvSpPr txBox="1"/>
                      <wps:spPr>
                        <a:xfrm>
                          <a:off x="0" y="0"/>
                          <a:ext cx="35560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5BBBCD" w14:textId="77777777" w:rsidR="000A5197" w:rsidRDefault="000A5197" w:rsidP="000A5197">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3C9E0B" id="_x0000_t202" coordsize="21600,21600" o:spt="202" path="m0,0l0,21600,21600,21600,21600,0xe">
                <v:stroke joinstyle="miter"/>
                <v:path gradientshapeok="t" o:connecttype="rect"/>
              </v:shapetype>
              <v:shape id="Text_x0020_Box_x0020_9" o:spid="_x0000_s1026" type="#_x0000_t202" style="position:absolute;margin-left:192.95pt;margin-top:202.1pt;width:28pt;height:1in;z-index:2516602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" filled="f" stroked="f">
                <v:textbox>
                  <w:txbxContent>
                    <w:p w14:paraId="475BBBCD" w14:textId="77777777" w:rsidR="000A5197" w:rsidRDefault="000A5197" w:rsidP="000A5197">
                      <w:r>
                        <w:t>(b)</w:t>
                      </w:r>
                    </w:p>
                  </w:txbxContent>
                </v:textbox>
              </v:shape>
            </w:pict>
          </mc:Fallback>
        </mc:AlternateContent>
      </w:r>
      <w:r>
        <w:rPr>
          <w:noProof/>
          <w:lang w:val="en-GB" w:eastAsia="en-GB"/>
        </w:rPr>
        <mc:AlternateContent>
          <mc:Choice Requires="wps">
            <w:drawing>
              <wp:anchor distT="0" distB="0" distL="114300" distR="114300" simplePos="0" relativeHeight="251659264" behindDoc="0" locked="0" layoutInCell="1" allowOverlap="1" wp14:anchorId="6FE51046" wp14:editId="41AE3C66">
                <wp:simplePos x="0" y="0"/>
                <wp:positionH relativeFrom="column">
                  <wp:posOffset>2451609</wp:posOffset>
                </wp:positionH>
                <wp:positionV relativeFrom="paragraph">
                  <wp:posOffset>284122</wp:posOffset>
                </wp:positionV>
                <wp:extent cx="352800" cy="914400"/>
                <wp:effectExtent l="0" t="0" r="0" b="0"/>
                <wp:wrapNone/>
                <wp:docPr id="4" name="Text Box 4"/>
                <wp:cNvGraphicFramePr/>
                <a:graphic xmlns:a="http://schemas.openxmlformats.org/drawingml/2006/main">
                  <a:graphicData uri="http://schemas.microsoft.com/office/word/2010/wordprocessingShape">
                    <wps:wsp>
                      <wps:cNvSpPr txBox="1"/>
                      <wps:spPr>
                        <a:xfrm>
                          <a:off x="0" y="0"/>
                          <a:ext cx="35280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496748" w14:textId="77777777" w:rsidR="000A5197" w:rsidRDefault="000A5197" w:rsidP="000A5197">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E51046" id="Text_x0020_Box_x0020_4" o:spid="_x0000_s1027" type="#_x0000_t202" style="position:absolute;margin-left:193.05pt;margin-top:22.35pt;width:27.8pt;height:1in;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" filled="f" stroked="f">
                <v:textbox>
                  <w:txbxContent>
                    <w:p w14:paraId="34496748" w14:textId="77777777" w:rsidR="000A5197" w:rsidRDefault="000A5197" w:rsidP="000A5197">
                      <w:r>
                        <w:t>(a)</w:t>
                      </w:r>
                    </w:p>
                  </w:txbxContent>
                </v:textbox>
              </v:shape>
            </w:pict>
          </mc:Fallback>
        </mc:AlternateContent>
      </w:r>
      <w:r>
        <w:rPr>
          <w:noProof/>
          <w:lang w:val="en-GB" w:eastAsia="en-GB"/>
        </w:rPr>
        <w:drawing>
          <wp:inline distT="0" distB="0" distL="0" distR="0" wp14:anchorId="544FEF58" wp14:editId="199DD817">
            <wp:extent cx="3048000" cy="2311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_chv.eps"/>
                    <pic:cNvPicPr/>
                  </pic:nvPicPr>
                  <pic:blipFill>
                    <a:blip r:embed="rId10">
                      <a:extLst>
                        <a:ext uri="{28A0092B-C50C-407E-A947-70E740481C1C}">
                          <a14:useLocalDpi xmlns:a14="http://schemas.microsoft.com/office/drawing/2010/main" val="0"/>
                        </a:ext>
                      </a:extLst>
                    </a:blip>
                    <a:stretch>
                      <a:fillRect/>
                    </a:stretch>
                  </pic:blipFill>
                  <pic:spPr>
                    <a:xfrm>
                      <a:off x="0" y="0"/>
                      <a:ext cx="3048000" cy="2311400"/>
                    </a:xfrm>
                    <a:prstGeom prst="rect">
                      <a:avLst/>
                    </a:prstGeom>
                  </pic:spPr>
                </pic:pic>
              </a:graphicData>
            </a:graphic>
          </wp:inline>
        </w:drawing>
      </w:r>
      <w:r>
        <w:rPr>
          <w:noProof/>
          <w:lang w:val="en-GB" w:eastAsia="en-GB"/>
        </w:rPr>
        <w:drawing>
          <wp:inline distT="0" distB="0" distL="0" distR="0" wp14:anchorId="5777AB04" wp14:editId="24E8AF4B">
            <wp:extent cx="3048000" cy="2311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a_chv.eps"/>
                    <pic:cNvPicPr/>
                  </pic:nvPicPr>
                  <pic:blipFill>
                    <a:blip r:embed="rId11">
                      <a:extLst>
                        <a:ext uri="{28A0092B-C50C-407E-A947-70E740481C1C}">
                          <a14:useLocalDpi xmlns:a14="http://schemas.microsoft.com/office/drawing/2010/main" val="0"/>
                        </a:ext>
                      </a:extLst>
                    </a:blip>
                    <a:stretch>
                      <a:fillRect/>
                    </a:stretch>
                  </pic:blipFill>
                  <pic:spPr>
                    <a:xfrm>
                      <a:off x="0" y="0"/>
                      <a:ext cx="3048000" cy="2311400"/>
                    </a:xfrm>
                    <a:prstGeom prst="rect">
                      <a:avLst/>
                    </a:prstGeom>
                  </pic:spPr>
                </pic:pic>
              </a:graphicData>
            </a:graphic>
          </wp:inline>
        </w:drawing>
      </w:r>
    </w:p>
    <w:p w14:paraId="545BB85F" w14:textId="7E647F1A" w:rsidR="000A5197" w:rsidRDefault="000A5197" w:rsidP="00C9392A">
      <w:pPr>
        <w:pStyle w:val="SICHVSUPP"/>
      </w:pPr>
      <w:r>
        <w:t xml:space="preserve">Figure S6 Calculated compliance calibration curves of the three chevron—notched cantilever </w:t>
      </w:r>
      <w:r w:rsidRPr="008C3271">
        <w:t xml:space="preserve">samples: compliance </w:t>
      </w:r>
      <m:oMath>
        <m:r>
          <w:rPr>
            <w:rFonts w:ascii="Cambria Math" w:hAnsi="Cambria Math"/>
          </w:rPr>
          <m:t>C</m:t>
        </m:r>
      </m:oMath>
      <w:r>
        <w:t xml:space="preserve"> (a) and geometrical function </w:t>
      </w:r>
      <m:oMath>
        <m:sSub>
          <m:sSubPr>
            <m:ctrlPr>
              <w:rPr>
                <w:rFonts w:ascii="Cambria Math" w:hAnsi="Cambria Math"/>
                <w:i/>
              </w:rPr>
            </m:ctrlPr>
          </m:sSubPr>
          <m:e>
            <m:r>
              <w:rPr>
                <w:rFonts w:ascii="Cambria Math" w:hAnsi="Cambria Math"/>
              </w:rPr>
              <m:t>g</m:t>
            </m:r>
          </m:e>
          <m:sub>
            <m:r>
              <w:rPr>
                <w:rFonts w:ascii="Cambria Math" w:hAnsi="Cambria Math"/>
              </w:rPr>
              <m:t>F</m:t>
            </m:r>
          </m:sub>
        </m:sSub>
      </m:oMath>
      <w:r>
        <w:t xml:space="preserve"> (b) vs. crack length </w:t>
      </w:r>
      <m:oMath>
        <m:r>
          <w:rPr>
            <w:rFonts w:ascii="Cambria Math" w:hAnsi="Cambria Math"/>
          </w:rPr>
          <m:t>a</m:t>
        </m:r>
      </m:oMath>
      <w:r>
        <w:t xml:space="preserve"> for chevron—</w:t>
      </w:r>
      <w:r w:rsidRPr="00DF6F70">
        <w:t xml:space="preserve">notched micro—cantilevers samples: C1 (red), C2 (green) and C3 (blue). Square symbol in Panel (b) indicates minimum of </w:t>
      </w:r>
      <m:oMath>
        <m:sSub>
          <m:sSubPr>
            <m:ctrlPr>
              <w:rPr>
                <w:rFonts w:ascii="Cambria Math" w:hAnsi="Cambria Math"/>
                <w:i/>
              </w:rPr>
            </m:ctrlPr>
          </m:sSubPr>
          <m:e>
            <m:r>
              <w:rPr>
                <w:rFonts w:ascii="Cambria Math" w:hAnsi="Cambria Math"/>
              </w:rPr>
              <m:t>g</m:t>
            </m:r>
          </m:e>
          <m:sub>
            <m:r>
              <w:rPr>
                <w:rFonts w:ascii="Cambria Math" w:hAnsi="Cambria Math"/>
              </w:rPr>
              <m:t>F</m:t>
            </m:r>
          </m:sub>
        </m:sSub>
      </m:oMath>
      <w:r w:rsidRPr="00DF6F70">
        <w:t>.</w:t>
      </w:r>
    </w:p>
    <w:p w14:paraId="5DBD0A26" w14:textId="77777777" w:rsidR="000A5197" w:rsidRPr="003B3D06" w:rsidRDefault="000A5197" w:rsidP="000A5197">
      <w:pPr>
        <w:rPr>
          <w:lang w:val="en-GB"/>
        </w:rPr>
      </w:pPr>
    </w:p>
    <w:p w14:paraId="383B3463" w14:textId="77777777" w:rsidR="000A5197" w:rsidRDefault="000A5197" w:rsidP="000A5197">
      <w:pPr>
        <w:rPr>
          <w:lang w:val="en-GB"/>
        </w:rPr>
      </w:pPr>
      <w:r>
        <w:rPr>
          <w:lang w:val="en-GB"/>
        </w:rPr>
        <w:br w:type="page"/>
      </w:r>
    </w:p>
    <w:p w14:paraId="525598F9" w14:textId="77777777" w:rsidR="000A5197" w:rsidRDefault="000A5197" w:rsidP="000A5197">
      <w:pPr>
        <w:rPr>
          <w:lang w:val="en-GB"/>
        </w:rPr>
      </w:pPr>
      <w:r>
        <w:rPr>
          <w:noProof/>
          <w:lang w:val="en-GB" w:eastAsia="en-GB"/>
        </w:rPr>
        <w:drawing>
          <wp:inline distT="0" distB="0" distL="0" distR="0" wp14:anchorId="0D9986DF" wp14:editId="55D7DC72">
            <wp:extent cx="2212313" cy="4460240"/>
            <wp:effectExtent l="0" t="0" r="0" b="10160"/>
            <wp:docPr id="8" name="Picture 8" descr="Pictur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1.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6426" cy="4468532"/>
                    </a:xfrm>
                    <a:prstGeom prst="rect">
                      <a:avLst/>
                    </a:prstGeom>
                    <a:noFill/>
                    <a:ln>
                      <a:noFill/>
                    </a:ln>
                  </pic:spPr>
                </pic:pic>
              </a:graphicData>
            </a:graphic>
          </wp:inline>
        </w:drawing>
      </w:r>
    </w:p>
    <w:p w14:paraId="38DA6E96" w14:textId="0B2FD8B1" w:rsidR="000A5197" w:rsidRPr="00CE05E7" w:rsidRDefault="000A5197" w:rsidP="00C9392A">
      <w:pPr>
        <w:pStyle w:val="SICHVSUPP"/>
        <w:rPr>
          <w:color w:val="000000"/>
        </w:rPr>
      </w:pPr>
      <w:r w:rsidRPr="00CE05E7">
        <w:rPr>
          <w:color w:val="000000"/>
        </w:rPr>
        <w:t xml:space="preserve">Figure S7 SEM images (b) and (c) are close-ups </w:t>
      </w:r>
      <w:r w:rsidRPr="00DF6F70">
        <w:t>of the chevron-notch of the specimen in (a) before and after subjecting the sample to 500 °C in vacuum, respectively. The arrow in (c) points to a droplet, likely of Ga, that appeared after the heat treatment. This specimen was at a later stage dismissed because a stable crack could not be initiated upon mechanical testing.</w:t>
      </w:r>
    </w:p>
    <w:p w14:paraId="2ED13A13" w14:textId="77777777" w:rsidR="000A5197" w:rsidRDefault="000A5197" w:rsidP="000A5197">
      <w:pPr>
        <w:rPr>
          <w:lang w:val="en-GB"/>
        </w:rPr>
      </w:pPr>
    </w:p>
    <w:p w14:paraId="2BADAC9E" w14:textId="77777777" w:rsidR="000A5197" w:rsidRDefault="000A5197" w:rsidP="000A5197">
      <w:pPr>
        <w:rPr>
          <w:lang w:val="en-GB"/>
        </w:rPr>
      </w:pPr>
      <w:r>
        <w:rPr>
          <w:lang w:val="en-GB"/>
        </w:rPr>
        <w:br w:type="page"/>
      </w:r>
    </w:p>
    <w:p w14:paraId="40C3E857" w14:textId="77777777" w:rsidR="000A5197" w:rsidRDefault="000A5197" w:rsidP="00C9392A">
      <w:pPr>
        <w:pStyle w:val="SICHVSUPP"/>
        <w:rPr>
          <w:rFonts w:eastAsia="Droid Sans"/>
          <w:b/>
          <w:u w:val="single"/>
        </w:rPr>
      </w:pPr>
      <w:r w:rsidRPr="00C9392A">
        <w:rPr>
          <w:b/>
          <w:u w:val="single"/>
        </w:rPr>
        <w:t>Analysis of the stress in the ligament during the preparation “pre-fatigue” step</w:t>
      </w:r>
      <w:r w:rsidRPr="00C9392A">
        <w:rPr>
          <w:rFonts w:eastAsia="Droid Sans"/>
          <w:b/>
          <w:u w:val="single"/>
        </w:rPr>
        <w:t xml:space="preserve"> </w:t>
      </w:r>
    </w:p>
    <w:p w14:paraId="288E07D3" w14:textId="77777777" w:rsidR="00C9392A" w:rsidRDefault="00C9392A" w:rsidP="000A5197">
      <w:pPr>
        <w:tabs>
          <w:tab w:val="left" w:pos="720"/>
        </w:tabs>
        <w:suppressAutoHyphens/>
        <w:spacing w:after="240" w:line="480" w:lineRule="auto"/>
        <w:rPr>
          <w:rFonts w:eastAsia="Droid Sans"/>
          <w:color w:val="000000" w:themeColor="text1"/>
          <w:lang w:val="en-GB"/>
        </w:rPr>
      </w:pPr>
    </w:p>
    <w:p w14:paraId="36B51B43" w14:textId="3D1FA361"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 xml:space="preserve">As a candidate reason for the erratic response obtained in CN specimens, we studied the possibility that the “small chevron notch pre-fatigue” preparation step introduces extensive plastic deformation into the material through which the crack grows during the test. Using the largest beam-end displacements gathered from SEM images during the preparation step (e.g. Fig. S1) and the FE models constructed to calculate the compliance calibration curves, the stress field at the chevron ligament was estimated for Specimen C1. In these simulations, silicon was taken as isotropic, ideally </w:t>
      </w:r>
      <w:proofErr w:type="spellStart"/>
      <w:r w:rsidRPr="00DF6F70">
        <w:rPr>
          <w:rFonts w:eastAsia="Droid Sans"/>
          <w:color w:val="000000" w:themeColor="text1"/>
          <w:lang w:val="en-GB"/>
        </w:rPr>
        <w:t>elastoplastic</w:t>
      </w:r>
      <w:proofErr w:type="spellEnd"/>
      <w:r w:rsidRPr="00DF6F70">
        <w:rPr>
          <w:rFonts w:eastAsia="Droid Sans"/>
          <w:color w:val="000000" w:themeColor="text1"/>
          <w:lang w:val="en-GB"/>
        </w:rPr>
        <w:t xml:space="preserve">, with Young modulus </w:t>
      </w:r>
      <m:oMath>
        <m:r>
          <m:rPr>
            <m:sty m:val="p"/>
          </m:rPr>
          <w:rPr>
            <w:rFonts w:ascii="Cambria Math" w:eastAsia="Droid Sans" w:hAnsi="Cambria Math"/>
            <w:color w:val="000000" w:themeColor="text1"/>
            <w:lang w:val="en-GB"/>
          </w:rPr>
          <m:t xml:space="preserve">E=163 </m:t>
        </m:r>
      </m:oMath>
      <w:r w:rsidRPr="00DF6F70">
        <w:rPr>
          <w:rFonts w:eastAsia="Droid Sans"/>
          <w:color w:val="000000" w:themeColor="text1"/>
          <w:lang w:val="en-GB"/>
        </w:rPr>
        <w:t xml:space="preserve">GPa, Poisson ratio 0.223 </w:t>
      </w:r>
      <w:r w:rsidRPr="00DF6F70">
        <w:rPr>
          <w:rFonts w:eastAsia="Droid Sans"/>
          <w:color w:val="000000" w:themeColor="text1"/>
          <w:lang w:val="en-GB"/>
        </w:rPr>
        <w:fldChar w:fldCharType="begin"/>
      </w:r>
      <w:r w:rsidRPr="00DF6F70">
        <w:rPr>
          <w:rFonts w:eastAsia="Droid Sans"/>
          <w:color w:val="000000" w:themeColor="text1"/>
          <w:lang w:val="en-GB"/>
        </w:rPr>
        <w:instrText xml:space="preserve"> ADDIN ZOTERO_ITEM CSL_CITATION {"citationID":"lo2e20nrh","properties":{"formattedCitation":"[1]","plainCitation":"[1]"},"citationItems":[{"id":3008,"uris":["http://zotero.org/users/1070723/items/VW9KTZQB"],"uri":["http://zotero.org/users/1070723/items/VW9KTZQB"],"itemData":{"id":3008,"type":"article-journal","title":"Fracture strength of micro- and nano-scale silicon components","container-title":"Applied Physics Reviews","page":"021303","volume":"2","issue":"2","source":"Web of Science","abstract":"Silicon devices are ubiquitous in many micro-and nano-scale technological applications, most notably microelectronics and microelectromechanical systems (MEMS). Despite their widespread usage, however, issues related to uncertain mechanical reliability remain a major factor inhibiting the further advancement of device commercialization. In particular, reliability issues related to the fracture of MEMS components have become increasingly important given continued reductions in critical feature sizes coupled with recent escalations in both MEMS device actuation forces and harsh usage conditions. In this review, the fracture strength of micro-and nano-scale silicon components in the context of MEMS is considered. An overview of the crystal structure and elastic and fracture properties of both single-crystal silicon (SCS) and polycrystalline silicon (polysilicon) is presented. Experimental methods for the deposition of SCS and polysilicon films, fabrication of fracture-strength test components, and analysis of strength data are also summarized. SCS and polysilicon fracture strength results as a function of processing conditions, component size and geometry, and test temperature, environment, and loading rate are then surveyed and analyzed to form overarching processing-structure-property-performance relationships. Future studies are suggested to advance our current view of these relationships and their impacts on the manufacturing yield, device performance, and operational reliability of micro-and nano-scale silicon devices.","DOI":"10.1063/1.4919540","ISSN":"1931-9401","note":"WOS:000357609200003","journalAbbreviation":"Appl. Phys. Rev.","language":"English","author":[{"family":"DelRio","given":"Frank W."},{"family":"Cook","given":"Robert F."},{"family":"Boyce","given":"Brad L."}],"issued":{"date-parts":[["2015",6]]}}}],"schema":"https://github.com/citation-style-language/schema/raw/master/csl-citation.json"} </w:instrText>
      </w:r>
      <w:r w:rsidRPr="00DF6F70">
        <w:rPr>
          <w:rFonts w:eastAsia="Droid Sans"/>
          <w:color w:val="000000" w:themeColor="text1"/>
          <w:lang w:val="en-GB"/>
        </w:rPr>
        <w:fldChar w:fldCharType="separate"/>
      </w:r>
      <w:r w:rsidRPr="00DF6F70">
        <w:rPr>
          <w:rFonts w:eastAsia="Droid Sans"/>
          <w:noProof/>
          <w:color w:val="000000" w:themeColor="text1"/>
          <w:lang w:val="en-GB"/>
        </w:rPr>
        <w:t>[S1]</w:t>
      </w:r>
      <w:r w:rsidRPr="00DF6F70">
        <w:rPr>
          <w:rFonts w:eastAsia="Droid Sans"/>
          <w:color w:val="000000" w:themeColor="text1"/>
          <w:lang w:val="en-GB"/>
        </w:rPr>
        <w:fldChar w:fldCharType="end"/>
      </w:r>
      <w:r w:rsidRPr="00DF6F70">
        <w:rPr>
          <w:rFonts w:eastAsia="Droid Sans"/>
          <w:color w:val="000000" w:themeColor="text1"/>
          <w:lang w:val="en-GB"/>
        </w:rPr>
        <w:t xml:space="preserve"> and yield stress 7.6 GPa (based on compression measurements of fully crystalline </w:t>
      </w:r>
      <w:proofErr w:type="spellStart"/>
      <w:r w:rsidRPr="00DF6F70">
        <w:rPr>
          <w:rFonts w:eastAsia="Droid Sans"/>
          <w:color w:val="000000" w:themeColor="text1"/>
          <w:lang w:val="en-GB"/>
        </w:rPr>
        <w:t>nanopillars</w:t>
      </w:r>
      <w:proofErr w:type="spellEnd"/>
      <w:r w:rsidRPr="00DF6F70">
        <w:rPr>
          <w:rFonts w:eastAsia="Droid Sans"/>
          <w:color w:val="000000" w:themeColor="text1"/>
          <w:lang w:val="en-GB"/>
        </w:rPr>
        <w:t xml:space="preserve"> </w:t>
      </w:r>
      <w:r w:rsidRPr="00DF6F70">
        <w:rPr>
          <w:rFonts w:eastAsia="Droid Sans"/>
          <w:color w:val="000000" w:themeColor="text1"/>
          <w:lang w:val="en-GB"/>
        </w:rPr>
        <w:fldChar w:fldCharType="begin"/>
      </w:r>
      <w:r w:rsidRPr="00DF6F70">
        <w:rPr>
          <w:rFonts w:eastAsia="Droid Sans"/>
          <w:color w:val="000000" w:themeColor="text1"/>
          <w:lang w:val="en-GB"/>
        </w:rPr>
        <w:instrText xml:space="preserve"> ADDIN ZOTERO_ITEM CSL_CITATION {"citationID":"1f9f4gn9lr","properties":{"formattedCitation":"[2]","plainCitation":"[2]"},"citationItems":[{"id":4034,"uris":["http://zotero.org/users/1070723/items/7DUUBF8J"],"uri":["http://zotero.org/users/1070723/items/7DUUBF8J"],"itemData":{"id":4034,"type":"article-journal","title":"Thermal treatment-induced ductile-to-brittle transition of submicron-sized Si pillars fabricated by focused ion beam","container-title":"Applied Physics Letters","page":"081905","volume":"106","issue":"8","source":"aip.scitation.org (Atypon)","abstract":"Si pillars fabricated by focused ion beam (FIB) had been reported to have a critical size of 310–400 nm, below which their deformation behavior would experience a brittle-to-ductile transition at room temperature. Here, we demonstrated that the size-dependent transition was actually stemmed from the amorphous Si (a-Si) shell introduced during the FIB fabrication process. Once the a-Si shell was crystallized, Si pillars would behave brittle again with their modulus comparable to their bulk counterpart. The analytical model we developed has been proved to be valid in deriving the moduli of crystalline Si core and a-Si shell.","DOI":"10.1063/1.4913241","ISSN":"0003-6951","journalAbbreviation":"Appl. Phys. Lett.","author":[{"family":"Wang","given":"Yue-cun"},{"family":"Xie","given":"De-gang"},{"family":"Ning","given":"Xiao-hui"},{"family":"Shan","given":"Zhi-wei"}],"issued":{"date-parts":[["2015",2,23]]}}}],"schema":"https://github.com/citation-style-language/schema/raw/master/csl-citation.json"} </w:instrText>
      </w:r>
      <w:r w:rsidRPr="00DF6F70">
        <w:rPr>
          <w:rFonts w:eastAsia="Droid Sans"/>
          <w:color w:val="000000" w:themeColor="text1"/>
          <w:lang w:val="en-GB"/>
        </w:rPr>
        <w:fldChar w:fldCharType="separate"/>
      </w:r>
      <w:r w:rsidRPr="00DF6F70">
        <w:rPr>
          <w:rFonts w:eastAsia="Droid Sans"/>
          <w:noProof/>
          <w:color w:val="000000" w:themeColor="text1"/>
          <w:lang w:val="en-GB"/>
        </w:rPr>
        <w:t>[S2]</w:t>
      </w:r>
      <w:r w:rsidRPr="00DF6F70">
        <w:rPr>
          <w:rFonts w:eastAsia="Droid Sans"/>
          <w:color w:val="000000" w:themeColor="text1"/>
          <w:lang w:val="en-GB"/>
        </w:rPr>
        <w:fldChar w:fldCharType="end"/>
      </w:r>
      <w:r>
        <w:rPr>
          <w:rFonts w:eastAsia="Droid Sans"/>
          <w:color w:val="000000" w:themeColor="text1"/>
          <w:lang w:val="en-GB"/>
        </w:rPr>
        <w:t>)</w:t>
      </w:r>
      <w:r w:rsidRPr="00DF6F70">
        <w:rPr>
          <w:rFonts w:eastAsia="Droid Sans"/>
          <w:color w:val="000000" w:themeColor="text1"/>
          <w:lang w:val="en-GB"/>
        </w:rPr>
        <w:t xml:space="preserve">. As shown in Fig. S8(a) for the maximum deformation during the pre-fatigue step, only in a very thin layer of material at the top tip of the ligament does the von </w:t>
      </w:r>
      <w:proofErr w:type="spellStart"/>
      <w:r w:rsidRPr="00DF6F70">
        <w:rPr>
          <w:rFonts w:eastAsia="Droid Sans"/>
          <w:color w:val="000000" w:themeColor="text1"/>
          <w:lang w:val="en-GB"/>
        </w:rPr>
        <w:t>Mises</w:t>
      </w:r>
      <w:proofErr w:type="spellEnd"/>
      <w:r w:rsidRPr="00DF6F70">
        <w:rPr>
          <w:rFonts w:eastAsia="Droid Sans"/>
          <w:color w:val="000000" w:themeColor="text1"/>
          <w:lang w:val="en-GB"/>
        </w:rPr>
        <w:t xml:space="preserve"> equivalent stress exceed the critical value for the onset of plasticity. </w:t>
      </w:r>
      <w:r w:rsidR="00E57EFE" w:rsidRPr="00E57EFE">
        <w:rPr>
          <w:rFonts w:eastAsia="Droid Sans"/>
          <w:color w:val="FF0000"/>
          <w:lang w:val="en-GB"/>
        </w:rPr>
        <w:t>This means that a small amount of plasticity (</w:t>
      </w:r>
      <w:r w:rsidR="00E57EFE">
        <w:rPr>
          <w:rFonts w:eastAsia="Droid Sans"/>
          <w:color w:val="FF0000"/>
          <w:lang w:val="en-GB"/>
        </w:rPr>
        <w:t xml:space="preserve">e.g., </w:t>
      </w:r>
      <w:r w:rsidR="00E57EFE" w:rsidRPr="00E57EFE">
        <w:rPr>
          <w:rFonts w:eastAsia="Droid Sans"/>
          <w:color w:val="FF0000"/>
          <w:lang w:val="en-GB"/>
        </w:rPr>
        <w:t xml:space="preserve">the generation of a limited number of dislocations) might </w:t>
      </w:r>
      <w:r w:rsidR="00E57EFE">
        <w:rPr>
          <w:rFonts w:eastAsia="Droid Sans"/>
          <w:color w:val="FF0000"/>
          <w:lang w:val="en-GB"/>
        </w:rPr>
        <w:t>occur</w:t>
      </w:r>
      <w:r w:rsidR="00E57EFE" w:rsidRPr="00E57EFE">
        <w:rPr>
          <w:rFonts w:eastAsia="Droid Sans"/>
          <w:color w:val="FF0000"/>
          <w:lang w:val="en-GB"/>
        </w:rPr>
        <w:t xml:space="preserve"> at that location</w:t>
      </w:r>
      <w:r w:rsidR="00C77A65">
        <w:rPr>
          <w:rFonts w:eastAsia="Droid Sans"/>
          <w:color w:val="FF0000"/>
          <w:lang w:val="en-GB"/>
        </w:rPr>
        <w:t>, particularly if a pre-crack is produced</w:t>
      </w:r>
      <w:r w:rsidR="00E57EFE" w:rsidRPr="00E57EFE">
        <w:rPr>
          <w:rFonts w:eastAsia="Droid Sans"/>
          <w:color w:val="FF0000"/>
          <w:lang w:val="en-GB"/>
        </w:rPr>
        <w:t>.</w:t>
      </w:r>
      <w:r w:rsidR="00E57EFE">
        <w:rPr>
          <w:rFonts w:eastAsia="Droid Sans"/>
          <w:color w:val="FF0000"/>
          <w:lang w:val="en-GB"/>
        </w:rPr>
        <w:t xml:space="preserve"> On the other hand</w:t>
      </w:r>
      <w:r w:rsidRPr="00DF6F70">
        <w:rPr>
          <w:rFonts w:eastAsia="Droid Sans"/>
          <w:color w:val="000000" w:themeColor="text1"/>
          <w:lang w:val="en-GB"/>
        </w:rPr>
        <w:t>, the great majority of material along which the crack grows during the mechanical test has not seen stresses high enough to introduce defects (dislocations) during the preparation step. This analysis was also done for the maximum load reached upon the initial loading in the tests (the load before the first pop-in in Fig. 3), leading to the same conclusion (Fig. S8(b)). Hence, the effect of the pre-fatigue step or the initial sample loading is unlikely to be the cause for the erratic responses of the different CN samples.</w:t>
      </w:r>
    </w:p>
    <w:p w14:paraId="5CE3A205" w14:textId="77777777" w:rsidR="000A5197" w:rsidRPr="007C1894" w:rsidRDefault="000A5197" w:rsidP="000A5197">
      <w:pPr>
        <w:rPr>
          <w:color w:val="000000"/>
          <w:lang w:val="en-GB"/>
        </w:rPr>
      </w:pPr>
      <w:r w:rsidRPr="007C1894">
        <w:rPr>
          <w:color w:val="000000"/>
          <w:lang w:val="en-GB"/>
        </w:rPr>
        <w:br w:type="page"/>
      </w:r>
    </w:p>
    <w:p w14:paraId="503A7907" w14:textId="66AADA87" w:rsidR="000A5197" w:rsidRPr="007C1894" w:rsidRDefault="006A7768" w:rsidP="000A5197">
      <w:pPr>
        <w:rPr>
          <w:color w:val="000000"/>
          <w:lang w:val="en-GB"/>
        </w:rPr>
      </w:pPr>
      <w:r>
        <w:rPr>
          <w:noProof/>
          <w:color w:val="000000"/>
          <w:lang w:val="en-GB" w:eastAsia="en-GB"/>
        </w:rPr>
        <w:drawing>
          <wp:inline distT="0" distB="0" distL="0" distR="0" wp14:anchorId="54406F72" wp14:editId="27BB0E4D">
            <wp:extent cx="5434965" cy="4033088"/>
            <wp:effectExtent l="0" t="0" r="635" b="5715"/>
            <wp:docPr id="14" name="Picture 14" descr="../../../../../Volumes/HYSITRON-SHARE/papers/chevron_Si/eps/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HYSITRON-SHARE/papers/chevron_Si/eps/stres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50440" cy="4044572"/>
                    </a:xfrm>
                    <a:prstGeom prst="rect">
                      <a:avLst/>
                    </a:prstGeom>
                    <a:noFill/>
                    <a:ln>
                      <a:noFill/>
                    </a:ln>
                  </pic:spPr>
                </pic:pic>
              </a:graphicData>
            </a:graphic>
          </wp:inline>
        </w:drawing>
      </w:r>
    </w:p>
    <w:p w14:paraId="6E41ED10" w14:textId="4743B2D1" w:rsidR="000A5197" w:rsidRPr="007C1894" w:rsidRDefault="000A5197" w:rsidP="00C9392A">
      <w:pPr>
        <w:pStyle w:val="SICHVSUPP"/>
      </w:pPr>
      <w:r w:rsidRPr="007C1894">
        <w:t>Fig</w:t>
      </w:r>
      <w:r w:rsidR="00C9392A" w:rsidRPr="00C9392A">
        <w:rPr>
          <w:color w:val="FF0000"/>
        </w:rPr>
        <w:t>ure</w:t>
      </w:r>
      <w:r w:rsidRPr="007C1894">
        <w:t xml:space="preserve"> S8 Von </w:t>
      </w:r>
      <w:proofErr w:type="spellStart"/>
      <w:r w:rsidRPr="007C1894">
        <w:t>Mises</w:t>
      </w:r>
      <w:proofErr w:type="spellEnd"/>
      <w:r w:rsidRPr="007C1894">
        <w:t xml:space="preserve"> stress distribution in the chevron ligament of Sample C1 at (a) the maximal displacement recorded during the pre-fatigue preparation step and (b) immediately before the crack initiation pop-in during the micromechanical test. The results are obtained for isotropic, elastic-perfectly plastic silicon (see the main text for material parameters). Plastic yielding (von </w:t>
      </w:r>
      <w:proofErr w:type="spellStart"/>
      <w:r w:rsidRPr="007C1894">
        <w:t>Mises</w:t>
      </w:r>
      <w:proofErr w:type="spellEnd"/>
      <w:r w:rsidRPr="007C1894">
        <w:t xml:space="preserve"> stress exceeding 7.6 GPa) is found in a very narrow region near the edges at the top part of the chevron notch.</w:t>
      </w:r>
    </w:p>
    <w:p w14:paraId="723071C0" w14:textId="77777777" w:rsidR="000A5197" w:rsidRPr="007C1894" w:rsidRDefault="000A5197" w:rsidP="000A5197">
      <w:pPr>
        <w:rPr>
          <w:color w:val="000000"/>
          <w:lang w:val="en-GB"/>
        </w:rPr>
      </w:pPr>
    </w:p>
    <w:p w14:paraId="4788C52A" w14:textId="77777777" w:rsidR="000A5197" w:rsidRPr="007C1894" w:rsidRDefault="000A5197" w:rsidP="000A5197">
      <w:pPr>
        <w:rPr>
          <w:color w:val="000000"/>
          <w:lang w:val="en-GB"/>
        </w:rPr>
      </w:pPr>
    </w:p>
    <w:p w14:paraId="6500C42E" w14:textId="77777777" w:rsidR="000A5197" w:rsidRDefault="000A5197" w:rsidP="000A5197">
      <w:pPr>
        <w:rPr>
          <w:lang w:val="en-GB"/>
        </w:rPr>
      </w:pPr>
      <w:r>
        <w:rPr>
          <w:lang w:val="en-GB"/>
        </w:rPr>
        <w:br w:type="page"/>
      </w:r>
    </w:p>
    <w:p w14:paraId="69731670" w14:textId="77777777" w:rsidR="000A5197" w:rsidRPr="00C9392A" w:rsidRDefault="000A5197" w:rsidP="00C9392A">
      <w:pPr>
        <w:pStyle w:val="SICHVSUPP"/>
        <w:rPr>
          <w:b/>
          <w:u w:val="single"/>
        </w:rPr>
      </w:pPr>
      <w:r w:rsidRPr="00C9392A">
        <w:rPr>
          <w:b/>
          <w:u w:val="single"/>
        </w:rPr>
        <w:t xml:space="preserve">On the influence of Mode II in the interpretation of CN and STN tests </w:t>
      </w:r>
    </w:p>
    <w:p w14:paraId="6B7953BA" w14:textId="77777777" w:rsidR="00C9392A" w:rsidRDefault="00C9392A" w:rsidP="000A5197">
      <w:pPr>
        <w:tabs>
          <w:tab w:val="left" w:pos="720"/>
        </w:tabs>
        <w:suppressAutoHyphens/>
        <w:spacing w:after="240" w:line="480" w:lineRule="auto"/>
        <w:rPr>
          <w:rFonts w:eastAsia="Droid Sans"/>
          <w:color w:val="000000" w:themeColor="text1"/>
          <w:lang w:val="en-GB"/>
        </w:rPr>
      </w:pPr>
    </w:p>
    <w:p w14:paraId="7F30BEF2" w14:textId="77777777"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 xml:space="preserve">An alternative reason why the apparent Mode I fracture toughness values might be too high could originate from the fact that cantilever samples unavoidably have some shear stress present within the notch plane. If this shear stress if large enough, it might lead to a contribution of Mode II cracking in the test data. </w:t>
      </w:r>
    </w:p>
    <w:p w14:paraId="0C1A3836" w14:textId="77777777"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 xml:space="preserve">Since in the presence of Mode I and Mode II crack loading the total strain energy release rate is the sum of the energy rates for each of the two modes, </w:t>
      </w:r>
      <m:oMath>
        <m:r>
          <w:rPr>
            <w:rFonts w:ascii="Cambria Math" w:eastAsia="Droid Sans" w:hAnsi="Cambria Math"/>
            <w:color w:val="000000" w:themeColor="text1"/>
            <w:lang w:val="en-GB"/>
          </w:rPr>
          <m:t>G=</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G</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G</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Mode I propagation requires the total </w:t>
      </w:r>
      <m:oMath>
        <m:r>
          <w:rPr>
            <w:rFonts w:ascii="Cambria Math" w:eastAsia="Droid Sans" w:hAnsi="Cambria Math"/>
            <w:color w:val="000000" w:themeColor="text1"/>
            <w:lang w:val="en-GB"/>
          </w:rPr>
          <m:t>G</m:t>
        </m:r>
      </m:oMath>
      <w:r w:rsidRPr="00DF6F70">
        <w:rPr>
          <w:rFonts w:eastAsia="Droid Sans"/>
          <w:color w:val="000000" w:themeColor="text1"/>
          <w:lang w:val="en-GB"/>
        </w:rPr>
        <w:t xml:space="preserve"> to be higher by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G</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than it need be for pure Mode I loading. Since values for </w:t>
      </w:r>
      <m:oMath>
        <m:r>
          <w:rPr>
            <w:rFonts w:ascii="Cambria Math" w:eastAsia="Droid Sans" w:hAnsi="Cambria Math"/>
            <w:color w:val="000000" w:themeColor="text1"/>
            <w:lang w:val="en-GB"/>
          </w:rPr>
          <m:t>G</m:t>
        </m:r>
      </m:oMath>
      <w:r w:rsidRPr="00DF6F70">
        <w:rPr>
          <w:rFonts w:eastAsia="Droid Sans"/>
          <w:color w:val="000000" w:themeColor="text1"/>
          <w:lang w:val="en-GB"/>
        </w:rPr>
        <w:t xml:space="preserve"> computed above via compliance calibration function correspond (given the use of a full three-dimensional finite element model) to the total released strain energy rates, maintaining the driving force for Mode I fracture in the presence of Mode II loading requires somewhat higher load </w:t>
      </w:r>
      <m:oMath>
        <m:r>
          <w:rPr>
            <w:rFonts w:ascii="Cambria Math" w:eastAsia="Droid Sans" w:hAnsi="Cambria Math"/>
            <w:color w:val="000000" w:themeColor="text1"/>
            <w:lang w:val="en-GB"/>
          </w:rPr>
          <m:t>P</m:t>
        </m:r>
      </m:oMath>
      <w:r w:rsidRPr="00DF6F70">
        <w:rPr>
          <w:rFonts w:eastAsia="Droid Sans"/>
          <w:color w:val="000000" w:themeColor="text1"/>
          <w:lang w:val="en-GB"/>
        </w:rPr>
        <w:t xml:space="preserve">. The magnitude of this overloading essentially depends on the sample’s Mode I and II crack stress singularity strengths, i.e. the Mode I and II crack stress intensity factors,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oMath>
      <w:r w:rsidRPr="00DF6F70">
        <w:rPr>
          <w:rFonts w:eastAsia="Droid Sans"/>
          <w:color w:val="000000" w:themeColor="text1"/>
          <w:lang w:val="en-GB"/>
        </w:rPr>
        <w:t xml:space="preserve">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respectively.</w:t>
      </w:r>
    </w:p>
    <w:p w14:paraId="64EB317A" w14:textId="186AC6CF"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ab/>
        <w:t xml:space="preserve">To estimate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oMath>
      <w:r w:rsidRPr="00DF6F70">
        <w:rPr>
          <w:rFonts w:eastAsia="Droid Sans"/>
          <w:color w:val="000000" w:themeColor="text1"/>
          <w:lang w:val="en-GB"/>
        </w:rPr>
        <w:t xml:space="preserve">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for our cantilever samples we revert to FE calculations.  We use the same FE models as for the compliance calibration, but now with more refined mesh around the crack front and the quarter point elements located immediately next to the crack front. This modelling strategy is commonly used to improve and obtain the theoretically expected crack stress singularity, i.e. </w:t>
      </w:r>
      <m:oMath>
        <m:r>
          <w:rPr>
            <w:rFonts w:ascii="Cambria Math" w:eastAsia="Droid Sans" w:hAnsi="Cambria Math"/>
            <w:color w:val="000000" w:themeColor="text1"/>
            <w:lang w:val="en-GB"/>
          </w:rPr>
          <m:t>σ∝</m:t>
        </m:r>
        <m:f>
          <m:fPr>
            <m:type m:val="lin"/>
            <m:ctrlPr>
              <w:rPr>
                <w:rFonts w:ascii="Cambria Math" w:eastAsia="Droid Sans" w:hAnsi="Cambria Math"/>
                <w:i/>
                <w:color w:val="000000" w:themeColor="text1"/>
                <w:lang w:val="en-GB"/>
              </w:rPr>
            </m:ctrlPr>
          </m:fPr>
          <m:num>
            <m:r>
              <w:rPr>
                <w:rFonts w:ascii="Cambria Math" w:eastAsia="Droid Sans" w:hAnsi="Cambria Math"/>
                <w:color w:val="000000" w:themeColor="text1"/>
                <w:lang w:val="en-GB"/>
              </w:rPr>
              <m:t>1</m:t>
            </m:r>
          </m:num>
          <m:den>
            <m:rad>
              <m:radPr>
                <m:degHide m:val="1"/>
                <m:ctrlPr>
                  <w:rPr>
                    <w:rFonts w:ascii="Cambria Math" w:eastAsia="Droid Sans" w:hAnsi="Cambria Math"/>
                    <w:i/>
                    <w:color w:val="000000" w:themeColor="text1"/>
                    <w:lang w:val="en-GB"/>
                  </w:rPr>
                </m:ctrlPr>
              </m:radPr>
              <m:deg/>
              <m:e>
                <m:r>
                  <w:rPr>
                    <w:rFonts w:ascii="Cambria Math" w:eastAsia="Droid Sans" w:hAnsi="Cambria Math"/>
                    <w:color w:val="000000" w:themeColor="text1"/>
                    <w:lang w:val="en-GB"/>
                  </w:rPr>
                  <m:t>r</m:t>
                </m:r>
              </m:e>
            </m:rad>
          </m:den>
        </m:f>
      </m:oMath>
      <w:r w:rsidRPr="00DF6F70">
        <w:rPr>
          <w:rFonts w:eastAsia="Droid Sans"/>
          <w:color w:val="000000" w:themeColor="text1"/>
          <w:lang w:val="en-GB"/>
        </w:rPr>
        <w:t xml:space="preserve">, where </w:t>
      </w:r>
      <m:oMath>
        <m:r>
          <w:rPr>
            <w:rFonts w:ascii="Cambria Math" w:eastAsia="Droid Sans" w:hAnsi="Cambria Math"/>
            <w:color w:val="000000" w:themeColor="text1"/>
            <w:lang w:val="en-GB"/>
          </w:rPr>
          <m:t>r</m:t>
        </m:r>
      </m:oMath>
      <w:r w:rsidRPr="00DF6F70">
        <w:rPr>
          <w:rFonts w:eastAsia="Droid Sans"/>
          <w:color w:val="000000" w:themeColor="text1"/>
          <w:lang w:val="en-GB"/>
        </w:rPr>
        <w:t xml:space="preserve"> is the radial distance from the crack front </w:t>
      </w:r>
      <w:r w:rsidRPr="00DF6F70">
        <w:rPr>
          <w:rFonts w:eastAsia="Droid Sans"/>
          <w:color w:val="000000" w:themeColor="text1"/>
          <w:lang w:val="en-GB"/>
        </w:rPr>
        <w:fldChar w:fldCharType="begin"/>
      </w:r>
      <w:r w:rsidRPr="00DF6F70">
        <w:rPr>
          <w:rFonts w:eastAsia="Droid Sans"/>
          <w:color w:val="000000" w:themeColor="text1"/>
          <w:lang w:val="en-GB"/>
        </w:rPr>
        <w:instrText xml:space="preserve"> ADDIN ZOTERO_ITEM CSL_CITATION {"citationID":"1783sberc9","properties":{"formattedCitation":"[3]","plainCitation":"[3]"},"citationItems":[{"id":1686,"uris":["http://zotero.org/users/1070723/items/SN6F22XS"],"uri":["http://zotero.org/users/1070723/items/SN6F22XS"],"itemData":{"id":1686,"type":"book","title":"Fracture mechanics: fundamentals and applications","publisher":"Taylor &amp; Francis","publisher-place":"Boca Raton, FL","source":"Open WorldCat","event-place":"Boca Raton, FL","abstract":"\"Fracture Mechanics: Fundamentals and Applications encompasses theory and applications, linear and nonlinear fracture mechanics, solid mechanics, and materials science with a unified, balanced, and in-depth approach.\" \"Fracture Mechanics: Fundamentals and Applications, Third Edition also includes detailed mathematical derivations in appendices at the end of applicable chapters; recent developments in laboratory testing, application to structures, and computational methods; coverage of micromechanisms of fracture; and more than 400 graphs, schematics, drawings, and photographs. This reference continues to be a necessity on the desk of anyone involved with fracture mechanics.\"--BOOK JACKET.","ISBN":"0-8493-1656-1","shortTitle":"Fracture mechanics","language":"English","author":[{"family":"Anderson","given":"T. L"}],"issued":{"date-parts":[["2005"]]}}}],"schema":"https://github.com/citation-style-language/schema/raw/master/csl-citation.json"} </w:instrText>
      </w:r>
      <w:r w:rsidRPr="00DF6F70">
        <w:rPr>
          <w:rFonts w:eastAsia="Droid Sans"/>
          <w:color w:val="000000" w:themeColor="text1"/>
          <w:lang w:val="en-GB"/>
        </w:rPr>
        <w:fldChar w:fldCharType="separate"/>
      </w:r>
      <w:r w:rsidRPr="00DF6F70">
        <w:rPr>
          <w:rFonts w:eastAsia="Droid Sans"/>
          <w:noProof/>
          <w:color w:val="000000" w:themeColor="text1"/>
          <w:lang w:val="en-GB"/>
        </w:rPr>
        <w:t>[S3]</w:t>
      </w:r>
      <w:r w:rsidRPr="00DF6F70">
        <w:rPr>
          <w:rFonts w:eastAsia="Droid Sans"/>
          <w:color w:val="000000" w:themeColor="text1"/>
          <w:lang w:val="en-GB"/>
        </w:rPr>
        <w:fldChar w:fldCharType="end"/>
      </w:r>
      <w:r w:rsidRPr="00DF6F70">
        <w:rPr>
          <w:rFonts w:eastAsia="Droid Sans"/>
          <w:color w:val="000000" w:themeColor="text1"/>
          <w:lang w:val="en-GB"/>
        </w:rPr>
        <w:t xml:space="preserve">. Since the normal to the notch plane in our models is aligned with the </w:t>
      </w:r>
      <m:oMath>
        <m:r>
          <w:rPr>
            <w:rFonts w:ascii="Cambria Math" w:eastAsia="Droid Sans" w:hAnsi="Cambria Math"/>
            <w:color w:val="000000" w:themeColor="text1"/>
            <w:lang w:val="en-GB"/>
          </w:rPr>
          <m:t>z</m:t>
        </m:r>
      </m:oMath>
      <w:r w:rsidRPr="00DF6F70">
        <w:rPr>
          <w:rFonts w:eastAsia="Droid Sans"/>
          <w:color w:val="000000" w:themeColor="text1"/>
          <w:lang w:val="en-GB"/>
        </w:rPr>
        <w:t xml:space="preserve">-axis and the crack propagation direction is along the </w:t>
      </w:r>
      <m:oMath>
        <m:r>
          <w:rPr>
            <w:rFonts w:ascii="Cambria Math" w:eastAsia="Droid Sans" w:hAnsi="Cambria Math"/>
            <w:color w:val="000000" w:themeColor="text1"/>
            <w:lang w:val="en-GB"/>
          </w:rPr>
          <m:t>y</m:t>
        </m:r>
      </m:oMath>
      <w:r w:rsidRPr="00DF6F70">
        <w:rPr>
          <w:rFonts w:eastAsia="Droid Sans"/>
          <w:color w:val="000000" w:themeColor="text1"/>
          <w:lang w:val="en-GB"/>
        </w:rPr>
        <w:t>-axis (see Figure S</w:t>
      </w:r>
      <w:r w:rsidR="0021583B">
        <w:rPr>
          <w:rFonts w:eastAsia="Droid Sans"/>
          <w:color w:val="000000" w:themeColor="text1"/>
          <w:lang w:val="en-GB"/>
        </w:rPr>
        <w:t>9</w:t>
      </w:r>
      <w:r w:rsidRPr="00DF6F70">
        <w:rPr>
          <w:rFonts w:eastAsia="Droid Sans"/>
          <w:color w:val="000000" w:themeColor="text1"/>
          <w:lang w:val="en-GB"/>
        </w:rPr>
        <w:t xml:space="preserve">a, inset), the stress components of interest for estimating the crack stress intensity factors are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33</m:t>
            </m:r>
          </m:sub>
        </m:sSub>
        <m:r>
          <w:rPr>
            <w:rFonts w:ascii="Cambria Math" w:eastAsia="Droid Sans" w:hAnsi="Cambria Math"/>
            <w:color w:val="000000" w:themeColor="text1"/>
            <w:lang w:val="en-GB"/>
          </w:rPr>
          <m:t>(y)</m:t>
        </m:r>
      </m:oMath>
      <w:r w:rsidRPr="00DF6F70">
        <w:rPr>
          <w:rFonts w:eastAsia="Droid Sans"/>
          <w:color w:val="000000" w:themeColor="text1"/>
          <w:lang w:val="en-GB"/>
        </w:rPr>
        <w:t xml:space="preserve"> for Mode I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32</m:t>
            </m:r>
          </m:sub>
        </m:sSub>
        <m:r>
          <w:rPr>
            <w:rFonts w:ascii="Cambria Math" w:eastAsia="Droid Sans" w:hAnsi="Cambria Math"/>
            <w:color w:val="000000" w:themeColor="text1"/>
            <w:lang w:val="en-GB"/>
          </w:rPr>
          <m:t>(y)</m:t>
        </m:r>
      </m:oMath>
      <w:r w:rsidRPr="00DF6F70">
        <w:rPr>
          <w:rFonts w:eastAsia="Droid Sans"/>
          <w:color w:val="000000" w:themeColor="text1"/>
          <w:lang w:val="en-GB"/>
        </w:rPr>
        <w:t xml:space="preserve"> for Mode II. The theoretical expressions for the near-field stress distributions of Mode I and Mode II cracks are well known and can be found, for example, in the book of Anderson </w:t>
      </w:r>
      <w:r w:rsidRPr="00DF6F70">
        <w:rPr>
          <w:rFonts w:eastAsia="Droid Sans"/>
          <w:color w:val="000000" w:themeColor="text1"/>
          <w:lang w:val="en-GB"/>
        </w:rPr>
        <w:fldChar w:fldCharType="begin"/>
      </w:r>
      <w:r w:rsidRPr="00DF6F70">
        <w:rPr>
          <w:rFonts w:eastAsia="Droid Sans"/>
          <w:color w:val="000000" w:themeColor="text1"/>
          <w:lang w:val="en-GB"/>
        </w:rPr>
        <w:instrText xml:space="preserve"> ADDIN ZOTERO_ITEM CSL_CITATION {"citationID":"1cpacp90a8","properties":{"formattedCitation":"[3]","plainCitation":"[3]"},"citationItems":[{"id":1686,"uris":["http://zotero.org/users/1070723/items/SN6F22XS"],"uri":["http://zotero.org/users/1070723/items/SN6F22XS"],"itemData":{"id":1686,"type":"book","title":"Fracture mechanics: fundamentals and applications","publisher":"Taylor &amp; Francis","publisher-place":"Boca Raton, FL","source":"Open WorldCat","event-place":"Boca Raton, FL","abstract":"\"Fracture Mechanics: Fundamentals and Applications encompasses theory and applications, linear and nonlinear fracture mechanics, solid mechanics, and materials science with a unified, balanced, and in-depth approach.\" \"Fracture Mechanics: Fundamentals and Applications, Third Edition also includes detailed mathematical derivations in appendices at the end of applicable chapters; recent developments in laboratory testing, application to structures, and computational methods; coverage of micromechanisms of fracture; and more than 400 graphs, schematics, drawings, and photographs. This reference continues to be a necessity on the desk of anyone involved with fracture mechanics.\"--BOOK JACKET.","ISBN":"0-8493-1656-1","shortTitle":"Fracture mechanics","language":"English","author":[{"family":"Anderson","given":"T. L"}],"issued":{"date-parts":[["2005"]]}}}],"schema":"https://github.com/citation-style-language/schema/raw/master/csl-citation.json"} </w:instrText>
      </w:r>
      <w:r w:rsidRPr="00DF6F70">
        <w:rPr>
          <w:rFonts w:eastAsia="Droid Sans"/>
          <w:color w:val="000000" w:themeColor="text1"/>
          <w:lang w:val="en-GB"/>
        </w:rPr>
        <w:fldChar w:fldCharType="separate"/>
      </w:r>
      <w:r w:rsidRPr="00DF6F70">
        <w:rPr>
          <w:rFonts w:eastAsia="Droid Sans"/>
          <w:noProof/>
          <w:color w:val="000000" w:themeColor="text1"/>
          <w:lang w:val="en-GB"/>
        </w:rPr>
        <w:t>[S3]</w:t>
      </w:r>
      <w:r w:rsidRPr="00DF6F70">
        <w:rPr>
          <w:rFonts w:eastAsia="Droid Sans"/>
          <w:color w:val="000000" w:themeColor="text1"/>
          <w:lang w:val="en-GB"/>
        </w:rPr>
        <w:fldChar w:fldCharType="end"/>
      </w:r>
      <w:r w:rsidRPr="00DF6F70">
        <w:rPr>
          <w:rFonts w:eastAsia="Droid Sans"/>
          <w:color w:val="000000" w:themeColor="text1"/>
          <w:lang w:val="en-GB"/>
        </w:rPr>
        <w:t xml:space="preserve">. The stress distribution along the symmetry line, </w:t>
      </w:r>
      <m:oMath>
        <m:r>
          <w:rPr>
            <w:rFonts w:ascii="Cambria Math" w:eastAsia="Droid Sans" w:hAnsi="Cambria Math"/>
            <w:color w:val="000000" w:themeColor="text1"/>
            <w:lang w:val="en-GB"/>
          </w:rPr>
          <m:t>y</m:t>
        </m:r>
      </m:oMath>
      <w:r w:rsidRPr="00DF6F70">
        <w:rPr>
          <w:rFonts w:eastAsia="Droid Sans"/>
          <w:color w:val="000000" w:themeColor="text1"/>
          <w:lang w:val="en-GB"/>
        </w:rPr>
        <w:t xml:space="preserve">, within the notch ligament, are theoretically expected to be: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33</m:t>
            </m:r>
          </m:sub>
        </m:sSub>
        <m:r>
          <w:rPr>
            <w:rFonts w:ascii="Cambria Math" w:eastAsia="Droid Sans" w:hAnsi="Cambria Math"/>
            <w:color w:val="000000" w:themeColor="text1"/>
            <w:lang w:val="en-GB"/>
          </w:rPr>
          <m:t>(y)=</m:t>
        </m:r>
        <m:f>
          <m:fPr>
            <m:type m:val="lin"/>
            <m:ctrlPr>
              <w:rPr>
                <w:rFonts w:ascii="Cambria Math" w:eastAsia="Droid Sans" w:hAnsi="Cambria Math"/>
                <w:i/>
                <w:color w:val="000000" w:themeColor="text1"/>
                <w:lang w:val="en-GB"/>
              </w:rPr>
            </m:ctrlPr>
          </m:fPr>
          <m:num>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num>
          <m:den>
            <m:rad>
              <m:radPr>
                <m:degHide m:val="1"/>
                <m:ctrlPr>
                  <w:rPr>
                    <w:rFonts w:ascii="Cambria Math" w:eastAsia="Droid Sans" w:hAnsi="Cambria Math"/>
                    <w:i/>
                    <w:color w:val="000000" w:themeColor="text1"/>
                    <w:lang w:val="en-GB"/>
                  </w:rPr>
                </m:ctrlPr>
              </m:radPr>
              <m:deg/>
              <m:e>
                <m:r>
                  <w:rPr>
                    <w:rFonts w:ascii="Cambria Math" w:eastAsia="Droid Sans" w:hAnsi="Cambria Math"/>
                    <w:color w:val="000000" w:themeColor="text1"/>
                    <w:lang w:val="en-GB"/>
                  </w:rPr>
                  <m:t>2πy</m:t>
                </m:r>
              </m:e>
            </m:rad>
          </m:den>
        </m:f>
      </m:oMath>
      <w:r w:rsidRPr="00DF6F70">
        <w:rPr>
          <w:rFonts w:eastAsia="Droid Sans"/>
          <w:color w:val="000000" w:themeColor="text1"/>
          <w:lang w:val="en-GB"/>
        </w:rPr>
        <w:t xml:space="preserve"> for Mode I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32</m:t>
            </m:r>
          </m:sub>
        </m:sSub>
        <m:r>
          <w:rPr>
            <w:rFonts w:ascii="Cambria Math" w:eastAsia="Droid Sans" w:hAnsi="Cambria Math"/>
            <w:color w:val="000000" w:themeColor="text1"/>
            <w:lang w:val="en-GB"/>
          </w:rPr>
          <m:t>(y)=</m:t>
        </m:r>
        <m:f>
          <m:fPr>
            <m:type m:val="lin"/>
            <m:ctrlPr>
              <w:rPr>
                <w:rFonts w:ascii="Cambria Math" w:eastAsia="Droid Sans" w:hAnsi="Cambria Math"/>
                <w:i/>
                <w:color w:val="000000" w:themeColor="text1"/>
                <w:lang w:val="en-GB"/>
              </w:rPr>
            </m:ctrlPr>
          </m:fPr>
          <m:num>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num>
          <m:den>
            <m:rad>
              <m:radPr>
                <m:degHide m:val="1"/>
                <m:ctrlPr>
                  <w:rPr>
                    <w:rFonts w:ascii="Cambria Math" w:eastAsia="Droid Sans" w:hAnsi="Cambria Math"/>
                    <w:i/>
                    <w:color w:val="000000" w:themeColor="text1"/>
                    <w:lang w:val="en-GB"/>
                  </w:rPr>
                </m:ctrlPr>
              </m:radPr>
              <m:deg/>
              <m:e>
                <m:r>
                  <w:rPr>
                    <w:rFonts w:ascii="Cambria Math" w:eastAsia="Droid Sans" w:hAnsi="Cambria Math"/>
                    <w:color w:val="000000" w:themeColor="text1"/>
                    <w:lang w:val="en-GB"/>
                  </w:rPr>
                  <m:t>2πy</m:t>
                </m:r>
              </m:e>
            </m:rad>
          </m:den>
        </m:f>
      </m:oMath>
      <w:r w:rsidRPr="00DF6F70">
        <w:rPr>
          <w:rFonts w:eastAsia="Droid Sans"/>
          <w:color w:val="000000" w:themeColor="text1"/>
          <w:lang w:val="en-GB"/>
        </w:rPr>
        <w:t xml:space="preserve"> for Mode II. The angle-dependent part in these expressions vanished since we are considering the stress distributions along the crack propagation direction for which the angle </w:t>
      </w:r>
      <m:oMath>
        <m:r>
          <w:rPr>
            <w:rFonts w:ascii="Cambria Math" w:eastAsia="Droid Sans" w:hAnsi="Cambria Math"/>
            <w:color w:val="000000" w:themeColor="text1"/>
            <w:lang w:val="en-GB"/>
          </w:rPr>
          <m:t>θ=0</m:t>
        </m:r>
      </m:oMath>
      <w:r w:rsidRPr="00DF6F70">
        <w:rPr>
          <w:rFonts w:eastAsia="Droid Sans"/>
          <w:color w:val="000000" w:themeColor="text1"/>
          <w:lang w:val="en-GB"/>
        </w:rPr>
        <w:t xml:space="preserve">.  </w:t>
      </w:r>
    </w:p>
    <w:p w14:paraId="2DD60890" w14:textId="2EE79BE8"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ab/>
        <w:t>In Figures S</w:t>
      </w:r>
      <w:r w:rsidR="007315BE">
        <w:rPr>
          <w:rFonts w:eastAsia="Droid Sans"/>
          <w:color w:val="000000" w:themeColor="text1"/>
          <w:lang w:val="en-GB"/>
        </w:rPr>
        <w:t>9</w:t>
      </w:r>
      <w:r w:rsidRPr="00DF6F70">
        <w:rPr>
          <w:rFonts w:eastAsia="Droid Sans"/>
          <w:color w:val="000000" w:themeColor="text1"/>
          <w:lang w:val="en-GB"/>
        </w:rPr>
        <w:t>a and S</w:t>
      </w:r>
      <w:r w:rsidR="007315BE">
        <w:rPr>
          <w:rFonts w:eastAsia="Droid Sans"/>
          <w:color w:val="000000" w:themeColor="text1"/>
          <w:lang w:val="en-GB"/>
        </w:rPr>
        <w:t>9</w:t>
      </w:r>
      <w:r w:rsidRPr="00DF6F70">
        <w:rPr>
          <w:rFonts w:eastAsia="Droid Sans"/>
          <w:color w:val="000000" w:themeColor="text1"/>
          <w:lang w:val="en-GB"/>
        </w:rPr>
        <w:t xml:space="preserve">b, we show in linear and logarithmic plots respectively, the dependence of the stress components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33</m:t>
            </m:r>
          </m:sub>
        </m:sSub>
      </m:oMath>
      <w:r w:rsidRPr="00DF6F70">
        <w:rPr>
          <w:rFonts w:eastAsia="Droid Sans"/>
          <w:color w:val="000000" w:themeColor="text1"/>
          <w:lang w:val="en-GB"/>
        </w:rPr>
        <w:t xml:space="preserve"> (filled symbols)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32</m:t>
            </m:r>
          </m:sub>
        </m:sSub>
      </m:oMath>
      <w:r w:rsidRPr="00DF6F70">
        <w:rPr>
          <w:rFonts w:eastAsia="Droid Sans"/>
          <w:color w:val="000000" w:themeColor="text1"/>
          <w:lang w:val="en-GB"/>
        </w:rPr>
        <w:t xml:space="preserve"> (open symbols) on the distance from the crack front </w:t>
      </w:r>
      <m:oMath>
        <m:r>
          <w:rPr>
            <w:rFonts w:ascii="Cambria Math" w:eastAsia="Droid Sans" w:hAnsi="Cambria Math"/>
            <w:color w:val="000000" w:themeColor="text1"/>
            <w:lang w:val="en-GB"/>
          </w:rPr>
          <m:t>y</m:t>
        </m:r>
      </m:oMath>
      <w:r w:rsidRPr="00DF6F70">
        <w:rPr>
          <w:rFonts w:eastAsia="Droid Sans"/>
          <w:color w:val="000000" w:themeColor="text1"/>
          <w:lang w:val="en-GB"/>
        </w:rPr>
        <w:t xml:space="preserve"> along the symmetry line of a chevron notch ligament, as obtained from FE models for chevron-notched Sample C1. Stress distributions are plotted for several values of the relative crack length </w:t>
      </w:r>
      <m:oMath>
        <m:acc>
          <m:accPr>
            <m:ctrlPr>
              <w:rPr>
                <w:rFonts w:ascii="Cambria Math" w:eastAsia="Droid Sans" w:hAnsi="Cambria Math"/>
                <w:i/>
                <w:color w:val="000000" w:themeColor="text1"/>
                <w:lang w:val="en-GB"/>
              </w:rPr>
            </m:ctrlPr>
          </m:accPr>
          <m:e>
            <m:r>
              <w:rPr>
                <w:rFonts w:ascii="Cambria Math" w:eastAsia="Droid Sans" w:hAnsi="Cambria Math"/>
                <w:color w:val="000000" w:themeColor="text1"/>
                <w:lang w:val="en-GB"/>
              </w:rPr>
              <m:t>a</m:t>
            </m:r>
          </m:e>
        </m:acc>
        <m:r>
          <w:rPr>
            <w:rFonts w:ascii="Cambria Math" w:eastAsia="Droid Sans" w:hAnsi="Cambria Math"/>
            <w:color w:val="000000" w:themeColor="text1"/>
            <w:lang w:val="en-GB"/>
          </w:rPr>
          <m:t>=(a-</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a</m:t>
            </m:r>
          </m:e>
          <m:sub>
            <m:r>
              <w:rPr>
                <w:rFonts w:ascii="Cambria Math" w:eastAsia="Droid Sans" w:hAnsi="Cambria Math"/>
                <w:color w:val="000000" w:themeColor="text1"/>
                <w:lang w:val="en-GB"/>
              </w:rPr>
              <m:t>0</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a</m:t>
            </m:r>
          </m:e>
          <m:sub>
            <m:r>
              <w:rPr>
                <w:rFonts w:ascii="Cambria Math" w:eastAsia="Droid Sans" w:hAnsi="Cambria Math"/>
                <w:color w:val="000000" w:themeColor="text1"/>
                <w:lang w:val="en-GB"/>
              </w:rPr>
              <m:t>1</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a</m:t>
            </m:r>
          </m:e>
          <m:sub>
            <m:r>
              <w:rPr>
                <w:rFonts w:ascii="Cambria Math" w:eastAsia="Droid Sans" w:hAnsi="Cambria Math"/>
                <w:color w:val="000000" w:themeColor="text1"/>
                <w:lang w:val="en-GB"/>
              </w:rPr>
              <m:t>0</m:t>
            </m:r>
          </m:sub>
        </m:sSub>
        <m:r>
          <w:rPr>
            <w:rFonts w:ascii="Cambria Math" w:eastAsia="Droid Sans" w:hAnsi="Cambria Math"/>
            <w:color w:val="000000" w:themeColor="text1"/>
            <w:lang w:val="en-GB"/>
          </w:rPr>
          <m:t>)</m:t>
        </m:r>
      </m:oMath>
      <w:r w:rsidRPr="00DF6F70">
        <w:rPr>
          <w:rFonts w:eastAsia="Droid Sans"/>
          <w:color w:val="000000" w:themeColor="text1"/>
          <w:lang w:val="en-GB"/>
        </w:rPr>
        <w:t xml:space="preserve">.  Fits of the expected theoretical expressions to the FEM data in the vicinity of crack fronts, with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oMath>
      <w:r w:rsidRPr="00DF6F70">
        <w:rPr>
          <w:rFonts w:eastAsia="Droid Sans"/>
          <w:color w:val="000000" w:themeColor="text1"/>
          <w:lang w:val="en-GB"/>
        </w:rPr>
        <w:t xml:space="preserve"> and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being the free fitting parameters, are indicated in Figs. S</w:t>
      </w:r>
      <w:r w:rsidR="007315BE">
        <w:rPr>
          <w:rFonts w:eastAsia="Droid Sans"/>
          <w:color w:val="000000" w:themeColor="text1"/>
          <w:lang w:val="en-GB"/>
        </w:rPr>
        <w:t>9</w:t>
      </w:r>
      <w:r w:rsidRPr="00DF6F70">
        <w:rPr>
          <w:rFonts w:eastAsia="Droid Sans"/>
          <w:color w:val="000000" w:themeColor="text1"/>
          <w:lang w:val="en-GB"/>
        </w:rPr>
        <w:t>a and S</w:t>
      </w:r>
      <w:r w:rsidR="007315BE">
        <w:rPr>
          <w:rFonts w:eastAsia="Droid Sans"/>
          <w:color w:val="000000" w:themeColor="text1"/>
          <w:lang w:val="en-GB"/>
        </w:rPr>
        <w:t>9</w:t>
      </w:r>
      <w:r w:rsidRPr="00DF6F70">
        <w:rPr>
          <w:rFonts w:eastAsia="Droid Sans"/>
          <w:color w:val="000000" w:themeColor="text1"/>
          <w:lang w:val="en-GB"/>
        </w:rPr>
        <w:t xml:space="preserve">b with a solid lines for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33</m:t>
            </m:r>
          </m:sub>
        </m:sSub>
      </m:oMath>
      <w:r w:rsidRPr="00DF6F70">
        <w:rPr>
          <w:rFonts w:eastAsia="Droid Sans"/>
          <w:color w:val="000000" w:themeColor="text1"/>
          <w:lang w:val="en-GB"/>
        </w:rPr>
        <w:t xml:space="preserve"> and a dashed line for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32</m:t>
            </m:r>
          </m:sub>
        </m:sSub>
      </m:oMath>
      <w:r w:rsidRPr="00DF6F70">
        <w:rPr>
          <w:rFonts w:eastAsia="Droid Sans"/>
          <w:color w:val="000000" w:themeColor="text1"/>
          <w:lang w:val="en-GB"/>
        </w:rPr>
        <w:t xml:space="preserve">. As seen, FE models reproduce reasonably well expected stress distributions; this is more true for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33</m:t>
            </m:r>
          </m:sub>
        </m:sSub>
      </m:oMath>
      <w:r w:rsidRPr="00DF6F70">
        <w:rPr>
          <w:rFonts w:eastAsia="Droid Sans"/>
          <w:color w:val="000000" w:themeColor="text1"/>
          <w:lang w:val="en-GB"/>
        </w:rPr>
        <w:t xml:space="preserve"> than for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σ</m:t>
            </m:r>
          </m:e>
          <m:sub>
            <m:r>
              <w:rPr>
                <w:rFonts w:ascii="Cambria Math" w:eastAsia="Droid Sans" w:hAnsi="Cambria Math"/>
                <w:color w:val="000000" w:themeColor="text1"/>
                <w:lang w:val="en-GB"/>
              </w:rPr>
              <m:t>32</m:t>
            </m:r>
          </m:sub>
        </m:sSub>
      </m:oMath>
      <w:r w:rsidRPr="00DF6F70">
        <w:rPr>
          <w:rFonts w:eastAsia="Droid Sans"/>
          <w:color w:val="000000" w:themeColor="text1"/>
          <w:lang w:val="en-GB"/>
        </w:rPr>
        <w:t xml:space="preserve">. For Sample C1, the ratios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obtained after fitting FEM data, at each relative crack length </w:t>
      </w:r>
      <m:oMath>
        <m:acc>
          <m:accPr>
            <m:ctrlPr>
              <w:rPr>
                <w:rFonts w:ascii="Cambria Math" w:eastAsia="Droid Sans" w:hAnsi="Cambria Math"/>
                <w:i/>
                <w:color w:val="000000" w:themeColor="text1"/>
                <w:lang w:val="en-GB"/>
              </w:rPr>
            </m:ctrlPr>
          </m:accPr>
          <m:e>
            <m:r>
              <w:rPr>
                <w:rFonts w:ascii="Cambria Math" w:eastAsia="Droid Sans" w:hAnsi="Cambria Math"/>
                <w:color w:val="000000" w:themeColor="text1"/>
                <w:lang w:val="en-GB"/>
              </w:rPr>
              <m:t>a</m:t>
            </m:r>
          </m:e>
        </m:acc>
      </m:oMath>
      <w:r w:rsidRPr="00DF6F70">
        <w:rPr>
          <w:rFonts w:eastAsia="Droid Sans"/>
          <w:color w:val="000000" w:themeColor="text1"/>
          <w:lang w:val="en-GB"/>
        </w:rPr>
        <w:t xml:space="preserve"> are shown in Figure S</w:t>
      </w:r>
      <w:r w:rsidR="007315BE">
        <w:rPr>
          <w:rFonts w:eastAsia="Droid Sans"/>
          <w:color w:val="000000" w:themeColor="text1"/>
          <w:lang w:val="en-GB"/>
        </w:rPr>
        <w:t>9</w:t>
      </w:r>
      <w:r w:rsidRPr="00DF6F70">
        <w:rPr>
          <w:rFonts w:eastAsia="Droid Sans"/>
          <w:color w:val="000000" w:themeColor="text1"/>
          <w:lang w:val="en-GB"/>
        </w:rPr>
        <w:t xml:space="preserve">c with circles. Similarly obtained ratios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for chevron-notched Samples C2 (squares) and C3 (triangle) are also shown in Figure S</w:t>
      </w:r>
      <w:r w:rsidR="007315BE">
        <w:rPr>
          <w:rFonts w:eastAsia="Droid Sans"/>
          <w:color w:val="000000" w:themeColor="text1"/>
          <w:lang w:val="en-GB"/>
        </w:rPr>
        <w:t>9</w:t>
      </w:r>
      <w:r w:rsidRPr="00DF6F70">
        <w:rPr>
          <w:rFonts w:eastAsia="Droid Sans"/>
          <w:color w:val="000000" w:themeColor="text1"/>
          <w:lang w:val="en-GB"/>
        </w:rPr>
        <w:t xml:space="preserve">c. As seen, the ratios of Mode I to Mode II crack stress singularities for the three samples are reasonably similar. </w:t>
      </w:r>
    </w:p>
    <w:p w14:paraId="07133DBB" w14:textId="77777777" w:rsidR="000A5197" w:rsidRPr="00DF6F70" w:rsidRDefault="000A5197" w:rsidP="000A5197">
      <w:pPr>
        <w:tabs>
          <w:tab w:val="left" w:pos="720"/>
        </w:tabs>
        <w:suppressAutoHyphens/>
        <w:spacing w:after="240" w:line="480" w:lineRule="auto"/>
        <w:rPr>
          <w:rFonts w:eastAsia="Droid Sans"/>
          <w:color w:val="000000" w:themeColor="text1"/>
          <w:lang w:val="en-GB"/>
        </w:rPr>
      </w:pPr>
      <w:r w:rsidRPr="00DF6F70">
        <w:rPr>
          <w:rFonts w:eastAsia="Droid Sans"/>
          <w:color w:val="000000" w:themeColor="text1"/>
          <w:lang w:val="en-GB"/>
        </w:rPr>
        <w:t xml:space="preserve">For small cracks, the ratio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is quite high indicating a clear dominance of Mode I over Mode II. As the crack gets longer, the ratio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is settling to a constant value near </w:t>
      </w:r>
      <m:oMath>
        <m:r>
          <w:rPr>
            <w:rFonts w:ascii="Cambria Math" w:eastAsia="Droid Sans" w:hAnsi="Cambria Math"/>
            <w:color w:val="000000" w:themeColor="text1"/>
            <w:lang w:val="en-GB"/>
          </w:rPr>
          <m:t>∼4.5</m:t>
        </m:r>
      </m:oMath>
      <w:r w:rsidRPr="00DF6F70">
        <w:rPr>
          <w:rFonts w:eastAsia="Droid Sans"/>
          <w:color w:val="000000" w:themeColor="text1"/>
          <w:lang w:val="en-GB"/>
        </w:rPr>
        <w:t xml:space="preserve">.  Writing </w:t>
      </w:r>
      <m:oMath>
        <m:r>
          <w:rPr>
            <w:rFonts w:ascii="Cambria Math" w:eastAsia="Droid Sans" w:hAnsi="Cambria Math"/>
            <w:color w:val="000000" w:themeColor="text1"/>
            <w:lang w:val="en-GB"/>
          </w:rPr>
          <m:t>G=</m:t>
        </m:r>
        <m:sSup>
          <m:sSupPr>
            <m:ctrlPr>
              <w:rPr>
                <w:rFonts w:ascii="Cambria Math" w:eastAsia="Droid Sans" w:hAnsi="Cambria Math"/>
                <w:i/>
                <w:color w:val="000000" w:themeColor="text1"/>
                <w:lang w:val="en-GB"/>
              </w:rPr>
            </m:ctrlPr>
          </m:sSupPr>
          <m:e>
            <m:r>
              <w:rPr>
                <w:rFonts w:ascii="Cambria Math" w:eastAsia="Droid Sans" w:hAnsi="Cambria Math"/>
                <w:color w:val="000000" w:themeColor="text1"/>
                <w:lang w:val="en-GB"/>
              </w:rPr>
              <m:t>K</m:t>
            </m:r>
          </m:e>
          <m:sup>
            <m:r>
              <w:rPr>
                <w:rFonts w:ascii="Cambria Math" w:eastAsia="Droid Sans" w:hAnsi="Cambria Math"/>
                <w:color w:val="000000" w:themeColor="text1"/>
                <w:lang w:val="en-GB"/>
              </w:rPr>
              <m:t>2</m:t>
            </m:r>
          </m:sup>
        </m:sSup>
        <m:r>
          <w:rPr>
            <w:rFonts w:ascii="Cambria Math" w:eastAsia="Droid Sans" w:hAnsi="Cambria Math"/>
            <w:color w:val="000000" w:themeColor="text1"/>
            <w:lang w:val="en-GB"/>
          </w:rPr>
          <m:t>/M</m:t>
        </m:r>
      </m:oMath>
      <w:r w:rsidRPr="00DF6F70">
        <w:rPr>
          <w:rFonts w:eastAsia="Droid Sans"/>
          <w:color w:val="000000" w:themeColor="text1"/>
          <w:lang w:val="en-GB"/>
        </w:rPr>
        <w:t xml:space="preserve">, where </w:t>
      </w:r>
      <m:oMath>
        <m:r>
          <w:rPr>
            <w:rFonts w:ascii="Cambria Math" w:eastAsia="Droid Sans" w:hAnsi="Cambria Math"/>
            <w:color w:val="000000" w:themeColor="text1"/>
            <w:lang w:val="en-GB"/>
          </w:rPr>
          <m:t>M</m:t>
        </m:r>
      </m:oMath>
      <w:r w:rsidRPr="00DF6F70">
        <w:rPr>
          <w:rFonts w:eastAsia="Droid Sans"/>
          <w:color w:val="000000" w:themeColor="text1"/>
          <w:lang w:val="en-GB"/>
        </w:rPr>
        <w:t xml:space="preserve"> is the elastic stress factor (e.g. the Young’s modulus in case of isotropic materials), a ratio value </w:t>
      </w:r>
      <m:oMath>
        <m:f>
          <m:fPr>
            <m:type m:val="lin"/>
            <m:ctrlPr>
              <w:rPr>
                <w:rFonts w:ascii="Cambria Math" w:eastAsia="Droid Sans" w:hAnsi="Cambria Math"/>
                <w:i/>
                <w:color w:val="000000" w:themeColor="text1"/>
                <w:lang w:val="en-GB"/>
              </w:rPr>
            </m:ctrlPr>
          </m:fPr>
          <m:num>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m:t>
                </m:r>
              </m:sub>
            </m:sSub>
          </m:num>
          <m:den>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K</m:t>
                </m:r>
              </m:e>
              <m:sub>
                <m:r>
                  <w:rPr>
                    <w:rFonts w:ascii="Cambria Math" w:eastAsia="Droid Sans" w:hAnsi="Cambria Math"/>
                    <w:color w:val="000000" w:themeColor="text1"/>
                    <w:lang w:val="en-GB"/>
                  </w:rPr>
                  <m:t>II</m:t>
                </m:r>
              </m:sub>
            </m:sSub>
          </m:den>
        </m:f>
        <m:r>
          <w:rPr>
            <w:rFonts w:ascii="Cambria Math" w:eastAsia="Droid Sans" w:hAnsi="Cambria Math"/>
            <w:color w:val="000000" w:themeColor="text1"/>
            <w:lang w:val="en-GB"/>
          </w:rPr>
          <m:t xml:space="preserve">≈4.5 </m:t>
        </m:r>
      </m:oMath>
      <w:r w:rsidRPr="00DF6F70">
        <w:rPr>
          <w:rFonts w:eastAsia="Droid Sans"/>
          <w:color w:val="000000" w:themeColor="text1"/>
          <w:lang w:val="en-GB"/>
        </w:rPr>
        <w:t xml:space="preserve">suggests that </w:t>
      </w:r>
      <m:oMath>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G</m:t>
            </m:r>
          </m:e>
          <m:sub>
            <m:r>
              <w:rPr>
                <w:rFonts w:ascii="Cambria Math" w:eastAsia="Droid Sans" w:hAnsi="Cambria Math"/>
                <w:color w:val="000000" w:themeColor="text1"/>
                <w:lang w:val="en-GB"/>
              </w:rPr>
              <m:t>I</m:t>
            </m:r>
          </m:sub>
        </m:sSub>
        <m:r>
          <w:rPr>
            <w:rFonts w:ascii="Cambria Math" w:eastAsia="Droid Sans" w:hAnsi="Cambria Math"/>
            <w:color w:val="000000" w:themeColor="text1"/>
            <w:lang w:val="en-GB"/>
          </w:rPr>
          <m:t xml:space="preserve">≈20 </m:t>
        </m:r>
        <m:sSub>
          <m:sSubPr>
            <m:ctrlPr>
              <w:rPr>
                <w:rFonts w:ascii="Cambria Math" w:eastAsia="Droid Sans" w:hAnsi="Cambria Math"/>
                <w:i/>
                <w:color w:val="000000" w:themeColor="text1"/>
                <w:lang w:val="en-GB"/>
              </w:rPr>
            </m:ctrlPr>
          </m:sSubPr>
          <m:e>
            <m:r>
              <w:rPr>
                <w:rFonts w:ascii="Cambria Math" w:eastAsia="Droid Sans" w:hAnsi="Cambria Math"/>
                <w:color w:val="000000" w:themeColor="text1"/>
                <w:lang w:val="en-GB"/>
              </w:rPr>
              <m:t>G</m:t>
            </m:r>
          </m:e>
          <m:sub>
            <m:r>
              <w:rPr>
                <w:rFonts w:ascii="Cambria Math" w:eastAsia="Droid Sans" w:hAnsi="Cambria Math"/>
                <w:color w:val="000000" w:themeColor="text1"/>
                <w:lang w:val="en-GB"/>
              </w:rPr>
              <m:t>II</m:t>
            </m:r>
          </m:sub>
        </m:sSub>
      </m:oMath>
      <w:r w:rsidRPr="00DF6F70">
        <w:rPr>
          <w:rFonts w:eastAsia="Droid Sans"/>
          <w:color w:val="000000" w:themeColor="text1"/>
          <w:lang w:val="en-GB"/>
        </w:rPr>
        <w:t xml:space="preserve">. Mode I thus accounts for more than ~95% of the total </w:t>
      </w:r>
      <m:oMath>
        <m:r>
          <w:rPr>
            <w:rFonts w:ascii="Cambria Math" w:eastAsia="Droid Sans" w:hAnsi="Cambria Math"/>
            <w:color w:val="000000" w:themeColor="text1"/>
            <w:lang w:val="en-GB"/>
          </w:rPr>
          <m:t>G</m:t>
        </m:r>
      </m:oMath>
      <w:r w:rsidRPr="00DF6F70">
        <w:rPr>
          <w:rFonts w:eastAsia="Droid Sans"/>
          <w:color w:val="000000" w:themeColor="text1"/>
          <w:lang w:val="en-GB"/>
        </w:rPr>
        <w:t xml:space="preserve">. Considering all other sources of error, it can be concluded that the importance of Mode II for the present chevron-notched cantilever samples can be neglected. Thus, the increase of here measured </w:t>
      </w:r>
      <m:oMath>
        <m:r>
          <w:rPr>
            <w:rFonts w:ascii="Cambria Math" w:eastAsia="Droid Sans" w:hAnsi="Cambria Math"/>
            <w:color w:val="000000" w:themeColor="text1"/>
            <w:lang w:val="en-GB"/>
          </w:rPr>
          <m:t>G</m:t>
        </m:r>
      </m:oMath>
      <w:r w:rsidRPr="00DF6F70">
        <w:rPr>
          <w:rFonts w:eastAsia="Droid Sans"/>
          <w:color w:val="000000" w:themeColor="text1"/>
          <w:lang w:val="en-GB"/>
        </w:rPr>
        <w:t>’s due to the presence of Mode II crack loading is small.</w:t>
      </w:r>
    </w:p>
    <w:p w14:paraId="0833D201" w14:textId="77777777" w:rsidR="000A5197" w:rsidRDefault="000A5197" w:rsidP="000A5197">
      <w:pPr>
        <w:rPr>
          <w:color w:val="000000" w:themeColor="text1"/>
          <w:lang w:val="en-GB"/>
        </w:rPr>
      </w:pPr>
      <w:r>
        <w:rPr>
          <w:color w:val="000000" w:themeColor="text1"/>
          <w:lang w:val="en-GB"/>
        </w:rPr>
        <w:br w:type="page"/>
      </w:r>
    </w:p>
    <w:p w14:paraId="470C2423" w14:textId="77777777" w:rsidR="000A5197" w:rsidRDefault="000A5197" w:rsidP="000A5197">
      <w:pPr>
        <w:rPr>
          <w:lang w:val="en-GB"/>
        </w:rPr>
      </w:pPr>
      <w:r>
        <w:rPr>
          <w:noProof/>
          <w:lang w:val="en-GB" w:eastAsia="en-GB"/>
        </w:rPr>
        <w:drawing>
          <wp:inline distT="0" distB="0" distL="0" distR="0" wp14:anchorId="40AB9D3B" wp14:editId="12BBBD59">
            <wp:extent cx="2548890" cy="63093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_stress.eps"/>
                    <pic:cNvPicPr/>
                  </pic:nvPicPr>
                  <pic:blipFill>
                    <a:blip r:embed="rId14">
                      <a:extLst>
                        <a:ext uri="{28A0092B-C50C-407E-A947-70E740481C1C}">
                          <a14:useLocalDpi xmlns:a14="http://schemas.microsoft.com/office/drawing/2010/main" val="0"/>
                        </a:ext>
                      </a:extLst>
                    </a:blip>
                    <a:stretch>
                      <a:fillRect/>
                    </a:stretch>
                  </pic:blipFill>
                  <pic:spPr>
                    <a:xfrm>
                      <a:off x="0" y="0"/>
                      <a:ext cx="2548890" cy="6309360"/>
                    </a:xfrm>
                    <a:prstGeom prst="rect">
                      <a:avLst/>
                    </a:prstGeom>
                  </pic:spPr>
                </pic:pic>
              </a:graphicData>
            </a:graphic>
          </wp:inline>
        </w:drawing>
      </w:r>
    </w:p>
    <w:p w14:paraId="37D34043" w14:textId="706CFCCE" w:rsidR="000A5197" w:rsidRDefault="000A5197" w:rsidP="00C9392A">
      <w:pPr>
        <w:pStyle w:val="SICHVSUPP"/>
      </w:pPr>
      <w:r>
        <w:t>Figure S</w:t>
      </w:r>
      <w:r w:rsidR="007315BE">
        <w:t>9</w:t>
      </w:r>
      <w:r>
        <w:t xml:space="preserve"> (a) Linear and (b) logarithmic plot of the normal (</w:t>
      </w:r>
      <m:oMath>
        <m:sSub>
          <m:sSubPr>
            <m:ctrlPr>
              <w:rPr>
                <w:rFonts w:ascii="Cambria Math" w:hAnsi="Cambria Math"/>
                <w:i/>
              </w:rPr>
            </m:ctrlPr>
          </m:sSubPr>
          <m:e>
            <m:r>
              <w:rPr>
                <w:rFonts w:ascii="Cambria Math" w:hAnsi="Cambria Math"/>
              </w:rPr>
              <m:t>σ</m:t>
            </m:r>
          </m:e>
          <m:sub>
            <m:r>
              <w:rPr>
                <w:rFonts w:ascii="Cambria Math" w:hAnsi="Cambria Math"/>
              </w:rPr>
              <m:t>33</m:t>
            </m:r>
          </m:sub>
        </m:sSub>
      </m:oMath>
      <w:r>
        <w:t>) and the shear (</w:t>
      </w:r>
      <m:oMath>
        <m:sSub>
          <m:sSubPr>
            <m:ctrlPr>
              <w:rPr>
                <w:rFonts w:ascii="Cambria Math" w:hAnsi="Cambria Math"/>
                <w:i/>
              </w:rPr>
            </m:ctrlPr>
          </m:sSubPr>
          <m:e>
            <m:r>
              <w:rPr>
                <w:rFonts w:ascii="Cambria Math" w:hAnsi="Cambria Math"/>
              </w:rPr>
              <m:t>σ</m:t>
            </m:r>
          </m:e>
          <m:sub>
            <m:r>
              <w:rPr>
                <w:rFonts w:ascii="Cambria Math" w:hAnsi="Cambria Math"/>
              </w:rPr>
              <m:t>32</m:t>
            </m:r>
          </m:sub>
        </m:sSub>
      </m:oMath>
      <w:r>
        <w:t xml:space="preserve">) stress as a function of the distance from the crack, </w:t>
      </w:r>
      <m:oMath>
        <m:r>
          <w:rPr>
            <w:rFonts w:ascii="Cambria Math" w:hAnsi="Cambria Math"/>
          </w:rPr>
          <m:t>y</m:t>
        </m:r>
      </m:oMath>
      <w:r>
        <w:t xml:space="preserve">, along the line of symmetry in the chevron notch plane of the cantilever specimen C1 at several relative crack lengths, </w:t>
      </w:r>
      <m:oMath>
        <m:acc>
          <m:accPr>
            <m:ctrlPr>
              <w:rPr>
                <w:rFonts w:ascii="Cambria Math" w:hAnsi="Cambria Math"/>
                <w:i/>
              </w:rPr>
            </m:ctrlPr>
          </m:accPr>
          <m:e>
            <m:r>
              <w:rPr>
                <w:rFonts w:ascii="Cambria Math" w:hAnsi="Cambria Math"/>
              </w:rPr>
              <m:t>a</m:t>
            </m:r>
          </m:e>
        </m:acc>
        <m:r>
          <w:rPr>
            <w:rFonts w:ascii="Cambria Math" w:hAnsi="Cambria Math"/>
          </w:rPr>
          <m:t>=</m:t>
        </m:r>
        <m:f>
          <m:fPr>
            <m:type m:val="lin"/>
            <m:ctrlPr>
              <w:rPr>
                <w:rFonts w:ascii="Cambria Math" w:hAnsi="Cambria Math"/>
                <w:i/>
              </w:rPr>
            </m:ctrlPr>
          </m:fPr>
          <m:num>
            <m:r>
              <w:rPr>
                <w:rFonts w:ascii="Cambria Math" w:hAnsi="Cambria Math"/>
              </w:rPr>
              <m:t>(a-</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den>
        </m:f>
      </m:oMath>
      <w:r>
        <w:t>. Stress distributions obtained by FEM at </w:t>
      </w:r>
      <m:oMath>
        <m:acc>
          <m:accPr>
            <m:ctrlPr>
              <w:rPr>
                <w:rFonts w:ascii="Cambria Math" w:hAnsi="Cambria Math"/>
                <w:i/>
              </w:rPr>
            </m:ctrlPr>
          </m:accPr>
          <m:e>
            <m:r>
              <w:rPr>
                <w:rFonts w:ascii="Cambria Math" w:hAnsi="Cambria Math"/>
              </w:rPr>
              <m:t>a</m:t>
            </m:r>
          </m:e>
        </m:acc>
      </m:oMath>
      <w:r>
        <w:t xml:space="preserve"> = 0.05, 0.26 0.48 0.69 and 0.90 are shown with filled (</w:t>
      </w:r>
      <m:oMath>
        <m:sSub>
          <m:sSubPr>
            <m:ctrlPr>
              <w:rPr>
                <w:rFonts w:ascii="Cambria Math" w:hAnsi="Cambria Math"/>
                <w:i/>
              </w:rPr>
            </m:ctrlPr>
          </m:sSubPr>
          <m:e>
            <m:r>
              <w:rPr>
                <w:rFonts w:ascii="Cambria Math" w:hAnsi="Cambria Math"/>
              </w:rPr>
              <m:t>σ</m:t>
            </m:r>
          </m:e>
          <m:sub>
            <m:r>
              <w:rPr>
                <w:rFonts w:ascii="Cambria Math" w:hAnsi="Cambria Math"/>
              </w:rPr>
              <m:t>33</m:t>
            </m:r>
          </m:sub>
        </m:sSub>
      </m:oMath>
      <w:r>
        <w:t>) and open (</w:t>
      </w:r>
      <m:oMath>
        <m:sSub>
          <m:sSubPr>
            <m:ctrlPr>
              <w:rPr>
                <w:rFonts w:ascii="Cambria Math" w:hAnsi="Cambria Math"/>
                <w:i/>
              </w:rPr>
            </m:ctrlPr>
          </m:sSubPr>
          <m:e>
            <m:r>
              <w:rPr>
                <w:rFonts w:ascii="Cambria Math" w:hAnsi="Cambria Math"/>
              </w:rPr>
              <m:t>σ</m:t>
            </m:r>
          </m:e>
          <m:sub>
            <m:r>
              <w:rPr>
                <w:rFonts w:ascii="Cambria Math" w:hAnsi="Cambria Math"/>
              </w:rPr>
              <m:t>32</m:t>
            </m:r>
          </m:sub>
        </m:sSub>
      </m:oMath>
      <w:r>
        <w:t>) circles. Fitted near-field crack singularity expressions are indicated with solid (</w:t>
      </w:r>
      <m:oMath>
        <m:sSub>
          <m:sSubPr>
            <m:ctrlPr>
              <w:rPr>
                <w:rFonts w:ascii="Cambria Math" w:hAnsi="Cambria Math"/>
                <w:i/>
              </w:rPr>
            </m:ctrlPr>
          </m:sSubPr>
          <m:e>
            <m:r>
              <w:rPr>
                <w:rFonts w:ascii="Cambria Math" w:hAnsi="Cambria Math"/>
              </w:rPr>
              <m:t>σ</m:t>
            </m:r>
          </m:e>
          <m:sub>
            <m:r>
              <w:rPr>
                <w:rFonts w:ascii="Cambria Math" w:hAnsi="Cambria Math"/>
              </w:rPr>
              <m:t>33</m:t>
            </m:r>
          </m:sub>
        </m:sSub>
      </m:oMath>
      <w:r>
        <w:t>) and dashed (</w:t>
      </w:r>
      <m:oMath>
        <m:sSub>
          <m:sSubPr>
            <m:ctrlPr>
              <w:rPr>
                <w:rFonts w:ascii="Cambria Math" w:hAnsi="Cambria Math"/>
                <w:i/>
              </w:rPr>
            </m:ctrlPr>
          </m:sSubPr>
          <m:e>
            <m:r>
              <w:rPr>
                <w:rFonts w:ascii="Cambria Math" w:hAnsi="Cambria Math"/>
              </w:rPr>
              <m:t>σ</m:t>
            </m:r>
          </m:e>
          <m:sub>
            <m:r>
              <w:rPr>
                <w:rFonts w:ascii="Cambria Math" w:hAnsi="Cambria Math"/>
              </w:rPr>
              <m:t>32</m:t>
            </m:r>
          </m:sub>
        </m:sSub>
      </m:oMath>
      <w:r>
        <w:t xml:space="preserve">) lines. (c) Ratio of the stress intensity factors, </w:t>
      </w:r>
      <m:oMath>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II</m:t>
            </m:r>
          </m:sub>
        </m:sSub>
      </m:oMath>
      <w:r>
        <w:t>, as a function of the relative crack length </w:t>
      </w:r>
      <m:oMath>
        <m:acc>
          <m:accPr>
            <m:ctrlPr>
              <w:rPr>
                <w:rFonts w:ascii="Cambria Math" w:hAnsi="Cambria Math"/>
                <w:i/>
              </w:rPr>
            </m:ctrlPr>
          </m:accPr>
          <m:e>
            <m:r>
              <w:rPr>
                <w:rFonts w:ascii="Cambria Math" w:hAnsi="Cambria Math"/>
              </w:rPr>
              <m:t>a</m:t>
            </m:r>
          </m:e>
        </m:acc>
      </m:oMath>
      <w:r>
        <w:t xml:space="preserve"> for chevron-notched specimens C1 (circle) C2 (square) and C3 (triangle).</w:t>
      </w:r>
    </w:p>
    <w:p w14:paraId="3E55133F" w14:textId="77777777" w:rsidR="000A5197" w:rsidRDefault="000A5197" w:rsidP="000A5197">
      <w:pPr>
        <w:rPr>
          <w:lang w:val="en-GB"/>
        </w:rPr>
      </w:pPr>
    </w:p>
    <w:p w14:paraId="60D0279C" w14:textId="77777777" w:rsidR="000A5197" w:rsidRDefault="000A5197" w:rsidP="000A5197">
      <w:pPr>
        <w:rPr>
          <w:color w:val="000000" w:themeColor="text1"/>
          <w:lang w:val="en-GB"/>
        </w:rPr>
      </w:pPr>
      <w:r>
        <w:rPr>
          <w:color w:val="000000" w:themeColor="text1"/>
          <w:lang w:val="en-GB"/>
        </w:rPr>
        <w:br w:type="page"/>
      </w:r>
    </w:p>
    <w:p w14:paraId="45B34D80" w14:textId="507E9F10" w:rsidR="0025752C" w:rsidRDefault="006541D6" w:rsidP="000A5197">
      <w:pPr>
        <w:rPr>
          <w:color w:val="000000" w:themeColor="text1"/>
          <w:lang w:val="en-GB"/>
        </w:rPr>
      </w:pPr>
      <w:r>
        <w:rPr>
          <w:noProof/>
          <w:color w:val="000000" w:themeColor="text1"/>
          <w:lang w:val="en-GB" w:eastAsia="en-GB"/>
        </w:rPr>
        <w:drawing>
          <wp:inline distT="0" distB="0" distL="0" distR="0" wp14:anchorId="10D148B8" wp14:editId="282FE55B">
            <wp:extent cx="5746750" cy="2815590"/>
            <wp:effectExtent l="0" t="0" r="0" b="3810"/>
            <wp:docPr id="6" name="Picture 6" descr="Figure%20load%20application%20point%2022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20load%20application%20point%20220dpi.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6750" cy="2815590"/>
                    </a:xfrm>
                    <a:prstGeom prst="rect">
                      <a:avLst/>
                    </a:prstGeom>
                    <a:noFill/>
                    <a:ln>
                      <a:noFill/>
                    </a:ln>
                  </pic:spPr>
                </pic:pic>
              </a:graphicData>
            </a:graphic>
          </wp:inline>
        </w:drawing>
      </w:r>
    </w:p>
    <w:p w14:paraId="24A8FBD6" w14:textId="58A2FC81" w:rsidR="006541D6" w:rsidRPr="005A6531" w:rsidRDefault="006541D6" w:rsidP="00C9392A">
      <w:pPr>
        <w:pStyle w:val="SICHVSUPP"/>
        <w:rPr>
          <w:color w:val="FF0000"/>
        </w:rPr>
      </w:pPr>
      <w:r w:rsidRPr="005A6531">
        <w:rPr>
          <w:color w:val="FF0000"/>
        </w:rPr>
        <w:t>Figure S10 Post-test SEM examination of the chevron-notched specimens. The location of the load-application point</w:t>
      </w:r>
      <w:r w:rsidR="000838EC" w:rsidRPr="005A6531">
        <w:rPr>
          <w:color w:val="FF0000"/>
        </w:rPr>
        <w:t>,</w:t>
      </w:r>
      <w:r w:rsidRPr="005A6531">
        <w:rPr>
          <w:color w:val="FF0000"/>
        </w:rPr>
        <w:t xml:space="preserve"> </w:t>
      </w:r>
      <w:r w:rsidR="000838EC" w:rsidRPr="005A6531">
        <w:rPr>
          <w:color w:val="FF0000"/>
        </w:rPr>
        <w:t>identified as a shallow indent, is indicated</w:t>
      </w:r>
      <w:r w:rsidRPr="005A6531">
        <w:rPr>
          <w:color w:val="FF0000"/>
        </w:rPr>
        <w:t xml:space="preserve"> with black arrows in the lower images, which are close-ups of the area marked with a </w:t>
      </w:r>
      <w:r w:rsidR="000838EC" w:rsidRPr="005A6531">
        <w:rPr>
          <w:color w:val="FF0000"/>
        </w:rPr>
        <w:t xml:space="preserve">black, </w:t>
      </w:r>
      <w:r w:rsidRPr="005A6531">
        <w:rPr>
          <w:color w:val="FF0000"/>
        </w:rPr>
        <w:t>dashed</w:t>
      </w:r>
      <w:r w:rsidR="000838EC" w:rsidRPr="005A6531">
        <w:rPr>
          <w:color w:val="FF0000"/>
        </w:rPr>
        <w:t>,</w:t>
      </w:r>
      <w:r w:rsidRPr="005A6531">
        <w:rPr>
          <w:color w:val="FF0000"/>
        </w:rPr>
        <w:t xml:space="preserve"> rectangle in the top images.</w:t>
      </w:r>
    </w:p>
    <w:p w14:paraId="0AB0FBCC" w14:textId="42B881D9" w:rsidR="0025752C" w:rsidRDefault="0025752C">
      <w:pPr>
        <w:rPr>
          <w:color w:val="000000" w:themeColor="text1"/>
          <w:lang w:val="en-GB"/>
        </w:rPr>
      </w:pPr>
      <w:r>
        <w:rPr>
          <w:color w:val="000000" w:themeColor="text1"/>
          <w:lang w:val="en-GB"/>
        </w:rPr>
        <w:br w:type="page"/>
      </w:r>
      <w:bookmarkStart w:id="0" w:name="_GoBack"/>
      <w:bookmarkEnd w:id="0"/>
    </w:p>
    <w:p w14:paraId="3B5A3946" w14:textId="77777777" w:rsidR="0025752C" w:rsidRDefault="0025752C" w:rsidP="000A5197">
      <w:pPr>
        <w:rPr>
          <w:color w:val="000000" w:themeColor="text1"/>
          <w:lang w:val="en-GB"/>
        </w:rPr>
      </w:pPr>
    </w:p>
    <w:p w14:paraId="2C8C6FB4" w14:textId="77777777" w:rsidR="000A5197" w:rsidRDefault="000A5197" w:rsidP="000A5197">
      <w:pPr>
        <w:rPr>
          <w:color w:val="000000" w:themeColor="text1"/>
          <w:u w:val="single"/>
          <w:lang w:val="en-GB"/>
        </w:rPr>
      </w:pPr>
      <w:r w:rsidRPr="000820A4">
        <w:rPr>
          <w:color w:val="000000" w:themeColor="text1"/>
          <w:u w:val="single"/>
          <w:lang w:val="en-GB"/>
        </w:rPr>
        <w:t xml:space="preserve">References in the Supplementary </w:t>
      </w:r>
      <w:r>
        <w:rPr>
          <w:color w:val="000000" w:themeColor="text1"/>
          <w:u w:val="single"/>
          <w:lang w:val="en-GB"/>
        </w:rPr>
        <w:t>Information</w:t>
      </w:r>
    </w:p>
    <w:p w14:paraId="22A612AD" w14:textId="77777777" w:rsidR="000A5197" w:rsidRDefault="000A5197" w:rsidP="000A5197">
      <w:pPr>
        <w:rPr>
          <w:color w:val="000000" w:themeColor="text1"/>
          <w:u w:val="single"/>
          <w:lang w:val="en-GB"/>
        </w:rPr>
      </w:pPr>
    </w:p>
    <w:p w14:paraId="582738DC" w14:textId="77777777" w:rsidR="000A5197" w:rsidRDefault="000A5197" w:rsidP="000A5197">
      <w:pPr>
        <w:pStyle w:val="Bibliography"/>
        <w:rPr>
          <w:color w:val="000000" w:themeColor="text1"/>
          <w:u w:val="single"/>
          <w:lang w:val="en-GB"/>
        </w:rPr>
      </w:pPr>
    </w:p>
    <w:p w14:paraId="73BD2ABB" w14:textId="77777777" w:rsidR="000A5197" w:rsidRPr="000820A4" w:rsidRDefault="000A5197" w:rsidP="000A5197">
      <w:pPr>
        <w:pStyle w:val="Bibliography"/>
        <w:rPr>
          <w:color w:val="000000"/>
        </w:rPr>
      </w:pPr>
      <w:r w:rsidRPr="000820A4">
        <w:rPr>
          <w:color w:val="000000" w:themeColor="text1"/>
          <w:lang w:val="en-GB"/>
        </w:rPr>
        <w:t>S</w:t>
      </w:r>
      <w:r>
        <w:rPr>
          <w:color w:val="000000" w:themeColor="text1"/>
          <w:u w:val="single"/>
          <w:lang w:val="en-GB"/>
        </w:rPr>
        <w:fldChar w:fldCharType="begin"/>
      </w:r>
      <w:r>
        <w:rPr>
          <w:color w:val="000000" w:themeColor="text1"/>
          <w:u w:val="single"/>
          <w:lang w:val="en-GB"/>
        </w:rPr>
        <w:instrText xml:space="preserve"> ADDIN ZOTERO_BIBL {"custom":[]} CSL_BIBLIOGRAPHY </w:instrText>
      </w:r>
      <w:r>
        <w:rPr>
          <w:color w:val="000000" w:themeColor="text1"/>
          <w:u w:val="single"/>
          <w:lang w:val="en-GB"/>
        </w:rPr>
        <w:fldChar w:fldCharType="separate"/>
      </w:r>
      <w:r w:rsidRPr="000820A4">
        <w:rPr>
          <w:color w:val="000000"/>
        </w:rPr>
        <w:t xml:space="preserve">1. </w:t>
      </w:r>
      <w:r w:rsidRPr="000820A4">
        <w:rPr>
          <w:color w:val="000000"/>
        </w:rPr>
        <w:tab/>
        <w:t>DelRio FW, Cook RF, Boyce BL (2015) Fracture strength of micro- and nano-scale silicon components. Appl Phys Rev 2:21303. doi: 10.1063/1.4919540</w:t>
      </w:r>
    </w:p>
    <w:p w14:paraId="3B1D4DD5" w14:textId="77777777" w:rsidR="000A5197" w:rsidRPr="000820A4" w:rsidRDefault="000A5197" w:rsidP="000A5197">
      <w:pPr>
        <w:pStyle w:val="Bibliography"/>
        <w:rPr>
          <w:color w:val="000000"/>
        </w:rPr>
      </w:pPr>
      <w:r>
        <w:rPr>
          <w:color w:val="000000"/>
        </w:rPr>
        <w:t>S</w:t>
      </w:r>
      <w:r w:rsidRPr="000820A4">
        <w:rPr>
          <w:color w:val="000000"/>
        </w:rPr>
        <w:t xml:space="preserve">2. </w:t>
      </w:r>
      <w:r w:rsidRPr="000820A4">
        <w:rPr>
          <w:color w:val="000000"/>
        </w:rPr>
        <w:tab/>
        <w:t>Wang Y, Xie D, Ning X, Shan Z (2015) Thermal treatment-induced ductile-to-brittle transition of submicron-sized Si pillars fabricated by focused ion beam. Appl Phys Lett 106:81905. doi: 10.1063/1.4913241</w:t>
      </w:r>
    </w:p>
    <w:p w14:paraId="6E3FAEA1" w14:textId="77777777" w:rsidR="000A5197" w:rsidRPr="000820A4" w:rsidRDefault="000A5197" w:rsidP="000A5197">
      <w:pPr>
        <w:pStyle w:val="Bibliography"/>
        <w:rPr>
          <w:color w:val="000000"/>
        </w:rPr>
      </w:pPr>
      <w:r>
        <w:rPr>
          <w:color w:val="000000"/>
        </w:rPr>
        <w:t>S</w:t>
      </w:r>
      <w:r w:rsidRPr="000820A4">
        <w:rPr>
          <w:color w:val="000000"/>
        </w:rPr>
        <w:t xml:space="preserve">3. </w:t>
      </w:r>
      <w:r w:rsidRPr="000820A4">
        <w:rPr>
          <w:color w:val="000000"/>
        </w:rPr>
        <w:tab/>
        <w:t>Anderson TL (2005) Fracture mechanics: fundamentals and applications. Taylor &amp; Francis, Boca Raton, FL</w:t>
      </w:r>
    </w:p>
    <w:p w14:paraId="1C1B56EB" w14:textId="77777777" w:rsidR="000A5197" w:rsidRPr="000820A4" w:rsidRDefault="000A5197" w:rsidP="000A5197">
      <w:pPr>
        <w:rPr>
          <w:color w:val="000000" w:themeColor="text1"/>
          <w:u w:val="single"/>
          <w:lang w:val="en-GB"/>
        </w:rPr>
      </w:pPr>
      <w:r>
        <w:rPr>
          <w:color w:val="000000" w:themeColor="text1"/>
          <w:u w:val="single"/>
          <w:lang w:val="en-GB"/>
        </w:rPr>
        <w:fldChar w:fldCharType="end"/>
      </w:r>
    </w:p>
    <w:p w14:paraId="5FE235BC" w14:textId="77777777" w:rsidR="000A5197" w:rsidRDefault="000A5197" w:rsidP="000A5197"/>
    <w:p w14:paraId="04344844" w14:textId="77777777" w:rsidR="000A5197" w:rsidRDefault="000A5197"/>
    <w:sectPr w:rsidR="000A5197" w:rsidSect="003A2F4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F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MS Mincho">
    <w:altName w:val="ＭＳ 明朝"/>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Droid Sans">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5197"/>
    <w:rsid w:val="0005176F"/>
    <w:rsid w:val="000838EC"/>
    <w:rsid w:val="000A5197"/>
    <w:rsid w:val="00143AA9"/>
    <w:rsid w:val="0021583B"/>
    <w:rsid w:val="0025752C"/>
    <w:rsid w:val="003A2F42"/>
    <w:rsid w:val="004C3B4C"/>
    <w:rsid w:val="005A6531"/>
    <w:rsid w:val="005E4C00"/>
    <w:rsid w:val="006541D6"/>
    <w:rsid w:val="006A7768"/>
    <w:rsid w:val="0070671F"/>
    <w:rsid w:val="007315BE"/>
    <w:rsid w:val="00881FAA"/>
    <w:rsid w:val="00974075"/>
    <w:rsid w:val="00976C7E"/>
    <w:rsid w:val="009A1CFD"/>
    <w:rsid w:val="009E3164"/>
    <w:rsid w:val="00C77A65"/>
    <w:rsid w:val="00C9392A"/>
    <w:rsid w:val="00DC5457"/>
    <w:rsid w:val="00E57EFE"/>
    <w:rsid w:val="00FF72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33B2F67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
    <w:name w:val="Head 1"/>
    <w:basedOn w:val="Normal"/>
    <w:autoRedefine/>
    <w:rsid w:val="000A5197"/>
    <w:pPr>
      <w:spacing w:line="360" w:lineRule="auto"/>
    </w:pPr>
    <w:rPr>
      <w:rFonts w:asciiTheme="majorHAnsi" w:eastAsia="MS Mincho" w:hAnsiTheme="majorHAnsi" w:cs="Times New Roman"/>
      <w:b/>
      <w:sz w:val="28"/>
      <w:lang w:val="en-GB" w:eastAsia="ja-JP"/>
    </w:rPr>
  </w:style>
  <w:style w:type="paragraph" w:styleId="Bibliography">
    <w:name w:val="Bibliography"/>
    <w:basedOn w:val="Normal"/>
    <w:next w:val="Normal"/>
    <w:uiPriority w:val="37"/>
    <w:semiHidden/>
    <w:unhideWhenUsed/>
    <w:rsid w:val="000A5197"/>
  </w:style>
  <w:style w:type="paragraph" w:styleId="DocumentMap">
    <w:name w:val="Document Map"/>
    <w:basedOn w:val="Normal"/>
    <w:link w:val="DocumentMapChar"/>
    <w:uiPriority w:val="99"/>
    <w:semiHidden/>
    <w:unhideWhenUsed/>
    <w:rsid w:val="00E57EFE"/>
    <w:rPr>
      <w:rFonts w:ascii="Times New Roman" w:hAnsi="Times New Roman" w:cs="Times New Roman"/>
    </w:rPr>
  </w:style>
  <w:style w:type="character" w:customStyle="1" w:styleId="DocumentMapChar">
    <w:name w:val="Document Map Char"/>
    <w:basedOn w:val="DefaultParagraphFont"/>
    <w:link w:val="DocumentMap"/>
    <w:uiPriority w:val="99"/>
    <w:semiHidden/>
    <w:rsid w:val="00E57EFE"/>
    <w:rPr>
      <w:rFonts w:ascii="Times New Roman" w:hAnsi="Times New Roman" w:cs="Times New Roman"/>
    </w:rPr>
  </w:style>
  <w:style w:type="paragraph" w:customStyle="1" w:styleId="SICHVSUPP">
    <w:name w:val="SICHVSUPP"/>
    <w:basedOn w:val="Normal"/>
    <w:qFormat/>
    <w:rsid w:val="00C9392A"/>
    <w:pPr>
      <w:outlineLvl w:val="0"/>
    </w:pPr>
    <w:rPr>
      <w:color w:val="000000" w:themeColor="text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emf"/><Relationship Id="rId12" Type="http://schemas.openxmlformats.org/officeDocument/2006/relationships/image" Target="media/image8.emf"/><Relationship Id="rId13" Type="http://schemas.openxmlformats.org/officeDocument/2006/relationships/image" Target="media/image9.png"/><Relationship Id="rId14" Type="http://schemas.openxmlformats.org/officeDocument/2006/relationships/image" Target="media/image10.emf"/><Relationship Id="rId15" Type="http://schemas.openxmlformats.org/officeDocument/2006/relationships/image" Target="media/image11.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emf"/><Relationship Id="rId10" Type="http://schemas.openxmlformats.org/officeDocument/2006/relationships/image" Target="media/image6.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08965-6965-0049-BC04-290A0676C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15</Pages>
  <Words>2749</Words>
  <Characters>15671</Characters>
  <Application>Microsoft Macintosh Word</Application>
  <DocSecurity>0</DocSecurity>
  <Lines>130</Lines>
  <Paragraphs>36</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Supplementary Information</vt:lpstr>
      <vt:lpstr>Figure S1 Sample C1 during the “small chevron notch pre-fatigue” preparation ste</vt:lpstr>
      <vt:lpstr>Figure S2 (a) SEM image of Sample C2 from a tilted point of view. Close-up views</vt:lpstr>
      <vt:lpstr>Figure S3 Fractured surfaces, all along (111) planes, of the four tested single </vt:lpstr>
      <vt:lpstr>Figure S4 Fractured surfaces, (111) planes, of all tested single crystal silicon</vt:lpstr>
      <vt:lpstr>Figure S5 CN Sample C2 before (a) and after (b) cyclic elastic deformation. Cycl</vt:lpstr>
      <vt:lpstr>Figure S6 Calculated compliance calibration curves of the three chevron—notched </vt:lpstr>
      <vt:lpstr>Figure S7 SEM images (b) and (c) are close-ups of the chevron-notch of the speci</vt:lpstr>
      <vt:lpstr>Analysis of the stress in the ligament during the preparation “pre-fatigue” step</vt:lpstr>
      <vt:lpstr>Figure S8 Von Mises stress distribution in the chevron ligament of Sample C1 at </vt:lpstr>
      <vt:lpstr>On the influence of Mode II in the interpretation of CN and STN tests </vt:lpstr>
      <vt:lpstr>Figure S9 (a) Linear and (b) logarithmic plot of the normal (,𝜎-33.) and the sh</vt:lpstr>
      <vt:lpstr>Figure S10 Post-test SEM examination of the chevron-notched specimens. The locat</vt:lpstr>
    </vt:vector>
  </TitlesOfParts>
  <LinksUpToDate>false</LinksUpToDate>
  <CharactersWithSpaces>18384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7</cp:revision>
  <dcterms:created xsi:type="dcterms:W3CDTF">2017-04-24T10:32:00Z</dcterms:created>
  <dcterms:modified xsi:type="dcterms:W3CDTF">2017-05-01T09:36:00Z</dcterms:modified>
</cp:coreProperties>
</file>