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71972" w14:textId="336535D6" w:rsidR="005A0754" w:rsidRPr="00042CE0" w:rsidRDefault="00B24723" w:rsidP="00F311A1">
      <w:pPr>
        <w:pStyle w:val="a3"/>
        <w:spacing w:before="0" w:afterLines="0" w:after="0"/>
        <w:rPr>
          <w:sz w:val="28"/>
          <w:szCs w:val="28"/>
        </w:rPr>
      </w:pPr>
      <w:r w:rsidRPr="00042CE0">
        <w:rPr>
          <w:rFonts w:hint="eastAsia"/>
          <w:sz w:val="28"/>
          <w:szCs w:val="28"/>
        </w:rPr>
        <w:t>O</w:t>
      </w:r>
      <w:r w:rsidR="003A05C9" w:rsidRPr="00042CE0">
        <w:rPr>
          <w:sz w:val="28"/>
          <w:szCs w:val="28"/>
        </w:rPr>
        <w:t>xygen reduction on b</w:t>
      </w:r>
      <w:r w:rsidR="005A0754" w:rsidRPr="00042CE0">
        <w:rPr>
          <w:sz w:val="28"/>
          <w:szCs w:val="28"/>
        </w:rPr>
        <w:t xml:space="preserve">imodal </w:t>
      </w:r>
      <w:proofErr w:type="spellStart"/>
      <w:r w:rsidR="005A0754" w:rsidRPr="00042CE0">
        <w:rPr>
          <w:sz w:val="28"/>
          <w:szCs w:val="28"/>
        </w:rPr>
        <w:t>nanoporous</w:t>
      </w:r>
      <w:proofErr w:type="spellEnd"/>
      <w:r w:rsidR="005A0754" w:rsidRPr="00042CE0">
        <w:rPr>
          <w:sz w:val="28"/>
          <w:szCs w:val="28"/>
        </w:rPr>
        <w:t xml:space="preserve"> </w:t>
      </w:r>
      <w:r w:rsidR="00151E7F" w:rsidRPr="00042CE0">
        <w:rPr>
          <w:sz w:val="28"/>
          <w:szCs w:val="28"/>
        </w:rPr>
        <w:t>palladium</w:t>
      </w:r>
      <w:r w:rsidR="00A33AB5" w:rsidRPr="00A33AB5">
        <w:rPr>
          <w:sz w:val="28"/>
          <w:szCs w:val="28"/>
          <w:highlight w:val="yellow"/>
        </w:rPr>
        <w:t>-copper</w:t>
      </w:r>
      <w:r w:rsidRPr="00042CE0">
        <w:rPr>
          <w:sz w:val="28"/>
          <w:szCs w:val="28"/>
        </w:rPr>
        <w:t xml:space="preserve"> catalyst</w:t>
      </w:r>
      <w:r w:rsidR="005A0754" w:rsidRPr="00042CE0">
        <w:rPr>
          <w:sz w:val="28"/>
          <w:szCs w:val="28"/>
        </w:rPr>
        <w:t xml:space="preserve"> </w:t>
      </w:r>
      <w:r w:rsidR="003A05C9" w:rsidRPr="00042CE0">
        <w:rPr>
          <w:sz w:val="28"/>
          <w:szCs w:val="28"/>
        </w:rPr>
        <w:t xml:space="preserve">synthesized using sacrificial </w:t>
      </w:r>
      <w:proofErr w:type="spellStart"/>
      <w:r w:rsidR="003A05C9" w:rsidRPr="00042CE0">
        <w:rPr>
          <w:sz w:val="28"/>
          <w:szCs w:val="28"/>
        </w:rPr>
        <w:t>nanoporous</w:t>
      </w:r>
      <w:proofErr w:type="spellEnd"/>
      <w:r w:rsidR="003A05C9" w:rsidRPr="00042CE0">
        <w:rPr>
          <w:sz w:val="28"/>
          <w:szCs w:val="28"/>
        </w:rPr>
        <w:t xml:space="preserve"> copper</w:t>
      </w:r>
    </w:p>
    <w:p w14:paraId="60580BAB" w14:textId="70D24D71" w:rsidR="003A0ED9" w:rsidRPr="00042CE0" w:rsidRDefault="00151E7F" w:rsidP="00F311A1">
      <w:pPr>
        <w:spacing w:after="240"/>
        <w:jc w:val="center"/>
      </w:pPr>
      <w:r w:rsidRPr="00042CE0">
        <w:t xml:space="preserve">Naoki Miyazawa, </w:t>
      </w:r>
      <w:r w:rsidR="003A0ED9" w:rsidRPr="00042CE0">
        <w:t xml:space="preserve">Masataka Hakamada*, </w:t>
      </w:r>
      <w:proofErr w:type="spellStart"/>
      <w:r w:rsidR="003A0ED9" w:rsidRPr="00042CE0">
        <w:t>Yuto</w:t>
      </w:r>
      <w:proofErr w:type="spellEnd"/>
      <w:r w:rsidR="003A0ED9" w:rsidRPr="00042CE0">
        <w:t xml:space="preserve"> Sato and Mamoru Mabuchi</w:t>
      </w:r>
    </w:p>
    <w:p w14:paraId="2CC4967C" w14:textId="791BA6D2" w:rsidR="003A0ED9" w:rsidRPr="00042CE0" w:rsidRDefault="003A0ED9" w:rsidP="00F311A1">
      <w:pPr>
        <w:spacing w:after="240"/>
        <w:jc w:val="center"/>
        <w:rPr>
          <w:i/>
        </w:rPr>
      </w:pPr>
      <w:r w:rsidRPr="00042CE0">
        <w:rPr>
          <w:i/>
        </w:rPr>
        <w:t>Department of Energy Science and Technology, Graduate School of Energy Science, Kyoto University,</w:t>
      </w:r>
      <w:r w:rsidRPr="00042CE0">
        <w:rPr>
          <w:i/>
        </w:rPr>
        <w:br/>
      </w:r>
      <w:proofErr w:type="spellStart"/>
      <w:r w:rsidRPr="00042CE0">
        <w:rPr>
          <w:i/>
        </w:rPr>
        <w:t>Yoshidahonmachi</w:t>
      </w:r>
      <w:proofErr w:type="spellEnd"/>
      <w:r w:rsidRPr="00042CE0">
        <w:rPr>
          <w:i/>
        </w:rPr>
        <w:t>, Sakyo, 606-8501 Kyoto, Japan</w:t>
      </w:r>
    </w:p>
    <w:p w14:paraId="34DBB050" w14:textId="37EF8044" w:rsidR="00F311A1" w:rsidRPr="00042CE0" w:rsidRDefault="00F311A1" w:rsidP="00F311A1">
      <w:pPr>
        <w:spacing w:after="240"/>
      </w:pPr>
      <w:r w:rsidRPr="00042CE0">
        <w:rPr>
          <w:rFonts w:hint="eastAsia"/>
        </w:rPr>
        <w:t xml:space="preserve">* </w:t>
      </w:r>
      <w:r w:rsidRPr="00042CE0">
        <w:t xml:space="preserve">Corresponding author. E-mail: </w:t>
      </w:r>
      <w:hyperlink r:id="rId7" w:history="1">
        <w:r w:rsidRPr="00042CE0">
          <w:rPr>
            <w:rStyle w:val="af3"/>
            <w:color w:val="auto"/>
            <w:u w:val="none"/>
          </w:rPr>
          <w:t>hakamada.masataka.3x@kyoto-u.ac.jp</w:t>
        </w:r>
      </w:hyperlink>
      <w:r w:rsidRPr="00042CE0">
        <w:t xml:space="preserve"> (M. Hakamada).</w:t>
      </w:r>
    </w:p>
    <w:p w14:paraId="0CCDD417" w14:textId="77777777" w:rsidR="003A0ED9" w:rsidRPr="00042CE0" w:rsidRDefault="003A0ED9" w:rsidP="00F311A1">
      <w:pPr>
        <w:pStyle w:val="1"/>
        <w:spacing w:after="240"/>
      </w:pPr>
      <w:r w:rsidRPr="00042CE0">
        <w:t>Abstract</w:t>
      </w:r>
    </w:p>
    <w:p w14:paraId="4F4E1CF1" w14:textId="0558CAB8" w:rsidR="003A0ED9" w:rsidRPr="00042CE0" w:rsidRDefault="00DD5E0D" w:rsidP="00F311A1">
      <w:pPr>
        <w:spacing w:after="240"/>
        <w:rPr>
          <w:highlight w:val="yellow"/>
        </w:rPr>
      </w:pPr>
      <w:proofErr w:type="spellStart"/>
      <w:r w:rsidRPr="00042CE0">
        <w:t>Nanoporous</w:t>
      </w:r>
      <w:proofErr w:type="spellEnd"/>
      <w:r w:rsidRPr="00042CE0">
        <w:t xml:space="preserve"> copper (NP-Cu), as a sacrificial support, </w:t>
      </w:r>
      <w:r w:rsidR="00DA79CA">
        <w:t>was</w:t>
      </w:r>
      <w:r w:rsidR="00DA79CA" w:rsidRPr="00042CE0">
        <w:t xml:space="preserve"> </w:t>
      </w:r>
      <w:r w:rsidRPr="00042CE0">
        <w:t xml:space="preserve">used for </w:t>
      </w:r>
      <w:r w:rsidR="00EC6477">
        <w:t xml:space="preserve">the </w:t>
      </w:r>
      <w:r w:rsidRPr="00042CE0">
        <w:t>synthesis of b</w:t>
      </w:r>
      <w:r w:rsidR="00C17D82" w:rsidRPr="00042CE0">
        <w:t xml:space="preserve">imodal </w:t>
      </w:r>
      <w:proofErr w:type="spellStart"/>
      <w:r w:rsidR="00C17D82" w:rsidRPr="00042CE0">
        <w:t>nanoporous</w:t>
      </w:r>
      <w:proofErr w:type="spellEnd"/>
      <w:r w:rsidR="00C17D82" w:rsidRPr="00042CE0">
        <w:t xml:space="preserve"> p</w:t>
      </w:r>
      <w:r w:rsidRPr="00042CE0">
        <w:t>al</w:t>
      </w:r>
      <w:r w:rsidR="00C17D82" w:rsidRPr="00042CE0">
        <w:t>la</w:t>
      </w:r>
      <w:r w:rsidRPr="00042CE0">
        <w:t>d</w:t>
      </w:r>
      <w:r w:rsidR="00C17D82" w:rsidRPr="00042CE0">
        <w:t>ium</w:t>
      </w:r>
      <w:r w:rsidR="00A33AB5" w:rsidRPr="00A33AB5">
        <w:rPr>
          <w:highlight w:val="yellow"/>
        </w:rPr>
        <w:t>-copper</w:t>
      </w:r>
      <w:r w:rsidR="00C17D82" w:rsidRPr="00042CE0">
        <w:t xml:space="preserve"> (BNP-</w:t>
      </w:r>
      <w:proofErr w:type="spellStart"/>
      <w:r w:rsidR="00C17D82" w:rsidRPr="00042CE0">
        <w:t>P</w:t>
      </w:r>
      <w:r w:rsidRPr="00042CE0">
        <w:t>d</w:t>
      </w:r>
      <w:r w:rsidR="00A33AB5" w:rsidRPr="00A33AB5">
        <w:rPr>
          <w:highlight w:val="yellow"/>
        </w:rPr>
        <w:t>Cu</w:t>
      </w:r>
      <w:proofErr w:type="spellEnd"/>
      <w:r w:rsidR="00C17D82" w:rsidRPr="00042CE0">
        <w:t xml:space="preserve">) </w:t>
      </w:r>
      <w:r w:rsidRPr="00042CE0">
        <w:t>for oxygen reduction reaction (ORR) electrodes in fuel cells</w:t>
      </w:r>
      <w:r w:rsidR="00C17D82" w:rsidRPr="00042CE0">
        <w:t>.</w:t>
      </w:r>
      <w:r w:rsidR="005F186C" w:rsidRPr="00042CE0">
        <w:t xml:space="preserve"> </w:t>
      </w:r>
      <w:r w:rsidR="00C17D82" w:rsidRPr="00042CE0">
        <w:t xml:space="preserve">The catalytic </w:t>
      </w:r>
      <w:r w:rsidRPr="00042CE0">
        <w:t xml:space="preserve">performance </w:t>
      </w:r>
      <w:r w:rsidR="00C17D82" w:rsidRPr="00042CE0">
        <w:t>of BNP-</w:t>
      </w:r>
      <w:proofErr w:type="spellStart"/>
      <w:r w:rsidR="00C17D82" w:rsidRPr="00042CE0">
        <w:t>P</w:t>
      </w:r>
      <w:r w:rsidRPr="00042CE0">
        <w:t>d</w:t>
      </w:r>
      <w:r w:rsidR="00A33AB5" w:rsidRPr="00A33AB5">
        <w:rPr>
          <w:highlight w:val="yellow"/>
        </w:rPr>
        <w:t>Cu</w:t>
      </w:r>
      <w:proofErr w:type="spellEnd"/>
      <w:r w:rsidR="00C17D82" w:rsidRPr="00042CE0">
        <w:t xml:space="preserve"> </w:t>
      </w:r>
      <w:r w:rsidRPr="00042CE0">
        <w:t xml:space="preserve">in ORR </w:t>
      </w:r>
      <w:r w:rsidR="00C17D82" w:rsidRPr="00042CE0">
        <w:t xml:space="preserve">per electrochemical surface area </w:t>
      </w:r>
      <w:r w:rsidR="00DA79CA">
        <w:t>was</w:t>
      </w:r>
      <w:r w:rsidR="00DA79CA" w:rsidRPr="00042CE0">
        <w:t xml:space="preserve"> </w:t>
      </w:r>
      <w:r w:rsidRPr="00042CE0">
        <w:t xml:space="preserve">enhanced </w:t>
      </w:r>
      <w:r w:rsidR="00C17D82" w:rsidRPr="00042CE0">
        <w:t xml:space="preserve">by the dissolution and removal of supporting NP-Cu, </w:t>
      </w:r>
      <w:r w:rsidR="00EC6477">
        <w:t xml:space="preserve">which </w:t>
      </w:r>
      <w:r w:rsidR="00EC6477" w:rsidRPr="00042CE0">
        <w:t>indicat</w:t>
      </w:r>
      <w:r w:rsidR="00EC6477">
        <w:t>es</w:t>
      </w:r>
      <w:r w:rsidR="00EC6477" w:rsidRPr="00042CE0">
        <w:t xml:space="preserve"> </w:t>
      </w:r>
      <w:r w:rsidR="00C17D82" w:rsidRPr="00042CE0">
        <w:t xml:space="preserve">that the intrinsic catalytic properties of </w:t>
      </w:r>
      <w:r w:rsidRPr="00042CE0">
        <w:t xml:space="preserve">palladium </w:t>
      </w:r>
      <w:r w:rsidR="00C17D82" w:rsidRPr="00042CE0">
        <w:t>are improved</w:t>
      </w:r>
      <w:r w:rsidRPr="00042CE0">
        <w:t xml:space="preserve"> by the </w:t>
      </w:r>
      <w:r w:rsidR="00A41D7D" w:rsidRPr="00042CE0">
        <w:t>proposed</w:t>
      </w:r>
      <w:r w:rsidR="00DA485A" w:rsidRPr="00042CE0">
        <w:t xml:space="preserve"> synthesis strategy including galvanic replacement of copper with palladium</w:t>
      </w:r>
      <w:r w:rsidR="00430E8A">
        <w:t>,</w:t>
      </w:r>
      <w:r w:rsidR="00DA485A" w:rsidRPr="00042CE0">
        <w:t xml:space="preserve"> following copper dissolution</w:t>
      </w:r>
      <w:r w:rsidRPr="00042CE0">
        <w:t>.</w:t>
      </w:r>
      <w:r w:rsidR="00546640" w:rsidRPr="00042CE0">
        <w:t xml:space="preserve"> </w:t>
      </w:r>
      <w:r w:rsidR="00550566" w:rsidRPr="00042CE0">
        <w:t xml:space="preserve">Cu </w:t>
      </w:r>
      <w:r w:rsidR="00DA79CA" w:rsidRPr="00042CE0">
        <w:t>remain</w:t>
      </w:r>
      <w:r w:rsidR="00DA79CA">
        <w:t>ed</w:t>
      </w:r>
      <w:r w:rsidR="00DA79CA" w:rsidRPr="00042CE0">
        <w:t xml:space="preserve"> </w:t>
      </w:r>
      <w:r w:rsidR="00241DB6" w:rsidRPr="00042CE0">
        <w:t xml:space="preserve">on </w:t>
      </w:r>
      <w:proofErr w:type="spellStart"/>
      <w:r w:rsidR="00241DB6" w:rsidRPr="00042CE0">
        <w:t>Pd</w:t>
      </w:r>
      <w:proofErr w:type="spellEnd"/>
      <w:r w:rsidR="00241DB6" w:rsidRPr="00042CE0">
        <w:t xml:space="preserve"> surfaces </w:t>
      </w:r>
      <w:r w:rsidR="00550566" w:rsidRPr="00042CE0">
        <w:t xml:space="preserve">even after dissolution </w:t>
      </w:r>
      <w:r w:rsidR="00241DB6" w:rsidRPr="00042CE0">
        <w:t xml:space="preserve">of Cu. </w:t>
      </w:r>
      <w:r w:rsidR="0065797A">
        <w:t>Additionally</w:t>
      </w:r>
      <w:r w:rsidR="00241DB6" w:rsidRPr="00042CE0">
        <w:t xml:space="preserve">, </w:t>
      </w:r>
      <w:r w:rsidR="00DA79CA">
        <w:t>s</w:t>
      </w:r>
      <w:r w:rsidR="00546640" w:rsidRPr="00042CE0">
        <w:t xml:space="preserve">ignificant local lattice </w:t>
      </w:r>
      <w:r w:rsidR="00A41D7D" w:rsidRPr="00042CE0">
        <w:t>contraction</w:t>
      </w:r>
      <w:r w:rsidR="00D85F23" w:rsidRPr="00042CE0">
        <w:t xml:space="preserve"> </w:t>
      </w:r>
      <w:r w:rsidR="00EA2E7E" w:rsidRPr="00EA2E7E">
        <w:rPr>
          <w:highlight w:val="yellow"/>
        </w:rPr>
        <w:t>was observed</w:t>
      </w:r>
      <w:r w:rsidR="00EA2E7E">
        <w:t xml:space="preserve"> </w:t>
      </w:r>
      <w:r w:rsidR="00D85F23" w:rsidRPr="00042CE0">
        <w:t xml:space="preserve">at </w:t>
      </w:r>
      <w:r w:rsidR="00EC6477">
        <w:t xml:space="preserve">the </w:t>
      </w:r>
      <w:r w:rsidR="00D85F23" w:rsidRPr="00042CE0">
        <w:t>ligament surface</w:t>
      </w:r>
      <w:r w:rsidR="00546640" w:rsidRPr="00042CE0">
        <w:t>. First-principles calculation</w:t>
      </w:r>
      <w:r w:rsidR="00272B4E">
        <w:t>s</w:t>
      </w:r>
      <w:r w:rsidR="00546640" w:rsidRPr="00042CE0">
        <w:t xml:space="preserve"> on the adsorbing </w:t>
      </w:r>
      <w:r w:rsidR="00D85F23" w:rsidRPr="00042CE0">
        <w:t xml:space="preserve">oxygen </w:t>
      </w:r>
      <w:r w:rsidR="005F6946" w:rsidRPr="00042CE0">
        <w:t xml:space="preserve">species on </w:t>
      </w:r>
      <w:proofErr w:type="spellStart"/>
      <w:r w:rsidR="005F6946" w:rsidRPr="00042CE0">
        <w:t>Pd</w:t>
      </w:r>
      <w:proofErr w:type="spellEnd"/>
      <w:r w:rsidR="00546640" w:rsidRPr="00042CE0">
        <w:t xml:space="preserve"> </w:t>
      </w:r>
      <w:r w:rsidR="00241DB6" w:rsidRPr="00042CE0">
        <w:t>show</w:t>
      </w:r>
      <w:r w:rsidR="00546640" w:rsidRPr="00042CE0">
        <w:t xml:space="preserve"> that </w:t>
      </w:r>
      <w:r w:rsidR="00A41D7D" w:rsidRPr="00042CE0">
        <w:t xml:space="preserve">both lattice contraction and alloying with copper </w:t>
      </w:r>
      <w:r w:rsidR="00241DB6" w:rsidRPr="00042CE0">
        <w:t xml:space="preserve">increase </w:t>
      </w:r>
      <w:r w:rsidR="00241DB6" w:rsidRPr="00042CE0">
        <w:rPr>
          <w:szCs w:val="24"/>
        </w:rPr>
        <w:t xml:space="preserve">the </w:t>
      </w:r>
      <w:r w:rsidR="00BA0F25" w:rsidRPr="00042CE0">
        <w:rPr>
          <w:szCs w:val="24"/>
        </w:rPr>
        <w:t>binding</w:t>
      </w:r>
      <w:r w:rsidR="00241DB6" w:rsidRPr="00042CE0">
        <w:rPr>
          <w:szCs w:val="24"/>
        </w:rPr>
        <w:t xml:space="preserve"> energ</w:t>
      </w:r>
      <w:r w:rsidR="00BA0F25" w:rsidRPr="00042CE0">
        <w:rPr>
          <w:szCs w:val="24"/>
        </w:rPr>
        <w:t>ies</w:t>
      </w:r>
      <w:r w:rsidR="00241DB6" w:rsidRPr="00042CE0">
        <w:rPr>
          <w:szCs w:val="24"/>
        </w:rPr>
        <w:t xml:space="preserve"> </w:t>
      </w:r>
      <w:r w:rsidR="00463A97" w:rsidRPr="00042CE0">
        <w:rPr>
          <w:szCs w:val="24"/>
        </w:rPr>
        <w:t xml:space="preserve">of oxygen species </w:t>
      </w:r>
      <w:r w:rsidR="00C10616" w:rsidRPr="00042CE0">
        <w:rPr>
          <w:szCs w:val="24"/>
        </w:rPr>
        <w:t>to</w:t>
      </w:r>
      <w:r w:rsidR="00241DB6" w:rsidRPr="00042CE0">
        <w:rPr>
          <w:szCs w:val="24"/>
        </w:rPr>
        <w:t xml:space="preserve"> </w:t>
      </w:r>
      <w:r w:rsidR="00EC6477">
        <w:rPr>
          <w:szCs w:val="24"/>
        </w:rPr>
        <w:t xml:space="preserve">the </w:t>
      </w:r>
      <w:proofErr w:type="spellStart"/>
      <w:r w:rsidR="00241DB6" w:rsidRPr="00042CE0">
        <w:rPr>
          <w:szCs w:val="24"/>
        </w:rPr>
        <w:t>Pd</w:t>
      </w:r>
      <w:proofErr w:type="spellEnd"/>
      <w:r w:rsidR="00241DB6" w:rsidRPr="00042CE0">
        <w:rPr>
          <w:szCs w:val="24"/>
        </w:rPr>
        <w:t xml:space="preserve"> surface</w:t>
      </w:r>
      <w:r w:rsidR="00D85F23" w:rsidRPr="00042CE0">
        <w:t>.</w:t>
      </w:r>
      <w:r w:rsidR="00241DB6" w:rsidRPr="00042CE0">
        <w:t xml:space="preserve"> T</w:t>
      </w:r>
      <w:r w:rsidR="00241DB6" w:rsidRPr="00042CE0">
        <w:rPr>
          <w:szCs w:val="24"/>
        </w:rPr>
        <w:t xml:space="preserve">he high ORR activity of </w:t>
      </w:r>
      <w:r w:rsidR="00EA2E7E">
        <w:rPr>
          <w:szCs w:val="24"/>
        </w:rPr>
        <w:t xml:space="preserve">the present </w:t>
      </w:r>
      <w:r w:rsidR="00241DB6" w:rsidRPr="00042CE0">
        <w:rPr>
          <w:szCs w:val="24"/>
        </w:rPr>
        <w:t>BNP-</w:t>
      </w:r>
      <w:proofErr w:type="spellStart"/>
      <w:r w:rsidR="00241DB6" w:rsidRPr="00042CE0">
        <w:rPr>
          <w:szCs w:val="24"/>
        </w:rPr>
        <w:t>Pd</w:t>
      </w:r>
      <w:r w:rsidR="00A33AB5" w:rsidRPr="00A33AB5">
        <w:rPr>
          <w:szCs w:val="24"/>
          <w:highlight w:val="yellow"/>
        </w:rPr>
        <w:t>Cu</w:t>
      </w:r>
      <w:proofErr w:type="spellEnd"/>
      <w:r w:rsidR="00241DB6" w:rsidRPr="00042CE0">
        <w:rPr>
          <w:szCs w:val="24"/>
        </w:rPr>
        <w:t xml:space="preserve"> </w:t>
      </w:r>
      <w:r w:rsidR="005F6946" w:rsidRPr="00042CE0">
        <w:rPr>
          <w:rFonts w:hint="eastAsia"/>
          <w:szCs w:val="24"/>
        </w:rPr>
        <w:t>is</w:t>
      </w:r>
      <w:r w:rsidR="00241DB6" w:rsidRPr="00042CE0">
        <w:rPr>
          <w:szCs w:val="24"/>
        </w:rPr>
        <w:t xml:space="preserve"> suggested to be </w:t>
      </w:r>
      <w:r w:rsidR="00241DB6" w:rsidRPr="00EA2E7E">
        <w:rPr>
          <w:szCs w:val="24"/>
          <w:highlight w:val="yellow"/>
        </w:rPr>
        <w:t>mainly</w:t>
      </w:r>
      <w:r w:rsidR="00241DB6" w:rsidRPr="00042CE0">
        <w:rPr>
          <w:szCs w:val="24"/>
        </w:rPr>
        <w:t xml:space="preserve"> due to the Cu-ligand effect.</w:t>
      </w:r>
    </w:p>
    <w:p w14:paraId="698BE751" w14:textId="1ABFAFAC" w:rsidR="00B35BB1" w:rsidRPr="00042CE0" w:rsidRDefault="00B25ABF" w:rsidP="00C411B5">
      <w:pPr>
        <w:spacing w:after="240"/>
        <w:rPr>
          <w:highlight w:val="yellow"/>
        </w:rPr>
      </w:pPr>
      <w:r w:rsidRPr="00042CE0">
        <w:t>Keywords</w:t>
      </w:r>
      <w:r w:rsidR="00EE24DB" w:rsidRPr="00042CE0">
        <w:t xml:space="preserve">: </w:t>
      </w:r>
      <w:proofErr w:type="spellStart"/>
      <w:r w:rsidR="00E839A5" w:rsidRPr="00042CE0">
        <w:t>Pd</w:t>
      </w:r>
      <w:proofErr w:type="spellEnd"/>
      <w:r w:rsidR="00E839A5" w:rsidRPr="00042CE0">
        <w:t>; nanostructure; surface reaction</w:t>
      </w:r>
      <w:r w:rsidR="00B35BB1" w:rsidRPr="00042CE0">
        <w:br w:type="page"/>
      </w:r>
    </w:p>
    <w:p w14:paraId="16B180EC" w14:textId="51DDBCD1" w:rsidR="0059550A" w:rsidRPr="00042CE0" w:rsidRDefault="0059550A" w:rsidP="00F311A1">
      <w:pPr>
        <w:pStyle w:val="1"/>
        <w:spacing w:after="240"/>
      </w:pPr>
      <w:r w:rsidRPr="00042CE0">
        <w:lastRenderedPageBreak/>
        <w:t>Introduction</w:t>
      </w:r>
    </w:p>
    <w:p w14:paraId="32AB91E3" w14:textId="24238771" w:rsidR="00E02F5B" w:rsidRPr="00042CE0" w:rsidRDefault="002A4DFC" w:rsidP="00F311A1">
      <w:pPr>
        <w:spacing w:after="240"/>
        <w:rPr>
          <w:highlight w:val="green"/>
        </w:rPr>
      </w:pPr>
      <w:r w:rsidRPr="00042CE0">
        <w:t xml:space="preserve">Catalytic electrodes in fuel cells are typically </w:t>
      </w:r>
      <w:r w:rsidR="00B57D18">
        <w:t xml:space="preserve">made from </w:t>
      </w:r>
      <w:r w:rsidRPr="00042CE0">
        <w:t>p</w:t>
      </w:r>
      <w:r w:rsidR="0059550A" w:rsidRPr="00042CE0">
        <w:t>latinum</w:t>
      </w:r>
      <w:r w:rsidRPr="00042CE0">
        <w:t xml:space="preserve">, which is rare in </w:t>
      </w:r>
      <w:r w:rsidR="00B57D18">
        <w:t xml:space="preserve">the </w:t>
      </w:r>
      <w:r w:rsidRPr="00042CE0">
        <w:t xml:space="preserve">earth’s crust. The scarcity is the main reason for the high and </w:t>
      </w:r>
      <w:r w:rsidR="00B57D18" w:rsidRPr="00042CE0">
        <w:t>fluctuat</w:t>
      </w:r>
      <w:r w:rsidR="00B57D18">
        <w:t>ing</w:t>
      </w:r>
      <w:r w:rsidR="00B57D18" w:rsidRPr="00042CE0">
        <w:t xml:space="preserve"> </w:t>
      </w:r>
      <w:r w:rsidRPr="00042CE0">
        <w:t xml:space="preserve">price of platinum and prevents </w:t>
      </w:r>
      <w:r w:rsidR="00B57D18">
        <w:t xml:space="preserve">the </w:t>
      </w:r>
      <w:r w:rsidRPr="00042CE0">
        <w:t>wide</w:t>
      </w:r>
      <w:r w:rsidR="0059550A" w:rsidRPr="00042CE0">
        <w:t xml:space="preserve"> </w:t>
      </w:r>
      <w:r w:rsidR="00D3278D" w:rsidRPr="00042CE0">
        <w:t>application of fuel cells. The p</w:t>
      </w:r>
      <w:r w:rsidR="0059550A" w:rsidRPr="00042CE0">
        <w:t xml:space="preserve">erformance </w:t>
      </w:r>
      <w:r w:rsidR="00D3278D" w:rsidRPr="00042CE0">
        <w:t xml:space="preserve">of fuel cells </w:t>
      </w:r>
      <w:r w:rsidR="0059550A" w:rsidRPr="00042CE0">
        <w:t xml:space="preserve">is often governed by the </w:t>
      </w:r>
      <w:r w:rsidR="000802FD" w:rsidRPr="00042CE0">
        <w:t>oxygen-reduction reaction</w:t>
      </w:r>
      <w:r w:rsidR="0059550A" w:rsidRPr="00042CE0">
        <w:t xml:space="preserve"> (ORR) at an air </w:t>
      </w:r>
      <w:proofErr w:type="gramStart"/>
      <w:r w:rsidR="0059550A" w:rsidRPr="00042CE0">
        <w:t>electrode.</w:t>
      </w:r>
      <w:r w:rsidR="0020746E" w:rsidRPr="00042CE0">
        <w:rPr>
          <w:vertAlign w:val="superscript"/>
        </w:rPr>
        <w:t>[</w:t>
      </w:r>
      <w:proofErr w:type="gramEnd"/>
      <w:r w:rsidR="0020746E" w:rsidRPr="00042CE0">
        <w:rPr>
          <w:vertAlign w:val="superscript"/>
        </w:rPr>
        <w:t>1]</w:t>
      </w:r>
      <w:r w:rsidR="00D3278D" w:rsidRPr="00042CE0">
        <w:t xml:space="preserve"> Thus, various studies on the optimization of catalytic platinum electrodes have been conducted.</w:t>
      </w:r>
      <w:r w:rsidR="0020746E" w:rsidRPr="00042CE0">
        <w:rPr>
          <w:vertAlign w:val="superscript"/>
        </w:rPr>
        <w:t>[1–3]</w:t>
      </w:r>
    </w:p>
    <w:p w14:paraId="7B088C20" w14:textId="00AAB0F7" w:rsidR="00C72337" w:rsidRPr="00042CE0" w:rsidRDefault="00D3278D" w:rsidP="000C6CA9">
      <w:pPr>
        <w:spacing w:after="240"/>
        <w:rPr>
          <w:highlight w:val="green"/>
        </w:rPr>
      </w:pPr>
      <w:r w:rsidRPr="00042CE0">
        <w:t xml:space="preserve">Another effort is the substitution of platinum by other elements. Palladium is one possible element for the substitution because the electronic structure of palladium is similar to that of platinum, which is clearly understood </w:t>
      </w:r>
      <w:r w:rsidR="00B57D18">
        <w:t>from</w:t>
      </w:r>
      <w:r w:rsidRPr="00042CE0">
        <w:t xml:space="preserve"> the periodic table. From the viewpoint of surface area, </w:t>
      </w:r>
      <w:proofErr w:type="spellStart"/>
      <w:r w:rsidRPr="00042CE0">
        <w:t>nanostructuring</w:t>
      </w:r>
      <w:proofErr w:type="spellEnd"/>
      <w:r w:rsidRPr="00042CE0">
        <w:t xml:space="preserve"> of palladium is a key strategy for </w:t>
      </w:r>
      <w:r w:rsidR="00B57D18">
        <w:t xml:space="preserve">the </w:t>
      </w:r>
      <w:r w:rsidRPr="00042CE0">
        <w:t xml:space="preserve">efficient production of </w:t>
      </w:r>
      <w:r w:rsidR="00B57D18">
        <w:t xml:space="preserve">the </w:t>
      </w:r>
      <w:r w:rsidRPr="00042CE0">
        <w:t>air electrode.</w:t>
      </w:r>
      <w:r w:rsidR="000C6CA9" w:rsidRPr="00042CE0">
        <w:t xml:space="preserve"> However, it has been found that the catalytic properties of palladium for ORR are much lower than those of </w:t>
      </w:r>
      <w:proofErr w:type="gramStart"/>
      <w:r w:rsidR="000C6CA9" w:rsidRPr="00042CE0">
        <w:t>platinum.</w:t>
      </w:r>
      <w:r w:rsidR="0020746E" w:rsidRPr="00042CE0">
        <w:rPr>
          <w:vertAlign w:val="superscript"/>
        </w:rPr>
        <w:t>[</w:t>
      </w:r>
      <w:proofErr w:type="gramEnd"/>
      <w:r w:rsidR="0020746E" w:rsidRPr="00042CE0">
        <w:rPr>
          <w:vertAlign w:val="superscript"/>
        </w:rPr>
        <w:t>4]</w:t>
      </w:r>
      <w:r w:rsidR="000C6CA9" w:rsidRPr="00042CE0">
        <w:t xml:space="preserve"> For this reason, many studies </w:t>
      </w:r>
      <w:r w:rsidR="0096020F" w:rsidRPr="00042CE0">
        <w:t>have</w:t>
      </w:r>
      <w:r w:rsidR="000C6CA9" w:rsidRPr="00042CE0">
        <w:t xml:space="preserve"> been carried out to achieve </w:t>
      </w:r>
      <w:r w:rsidR="00B57D18">
        <w:t xml:space="preserve">a </w:t>
      </w:r>
      <w:r w:rsidR="000C6CA9" w:rsidRPr="00042CE0">
        <w:t>better catalytic performance of palladium than platinum by efforts such as nanoparticle formation</w:t>
      </w:r>
      <w:r w:rsidR="0020746E" w:rsidRPr="00042CE0">
        <w:rPr>
          <w:vertAlign w:val="superscript"/>
        </w:rPr>
        <w:t>[5]</w:t>
      </w:r>
      <w:r w:rsidR="000C6CA9" w:rsidRPr="00042CE0">
        <w:t xml:space="preserve"> and alloying</w:t>
      </w:r>
      <w:r w:rsidR="0020746E" w:rsidRPr="00042CE0">
        <w:t>.</w:t>
      </w:r>
      <w:r w:rsidR="0020746E" w:rsidRPr="00042CE0">
        <w:rPr>
          <w:vertAlign w:val="superscript"/>
        </w:rPr>
        <w:t>[6]</w:t>
      </w:r>
    </w:p>
    <w:p w14:paraId="11F49F97" w14:textId="104704BB" w:rsidR="00B9618F" w:rsidRPr="00042CE0" w:rsidRDefault="00001247" w:rsidP="00F311A1">
      <w:pPr>
        <w:spacing w:after="240"/>
        <w:rPr>
          <w:highlight w:val="yellow"/>
        </w:rPr>
      </w:pPr>
      <w:proofErr w:type="spellStart"/>
      <w:r w:rsidRPr="00042CE0">
        <w:t>N</w:t>
      </w:r>
      <w:r w:rsidR="00B9618F" w:rsidRPr="00042CE0">
        <w:t>anoporous</w:t>
      </w:r>
      <w:proofErr w:type="spellEnd"/>
      <w:r w:rsidR="00B9618F" w:rsidRPr="00042CE0">
        <w:t xml:space="preserve"> metal</w:t>
      </w:r>
      <w:r w:rsidRPr="00042CE0">
        <w:t xml:space="preserve"> synthesis</w:t>
      </w:r>
      <w:r w:rsidR="00430E8A">
        <w:t>,</w:t>
      </w:r>
      <w:r w:rsidRPr="00042CE0">
        <w:t xml:space="preserve"> </w:t>
      </w:r>
      <w:r w:rsidR="005A0754" w:rsidRPr="00042CE0">
        <w:t xml:space="preserve">by </w:t>
      </w:r>
      <w:proofErr w:type="spellStart"/>
      <w:r w:rsidR="005A0754" w:rsidRPr="00042CE0">
        <w:t>dealloying</w:t>
      </w:r>
      <w:proofErr w:type="spellEnd"/>
      <w:r w:rsidR="005A0754" w:rsidRPr="00042CE0">
        <w:t xml:space="preserve"> or selective dissolution of one element</w:t>
      </w:r>
      <w:r w:rsidRPr="00042CE0">
        <w:t xml:space="preserve"> </w:t>
      </w:r>
      <w:r w:rsidR="005A0754" w:rsidRPr="00042CE0">
        <w:t xml:space="preserve">from </w:t>
      </w:r>
      <w:r w:rsidRPr="00042CE0">
        <w:t xml:space="preserve">a </w:t>
      </w:r>
      <w:r w:rsidR="005A0754" w:rsidRPr="00042CE0">
        <w:t>binary alloy</w:t>
      </w:r>
      <w:r w:rsidR="00430E8A">
        <w:t>,</w:t>
      </w:r>
      <w:r w:rsidR="00C72337" w:rsidRPr="00042CE0">
        <w:t xml:space="preserve"> </w:t>
      </w:r>
      <w:r w:rsidR="000C6CA9" w:rsidRPr="00042CE0">
        <w:t xml:space="preserve">has been developed </w:t>
      </w:r>
      <w:r w:rsidR="008A0AB3" w:rsidRPr="00042CE0">
        <w:t xml:space="preserve">after </w:t>
      </w:r>
      <w:r w:rsidR="00B57D18">
        <w:t>a</w:t>
      </w:r>
      <w:r w:rsidR="00B57D18" w:rsidRPr="00042CE0">
        <w:t xml:space="preserve"> </w:t>
      </w:r>
      <w:r w:rsidR="008A0AB3" w:rsidRPr="00042CE0">
        <w:t>report in</w:t>
      </w:r>
      <w:r w:rsidR="000C6CA9" w:rsidRPr="00042CE0">
        <w:t xml:space="preserve"> 2001</w:t>
      </w:r>
      <w:r w:rsidR="008A0AB3" w:rsidRPr="00042CE0">
        <w:rPr>
          <w:vertAlign w:val="superscript"/>
        </w:rPr>
        <w:t>[7]</w:t>
      </w:r>
      <w:r w:rsidR="000C6CA9" w:rsidRPr="00042CE0">
        <w:t xml:space="preserve"> and </w:t>
      </w:r>
      <w:r w:rsidR="00C72337" w:rsidRPr="00042CE0">
        <w:t xml:space="preserve">is </w:t>
      </w:r>
      <w:r w:rsidR="000C6CA9" w:rsidRPr="00042CE0">
        <w:t xml:space="preserve">now </w:t>
      </w:r>
      <w:r w:rsidR="00C72337" w:rsidRPr="00042CE0">
        <w:t xml:space="preserve">another technology for </w:t>
      </w:r>
      <w:proofErr w:type="spellStart"/>
      <w:r w:rsidR="00C72337" w:rsidRPr="00042CE0">
        <w:t>nanostructuring</w:t>
      </w:r>
      <w:proofErr w:type="spellEnd"/>
      <w:r w:rsidR="005A0754" w:rsidRPr="00042CE0">
        <w:t xml:space="preserve">. </w:t>
      </w:r>
      <w:proofErr w:type="spellStart"/>
      <w:r w:rsidR="0096020F" w:rsidRPr="00042CE0">
        <w:t>Dealloying</w:t>
      </w:r>
      <w:proofErr w:type="spellEnd"/>
      <w:r w:rsidR="0096020F" w:rsidRPr="00042CE0">
        <w:t xml:space="preserve"> can create t</w:t>
      </w:r>
      <w:r w:rsidR="005A0754" w:rsidRPr="00042CE0">
        <w:t xml:space="preserve">hree-dimensional </w:t>
      </w:r>
      <w:proofErr w:type="spellStart"/>
      <w:r w:rsidR="005A0754" w:rsidRPr="00042CE0">
        <w:t>nanoporous</w:t>
      </w:r>
      <w:proofErr w:type="spellEnd"/>
      <w:r w:rsidR="005A0754" w:rsidRPr="00042CE0">
        <w:t xml:space="preserve"> structure</w:t>
      </w:r>
      <w:r w:rsidR="0096020F" w:rsidRPr="00042CE0">
        <w:t xml:space="preserve">s </w:t>
      </w:r>
      <w:r w:rsidR="00972140" w:rsidRPr="00042CE0">
        <w:t xml:space="preserve">in various metals, </w:t>
      </w:r>
      <w:r w:rsidR="00B57D18">
        <w:t xml:space="preserve">which </w:t>
      </w:r>
      <w:r w:rsidR="00B57D18" w:rsidRPr="00042CE0">
        <w:t>generat</w:t>
      </w:r>
      <w:r w:rsidR="00B57D18">
        <w:t>e</w:t>
      </w:r>
      <w:r w:rsidR="00B57D18" w:rsidRPr="00042CE0">
        <w:t xml:space="preserve"> </w:t>
      </w:r>
      <w:r w:rsidR="0096020F" w:rsidRPr="00042CE0">
        <w:t>pore</w:t>
      </w:r>
      <w:r w:rsidR="00B57D18">
        <w:t>s</w:t>
      </w:r>
      <w:r w:rsidR="0096020F" w:rsidRPr="00042CE0">
        <w:t xml:space="preserve"> and ligament</w:t>
      </w:r>
      <w:r w:rsidR="00B57D18">
        <w:t>s</w:t>
      </w:r>
      <w:r w:rsidR="00972140" w:rsidRPr="00042CE0">
        <w:t xml:space="preserve"> in </w:t>
      </w:r>
      <w:r w:rsidR="00B57D18">
        <w:t xml:space="preserve">the </w:t>
      </w:r>
      <w:r w:rsidR="00972140" w:rsidRPr="00042CE0">
        <w:t>nanometer</w:t>
      </w:r>
      <w:r w:rsidR="009F2F52">
        <w:t>-size</w:t>
      </w:r>
      <w:r w:rsidR="00972140" w:rsidRPr="00042CE0">
        <w:t xml:space="preserve"> range</w:t>
      </w:r>
      <w:r w:rsidR="00C21A48" w:rsidRPr="00042CE0">
        <w:t>.</w:t>
      </w:r>
      <w:r w:rsidR="00C21A48" w:rsidRPr="00042CE0">
        <w:rPr>
          <w:vertAlign w:val="superscript"/>
        </w:rPr>
        <w:t>[8,9]</w:t>
      </w:r>
      <w:r w:rsidR="00C21A48" w:rsidRPr="00042CE0">
        <w:t xml:space="preserve"> </w:t>
      </w:r>
      <w:r w:rsidR="00972140" w:rsidRPr="00042CE0">
        <w:t xml:space="preserve">It is well known that </w:t>
      </w:r>
      <w:proofErr w:type="spellStart"/>
      <w:r w:rsidR="00972140" w:rsidRPr="00042CE0">
        <w:t>nanoporous</w:t>
      </w:r>
      <w:proofErr w:type="spellEnd"/>
      <w:r w:rsidR="00972140" w:rsidRPr="00042CE0">
        <w:t xml:space="preserve"> Raney copper </w:t>
      </w:r>
      <w:r w:rsidR="00B57D18">
        <w:t>can be</w:t>
      </w:r>
      <w:r w:rsidR="00B57D18" w:rsidRPr="00042CE0">
        <w:t xml:space="preserve"> </w:t>
      </w:r>
      <w:r w:rsidR="00972140" w:rsidRPr="00042CE0">
        <w:t xml:space="preserve">synthesized by </w:t>
      </w:r>
      <w:proofErr w:type="spellStart"/>
      <w:r w:rsidR="00972140" w:rsidRPr="00042CE0">
        <w:t>dealloying</w:t>
      </w:r>
      <w:proofErr w:type="spellEnd"/>
      <w:r w:rsidR="00972140" w:rsidRPr="00042CE0">
        <w:t xml:space="preserve"> Cu–Al alloys in alkaline solutions.</w:t>
      </w:r>
      <w:r w:rsidR="00C21A48" w:rsidRPr="00042CE0">
        <w:rPr>
          <w:vertAlign w:val="superscript"/>
        </w:rPr>
        <w:t>[10]</w:t>
      </w:r>
      <w:r w:rsidR="00972140" w:rsidRPr="00042CE0">
        <w:t xml:space="preserve"> </w:t>
      </w:r>
      <w:proofErr w:type="spellStart"/>
      <w:r w:rsidR="00D77EFF" w:rsidRPr="00042CE0">
        <w:t>Nanoporous</w:t>
      </w:r>
      <w:proofErr w:type="spellEnd"/>
      <w:r w:rsidR="00D77EFF" w:rsidRPr="00042CE0">
        <w:t xml:space="preserve"> c</w:t>
      </w:r>
      <w:r w:rsidR="005A0754" w:rsidRPr="00042CE0">
        <w:t xml:space="preserve">opper </w:t>
      </w:r>
      <w:r w:rsidR="00D77EFF" w:rsidRPr="00042CE0">
        <w:t xml:space="preserve">(NP-Cu) can </w:t>
      </w:r>
      <w:r w:rsidR="00C72337" w:rsidRPr="00042CE0">
        <w:t xml:space="preserve">also </w:t>
      </w:r>
      <w:r w:rsidR="00B57D18" w:rsidRPr="00042CE0">
        <w:t xml:space="preserve">be </w:t>
      </w:r>
      <w:r w:rsidR="00D77EFF" w:rsidRPr="00042CE0">
        <w:t xml:space="preserve">produced </w:t>
      </w:r>
      <w:r w:rsidR="00C72337" w:rsidRPr="00042CE0">
        <w:t xml:space="preserve">by </w:t>
      </w:r>
      <w:proofErr w:type="spellStart"/>
      <w:r w:rsidR="00C72337" w:rsidRPr="00042CE0">
        <w:t>dealloying</w:t>
      </w:r>
      <w:proofErr w:type="spellEnd"/>
      <w:r w:rsidR="00C72337" w:rsidRPr="00042CE0">
        <w:t xml:space="preserve"> </w:t>
      </w:r>
      <w:r w:rsidR="00D77EFF" w:rsidRPr="00042CE0">
        <w:t xml:space="preserve">ductile </w:t>
      </w:r>
      <w:r w:rsidR="00C72337" w:rsidRPr="00042CE0">
        <w:t>Cu</w:t>
      </w:r>
      <w:r w:rsidRPr="00042CE0">
        <w:t>–</w:t>
      </w:r>
      <w:proofErr w:type="spellStart"/>
      <w:r w:rsidR="00C72337" w:rsidRPr="00042CE0">
        <w:t>Mn</w:t>
      </w:r>
      <w:proofErr w:type="spellEnd"/>
      <w:r w:rsidR="00C72337" w:rsidRPr="00042CE0">
        <w:t xml:space="preserve"> alloys</w:t>
      </w:r>
      <w:r w:rsidR="00C21A48" w:rsidRPr="00042CE0">
        <w:t>.</w:t>
      </w:r>
      <w:r w:rsidR="005A0754" w:rsidRPr="00042CE0">
        <w:rPr>
          <w:vertAlign w:val="superscript"/>
        </w:rPr>
        <w:t>[</w:t>
      </w:r>
      <w:r w:rsidR="00C21A48" w:rsidRPr="00042CE0">
        <w:rPr>
          <w:vertAlign w:val="superscript"/>
        </w:rPr>
        <w:t>11</w:t>
      </w:r>
      <w:r w:rsidR="00A15445" w:rsidRPr="00042CE0">
        <w:rPr>
          <w:vertAlign w:val="superscript"/>
        </w:rPr>
        <w:t>–</w:t>
      </w:r>
      <w:r w:rsidR="00C21A48" w:rsidRPr="00042CE0">
        <w:rPr>
          <w:vertAlign w:val="superscript"/>
        </w:rPr>
        <w:t>13</w:t>
      </w:r>
      <w:r w:rsidR="00972140" w:rsidRPr="00042CE0">
        <w:rPr>
          <w:vertAlign w:val="superscript"/>
        </w:rPr>
        <w:t>]</w:t>
      </w:r>
      <w:r w:rsidR="00972140" w:rsidRPr="00042CE0">
        <w:t xml:space="preserve"> Manganese is easy to dissolve even in neutral solu</w:t>
      </w:r>
      <w:r w:rsidR="00D01541" w:rsidRPr="00042CE0">
        <w:t>tion</w:t>
      </w:r>
      <w:r w:rsidR="00972140" w:rsidRPr="00042CE0">
        <w:t>;</w:t>
      </w:r>
      <w:r w:rsidR="00D01541" w:rsidRPr="00042CE0">
        <w:rPr>
          <w:vertAlign w:val="superscript"/>
        </w:rPr>
        <w:t>[14]</w:t>
      </w:r>
      <w:r w:rsidR="00972140" w:rsidRPr="00042CE0">
        <w:t xml:space="preserve"> thus the precursor Cu–</w:t>
      </w:r>
      <w:proofErr w:type="spellStart"/>
      <w:r w:rsidR="00972140" w:rsidRPr="00042CE0">
        <w:t>Mn</w:t>
      </w:r>
      <w:proofErr w:type="spellEnd"/>
      <w:r w:rsidR="00972140" w:rsidRPr="00042CE0">
        <w:t xml:space="preserve"> alloys may be favorable for efficient production of NP-Cu.</w:t>
      </w:r>
    </w:p>
    <w:p w14:paraId="709B0FFC" w14:textId="07BA8C78" w:rsidR="00C72337" w:rsidRPr="00042CE0" w:rsidRDefault="00972140" w:rsidP="00F311A1">
      <w:pPr>
        <w:spacing w:after="240"/>
        <w:rPr>
          <w:highlight w:val="yellow"/>
        </w:rPr>
      </w:pPr>
      <w:r w:rsidRPr="00042CE0">
        <w:t>Noble metals</w:t>
      </w:r>
      <w:r w:rsidR="00B57D18">
        <w:t>,</w:t>
      </w:r>
      <w:r w:rsidRPr="00042CE0">
        <w:t xml:space="preserve"> including palladium</w:t>
      </w:r>
      <w:r w:rsidR="00B57D18">
        <w:t>,</w:t>
      </w:r>
      <w:r w:rsidR="00C72337" w:rsidRPr="00042CE0">
        <w:t xml:space="preserve"> </w:t>
      </w:r>
      <w:r w:rsidR="00D77EFF" w:rsidRPr="00042CE0">
        <w:t xml:space="preserve">can be </w:t>
      </w:r>
      <w:r w:rsidR="00C72337" w:rsidRPr="00042CE0">
        <w:t>deposit</w:t>
      </w:r>
      <w:r w:rsidR="00D77EFF" w:rsidRPr="00042CE0">
        <w:t>ed</w:t>
      </w:r>
      <w:r w:rsidR="00C72337" w:rsidRPr="00042CE0">
        <w:t xml:space="preserve"> </w:t>
      </w:r>
      <w:r w:rsidR="00D77EFF" w:rsidRPr="00042CE0">
        <w:t xml:space="preserve">in the form of </w:t>
      </w:r>
      <w:r w:rsidR="00001247" w:rsidRPr="00042CE0">
        <w:t xml:space="preserve">a </w:t>
      </w:r>
      <w:r w:rsidR="00C72337" w:rsidRPr="00042CE0">
        <w:t xml:space="preserve">dense film or fine </w:t>
      </w:r>
      <w:r w:rsidR="00C72337" w:rsidRPr="00042CE0">
        <w:lastRenderedPageBreak/>
        <w:t>particles</w:t>
      </w:r>
      <w:r w:rsidR="00D77EFF" w:rsidRPr="00042CE0">
        <w:t xml:space="preserve"> on copper by </w:t>
      </w:r>
      <w:proofErr w:type="spellStart"/>
      <w:r w:rsidR="00D77EFF" w:rsidRPr="00042CE0">
        <w:t>electroless</w:t>
      </w:r>
      <w:proofErr w:type="spellEnd"/>
      <w:r w:rsidR="00D77EFF" w:rsidRPr="00042CE0">
        <w:t xml:space="preserve"> plating</w:t>
      </w:r>
      <w:r w:rsidR="00EC3226" w:rsidRPr="00042CE0">
        <w:t xml:space="preserve"> or galvanic </w:t>
      </w:r>
      <w:proofErr w:type="gramStart"/>
      <w:r w:rsidR="00EC3226" w:rsidRPr="00042CE0">
        <w:t>replacement</w:t>
      </w:r>
      <w:r w:rsidR="00C72337" w:rsidRPr="00042CE0">
        <w:t>.</w:t>
      </w:r>
      <w:r w:rsidR="00D01541" w:rsidRPr="00042CE0">
        <w:rPr>
          <w:vertAlign w:val="superscript"/>
        </w:rPr>
        <w:t>[</w:t>
      </w:r>
      <w:proofErr w:type="gramEnd"/>
      <w:r w:rsidR="00D01541" w:rsidRPr="00042CE0">
        <w:rPr>
          <w:vertAlign w:val="superscript"/>
        </w:rPr>
        <w:t>15–17]</w:t>
      </w:r>
      <w:r w:rsidR="00D77EFF" w:rsidRPr="00042CE0">
        <w:t xml:space="preserve"> Thus, </w:t>
      </w:r>
      <w:proofErr w:type="spellStart"/>
      <w:r w:rsidRPr="00042CE0">
        <w:t>nanoporous</w:t>
      </w:r>
      <w:proofErr w:type="spellEnd"/>
      <w:r w:rsidRPr="00042CE0">
        <w:t xml:space="preserve"> palladium </w:t>
      </w:r>
      <w:r w:rsidR="00985A7F" w:rsidRPr="00042CE0">
        <w:t xml:space="preserve">with a skeletal structure replicated from NP-Cu </w:t>
      </w:r>
      <w:r w:rsidRPr="00042CE0">
        <w:t xml:space="preserve">can be produced by </w:t>
      </w:r>
      <w:proofErr w:type="spellStart"/>
      <w:r w:rsidR="00985A7F" w:rsidRPr="00042CE0">
        <w:t>electroless</w:t>
      </w:r>
      <w:proofErr w:type="spellEnd"/>
      <w:r w:rsidR="00985A7F" w:rsidRPr="00042CE0">
        <w:t xml:space="preserve"> plating of palladium on NP-Cu</w:t>
      </w:r>
      <w:r w:rsidR="003A0ED9" w:rsidRPr="00042CE0">
        <w:t xml:space="preserve">. </w:t>
      </w:r>
      <w:r w:rsidR="00741E3B" w:rsidRPr="00042CE0">
        <w:t>The</w:t>
      </w:r>
      <w:r w:rsidR="003A0ED9" w:rsidRPr="00042CE0">
        <w:t xml:space="preserve"> supporting NP-Cu can be removed </w:t>
      </w:r>
      <w:r w:rsidR="00ED3F74" w:rsidRPr="00042CE0">
        <w:t xml:space="preserve">readily </w:t>
      </w:r>
      <w:r w:rsidR="003A0ED9" w:rsidRPr="00042CE0">
        <w:t>by HNO</w:t>
      </w:r>
      <w:r w:rsidR="003A0ED9" w:rsidRPr="00042CE0">
        <w:rPr>
          <w:vertAlign w:val="subscript"/>
        </w:rPr>
        <w:t>3</w:t>
      </w:r>
      <w:r w:rsidR="003A0ED9" w:rsidRPr="00042CE0">
        <w:t xml:space="preserve"> which dissolves copper </w:t>
      </w:r>
      <w:r w:rsidR="00741E3B" w:rsidRPr="00042CE0">
        <w:t>selectively</w:t>
      </w:r>
      <w:r w:rsidR="003A0ED9" w:rsidRPr="00042CE0">
        <w:t xml:space="preserve">, </w:t>
      </w:r>
      <w:r w:rsidR="00741E3B" w:rsidRPr="00042CE0">
        <w:t xml:space="preserve">and </w:t>
      </w:r>
      <w:r w:rsidR="003A0ED9" w:rsidRPr="00042CE0">
        <w:t>leav</w:t>
      </w:r>
      <w:r w:rsidR="00741E3B" w:rsidRPr="00042CE0">
        <w:t xml:space="preserve">es </w:t>
      </w:r>
      <w:r w:rsidR="003A0ED9" w:rsidRPr="00042CE0">
        <w:t xml:space="preserve">bimodal </w:t>
      </w:r>
      <w:proofErr w:type="spellStart"/>
      <w:r w:rsidR="003A0ED9" w:rsidRPr="00042CE0">
        <w:t>nanoporous</w:t>
      </w:r>
      <w:proofErr w:type="spellEnd"/>
      <w:r w:rsidR="003A0ED9" w:rsidRPr="00042CE0">
        <w:t xml:space="preserve"> platinum</w:t>
      </w:r>
      <w:r w:rsidR="00A33AB5">
        <w:t xml:space="preserve"> with residual copper</w:t>
      </w:r>
      <w:r w:rsidR="003A0ED9" w:rsidRPr="00042CE0">
        <w:t xml:space="preserve"> (BNP-</w:t>
      </w:r>
      <w:proofErr w:type="spellStart"/>
      <w:r w:rsidR="003A0ED9" w:rsidRPr="00042CE0">
        <w:t>P</w:t>
      </w:r>
      <w:r w:rsidR="00985A7F" w:rsidRPr="00042CE0">
        <w:t>d</w:t>
      </w:r>
      <w:r w:rsidR="00A33AB5" w:rsidRPr="00A33AB5">
        <w:rPr>
          <w:highlight w:val="yellow"/>
        </w:rPr>
        <w:t>Cu</w:t>
      </w:r>
      <w:proofErr w:type="spellEnd"/>
      <w:r w:rsidR="003A0ED9" w:rsidRPr="00042CE0">
        <w:t>)</w:t>
      </w:r>
      <w:r w:rsidR="004D75D1" w:rsidRPr="00042CE0">
        <w:t xml:space="preserve"> </w:t>
      </w:r>
      <w:r w:rsidR="00237FF0" w:rsidRPr="00042CE0">
        <w:t>(</w:t>
      </w:r>
      <w:r w:rsidR="004D75D1" w:rsidRPr="00042CE0">
        <w:t>Fig. 1</w:t>
      </w:r>
      <w:r w:rsidR="00237FF0" w:rsidRPr="00042CE0">
        <w:t>)</w:t>
      </w:r>
      <w:r w:rsidR="004D75D1" w:rsidRPr="00042CE0">
        <w:t xml:space="preserve">. </w:t>
      </w:r>
      <w:r w:rsidR="002151B7" w:rsidRPr="003757D2">
        <w:rPr>
          <w:highlight w:val="yellow"/>
        </w:rPr>
        <w:t xml:space="preserve">In addition, the distribution of lattice spacing from surface to core is significantly varied in nanostructured materials including </w:t>
      </w:r>
      <w:proofErr w:type="spellStart"/>
      <w:r w:rsidR="002151B7" w:rsidRPr="003757D2">
        <w:rPr>
          <w:highlight w:val="yellow"/>
        </w:rPr>
        <w:t>nanoporous</w:t>
      </w:r>
      <w:proofErr w:type="spellEnd"/>
      <w:r w:rsidR="002151B7" w:rsidRPr="003757D2">
        <w:rPr>
          <w:highlight w:val="yellow"/>
        </w:rPr>
        <w:t xml:space="preserve"> </w:t>
      </w:r>
      <w:proofErr w:type="gramStart"/>
      <w:r w:rsidR="002151B7" w:rsidRPr="003757D2">
        <w:rPr>
          <w:highlight w:val="yellow"/>
        </w:rPr>
        <w:t>metals</w:t>
      </w:r>
      <w:r w:rsidR="00E12043" w:rsidRPr="003757D2">
        <w:rPr>
          <w:highlight w:val="yellow"/>
        </w:rPr>
        <w:t>,</w:t>
      </w:r>
      <w:r w:rsidR="002151B7" w:rsidRPr="003757D2">
        <w:rPr>
          <w:highlight w:val="yellow"/>
          <w:vertAlign w:val="superscript"/>
        </w:rPr>
        <w:t>[</w:t>
      </w:r>
      <w:proofErr w:type="gramEnd"/>
      <w:r w:rsidR="008F2ACE">
        <w:rPr>
          <w:highlight w:val="yellow"/>
          <w:vertAlign w:val="superscript"/>
        </w:rPr>
        <w:t>18,19</w:t>
      </w:r>
      <w:r w:rsidR="002151B7" w:rsidRPr="003757D2">
        <w:rPr>
          <w:highlight w:val="yellow"/>
          <w:vertAlign w:val="superscript"/>
        </w:rPr>
        <w:t>]</w:t>
      </w:r>
      <w:r w:rsidR="00E12043" w:rsidRPr="003757D2">
        <w:rPr>
          <w:highlight w:val="yellow"/>
          <w:vertAlign w:val="superscript"/>
        </w:rPr>
        <w:t xml:space="preserve"> </w:t>
      </w:r>
      <w:r w:rsidR="00E12043" w:rsidRPr="003757D2">
        <w:rPr>
          <w:highlight w:val="yellow"/>
        </w:rPr>
        <w:t>causing</w:t>
      </w:r>
      <w:r w:rsidR="002151B7" w:rsidRPr="003757D2">
        <w:rPr>
          <w:highlight w:val="yellow"/>
        </w:rPr>
        <w:t xml:space="preserve"> </w:t>
      </w:r>
      <w:r w:rsidR="00E12043" w:rsidRPr="003757D2">
        <w:rPr>
          <w:highlight w:val="yellow"/>
        </w:rPr>
        <w:t>peculiar surface chemistry.</w:t>
      </w:r>
      <w:r w:rsidR="00E12043" w:rsidRPr="003757D2">
        <w:rPr>
          <w:highlight w:val="yellow"/>
          <w:vertAlign w:val="superscript"/>
        </w:rPr>
        <w:t>[</w:t>
      </w:r>
      <w:r w:rsidR="008F2ACE">
        <w:rPr>
          <w:highlight w:val="yellow"/>
          <w:vertAlign w:val="superscript"/>
        </w:rPr>
        <w:t>18,20–22</w:t>
      </w:r>
      <w:r w:rsidR="00E12043" w:rsidRPr="003757D2">
        <w:rPr>
          <w:highlight w:val="yellow"/>
          <w:vertAlign w:val="superscript"/>
        </w:rPr>
        <w:t>]</w:t>
      </w:r>
      <w:r w:rsidR="00E12043">
        <w:t xml:space="preserve"> </w:t>
      </w:r>
      <w:r w:rsidR="00985A7F" w:rsidRPr="00042CE0">
        <w:t xml:space="preserve">In this study, </w:t>
      </w:r>
      <w:r w:rsidR="004D75D1" w:rsidRPr="00042CE0">
        <w:t>BNP-</w:t>
      </w:r>
      <w:proofErr w:type="spellStart"/>
      <w:r w:rsidR="004D75D1" w:rsidRPr="00042CE0">
        <w:t>P</w:t>
      </w:r>
      <w:r w:rsidR="00985A7F" w:rsidRPr="00042CE0">
        <w:t>d</w:t>
      </w:r>
      <w:r w:rsidR="00A33AB5" w:rsidRPr="00A33AB5">
        <w:rPr>
          <w:highlight w:val="yellow"/>
        </w:rPr>
        <w:t>Cu</w:t>
      </w:r>
      <w:proofErr w:type="spellEnd"/>
      <w:r w:rsidR="004D75D1" w:rsidRPr="00042CE0">
        <w:t xml:space="preserve"> for ORR </w:t>
      </w:r>
      <w:r w:rsidR="00985A7F" w:rsidRPr="00042CE0">
        <w:t xml:space="preserve">catalysts was fabricated </w:t>
      </w:r>
      <w:r w:rsidR="004D75D1" w:rsidRPr="00042CE0">
        <w:t xml:space="preserve">by </w:t>
      </w:r>
      <w:proofErr w:type="spellStart"/>
      <w:r w:rsidR="004D75D1" w:rsidRPr="00042CE0">
        <w:t>electroless</w:t>
      </w:r>
      <w:proofErr w:type="spellEnd"/>
      <w:r w:rsidR="00985A7F" w:rsidRPr="00042CE0">
        <w:t xml:space="preserve"> </w:t>
      </w:r>
      <w:r w:rsidR="004D75D1" w:rsidRPr="00042CE0">
        <w:t>plating of p</w:t>
      </w:r>
      <w:r w:rsidR="00985A7F" w:rsidRPr="00042CE0">
        <w:t>al</w:t>
      </w:r>
      <w:r w:rsidR="004D75D1" w:rsidRPr="00042CE0">
        <w:t>la</w:t>
      </w:r>
      <w:r w:rsidR="00985A7F" w:rsidRPr="00042CE0">
        <w:t>dium</w:t>
      </w:r>
      <w:r w:rsidR="004D75D1" w:rsidRPr="00042CE0">
        <w:t xml:space="preserve"> on the sacrificial NP-Cu and subsequent dissolution </w:t>
      </w:r>
      <w:r w:rsidR="004E2968" w:rsidRPr="00042CE0">
        <w:t xml:space="preserve">of </w:t>
      </w:r>
      <w:r w:rsidR="004D75D1" w:rsidRPr="00042CE0">
        <w:t>NP-Cu. We focus on high ORR activity per surface area</w:t>
      </w:r>
      <w:r w:rsidR="00985A7F" w:rsidRPr="00042CE0">
        <w:t xml:space="preserve"> of fabricated BNP-</w:t>
      </w:r>
      <w:proofErr w:type="spellStart"/>
      <w:r w:rsidR="00985A7F" w:rsidRPr="00042CE0">
        <w:t>Pd</w:t>
      </w:r>
      <w:r w:rsidR="00A33AB5" w:rsidRPr="00A33AB5">
        <w:rPr>
          <w:highlight w:val="yellow"/>
        </w:rPr>
        <w:t>Cu</w:t>
      </w:r>
      <w:proofErr w:type="spellEnd"/>
      <w:r w:rsidR="00985A7F" w:rsidRPr="00042CE0">
        <w:t xml:space="preserve"> catalysts</w:t>
      </w:r>
      <w:r w:rsidR="00430E8A">
        <w:t>,</w:t>
      </w:r>
      <w:r w:rsidR="00985A7F" w:rsidRPr="00042CE0">
        <w:t xml:space="preserve"> </w:t>
      </w:r>
      <w:r w:rsidR="00B57D18">
        <w:t>using</w:t>
      </w:r>
      <w:r w:rsidR="00B57D18" w:rsidRPr="00042CE0">
        <w:t xml:space="preserve"> </w:t>
      </w:r>
      <w:r w:rsidR="00985A7F" w:rsidRPr="00042CE0">
        <w:t xml:space="preserve">first-principles calculations on </w:t>
      </w:r>
      <w:r w:rsidR="00B57D18">
        <w:t>the</w:t>
      </w:r>
      <w:r w:rsidR="00B57D18" w:rsidRPr="00042CE0">
        <w:t xml:space="preserve"> </w:t>
      </w:r>
      <w:r w:rsidR="00985A7F" w:rsidRPr="00042CE0">
        <w:t xml:space="preserve">adsorption of </w:t>
      </w:r>
      <w:r w:rsidR="00785AA5" w:rsidRPr="00042CE0">
        <w:t>oxygen</w:t>
      </w:r>
      <w:r w:rsidR="00985A7F" w:rsidRPr="00042CE0">
        <w:t xml:space="preserve"> species on palladium surfaces</w:t>
      </w:r>
      <w:r w:rsidR="004D75D1" w:rsidRPr="00042CE0">
        <w:t>.</w:t>
      </w:r>
    </w:p>
    <w:p w14:paraId="2F4130D8" w14:textId="2C89A88F" w:rsidR="007E604A" w:rsidRPr="00042CE0" w:rsidRDefault="007E604A" w:rsidP="00F311A1">
      <w:pPr>
        <w:pStyle w:val="1"/>
        <w:spacing w:after="240"/>
      </w:pPr>
      <w:r w:rsidRPr="00042CE0">
        <w:t>Results</w:t>
      </w:r>
    </w:p>
    <w:p w14:paraId="72FBAA67" w14:textId="7B6E1721" w:rsidR="003C0506" w:rsidRPr="00042CE0" w:rsidRDefault="005821F7" w:rsidP="00F311A1">
      <w:pPr>
        <w:spacing w:after="240"/>
      </w:pPr>
      <w:r w:rsidRPr="00042CE0">
        <w:t xml:space="preserve">STEM images (Fig. </w:t>
      </w:r>
      <w:r w:rsidR="00772073">
        <w:t>2</w:t>
      </w:r>
      <w:r w:rsidRPr="00042CE0">
        <w:t xml:space="preserve">) </w:t>
      </w:r>
      <w:r w:rsidR="003C0506" w:rsidRPr="00042CE0">
        <w:t>indicate</w:t>
      </w:r>
      <w:r w:rsidR="00CE0CCA">
        <w:t>d</w:t>
      </w:r>
      <w:r w:rsidR="003C0506" w:rsidRPr="00042CE0">
        <w:t xml:space="preserve"> the bimodal structure of the </w:t>
      </w:r>
      <w:r w:rsidR="00AF086B" w:rsidRPr="00042CE0">
        <w:t>BNP-</w:t>
      </w:r>
      <w:proofErr w:type="spellStart"/>
      <w:r w:rsidR="00AF086B" w:rsidRPr="00042CE0">
        <w:t>Pd</w:t>
      </w:r>
      <w:r w:rsidR="00A33AB5" w:rsidRPr="00A33AB5">
        <w:rPr>
          <w:highlight w:val="yellow"/>
        </w:rPr>
        <w:t>Cu</w:t>
      </w:r>
      <w:proofErr w:type="spellEnd"/>
      <w:r w:rsidR="00AF086B" w:rsidRPr="00042CE0">
        <w:t xml:space="preserve"> after dissolution of copper</w:t>
      </w:r>
      <w:r w:rsidR="003C0506" w:rsidRPr="00042CE0">
        <w:t xml:space="preserve">. </w:t>
      </w:r>
      <w:r w:rsidR="00B31BC2" w:rsidRPr="00042CE0">
        <w:t xml:space="preserve">The </w:t>
      </w:r>
      <w:proofErr w:type="spellStart"/>
      <w:r w:rsidR="003C0506" w:rsidRPr="00042CE0">
        <w:t>nanoporous</w:t>
      </w:r>
      <w:proofErr w:type="spellEnd"/>
      <w:r w:rsidR="003C0506" w:rsidRPr="00042CE0">
        <w:t xml:space="preserve"> </w:t>
      </w:r>
      <w:r w:rsidR="00C85647" w:rsidRPr="00042CE0">
        <w:t xml:space="preserve">hollow </w:t>
      </w:r>
      <w:r w:rsidR="003C0506" w:rsidRPr="00042CE0">
        <w:t>structure with an average pore diameter of 23 nm</w:t>
      </w:r>
      <w:r w:rsidR="00C85647" w:rsidRPr="00042CE0">
        <w:t xml:space="preserve"> (Fig. </w:t>
      </w:r>
      <w:r w:rsidR="00772073">
        <w:t>2</w:t>
      </w:r>
      <w:r w:rsidR="00D16F07" w:rsidRPr="00042CE0">
        <w:t>(</w:t>
      </w:r>
      <w:r w:rsidR="00C85647" w:rsidRPr="00042CE0">
        <w:t>a</w:t>
      </w:r>
      <w:r w:rsidR="00D16F07" w:rsidRPr="00042CE0">
        <w:t>)</w:t>
      </w:r>
      <w:r w:rsidR="00C85647" w:rsidRPr="00042CE0">
        <w:t xml:space="preserve">), which is replicated from NP-Cu (Fig. </w:t>
      </w:r>
      <w:r w:rsidR="00B35BB1" w:rsidRPr="00042CE0">
        <w:t>1</w:t>
      </w:r>
      <w:r w:rsidR="00D16F07" w:rsidRPr="00042CE0">
        <w:t>(</w:t>
      </w:r>
      <w:r w:rsidR="00B35BB1" w:rsidRPr="00042CE0">
        <w:t>b</w:t>
      </w:r>
      <w:r w:rsidR="00D16F07" w:rsidRPr="00042CE0">
        <w:t>)</w:t>
      </w:r>
      <w:r w:rsidR="00C85647" w:rsidRPr="00042CE0">
        <w:t xml:space="preserve">), was composed of finer </w:t>
      </w:r>
      <w:proofErr w:type="spellStart"/>
      <w:r w:rsidR="00C85647" w:rsidRPr="00042CE0">
        <w:t>P</w:t>
      </w:r>
      <w:r w:rsidR="00236668" w:rsidRPr="00042CE0">
        <w:t>d</w:t>
      </w:r>
      <w:proofErr w:type="spellEnd"/>
      <w:r w:rsidR="00C85647" w:rsidRPr="00042CE0">
        <w:t xml:space="preserve"> </w:t>
      </w:r>
      <w:r w:rsidR="00236668" w:rsidRPr="00042CE0">
        <w:t>aggregates</w:t>
      </w:r>
      <w:r w:rsidR="00C85647" w:rsidRPr="00042CE0">
        <w:t xml:space="preserve"> with </w:t>
      </w:r>
      <w:r w:rsidR="00236668" w:rsidRPr="00042CE0">
        <w:t>5</w:t>
      </w:r>
      <w:r w:rsidR="00C85647" w:rsidRPr="00042CE0">
        <w:t>–</w:t>
      </w:r>
      <w:r w:rsidR="00CE0CCA" w:rsidRPr="00042CE0">
        <w:t>10</w:t>
      </w:r>
      <w:r w:rsidR="00CE0CCA">
        <w:t>-</w:t>
      </w:r>
      <w:r w:rsidR="00C85647" w:rsidRPr="00042CE0">
        <w:t>nm diameter</w:t>
      </w:r>
      <w:r w:rsidR="00B31BC2" w:rsidRPr="00042CE0">
        <w:t>s</w:t>
      </w:r>
      <w:r w:rsidR="00C85647" w:rsidRPr="00042CE0">
        <w:t xml:space="preserve"> (Fig. </w:t>
      </w:r>
      <w:r w:rsidR="00772073">
        <w:t>2</w:t>
      </w:r>
      <w:r w:rsidR="00D16F07" w:rsidRPr="00042CE0">
        <w:t>(</w:t>
      </w:r>
      <w:r w:rsidR="00C85647" w:rsidRPr="00042CE0">
        <w:t>b</w:t>
      </w:r>
      <w:r w:rsidR="00D16F07" w:rsidRPr="00042CE0">
        <w:t>)</w:t>
      </w:r>
      <w:r w:rsidR="00C85647" w:rsidRPr="00042CE0">
        <w:t>)</w:t>
      </w:r>
      <w:r w:rsidR="003768A8">
        <w:t xml:space="preserve">, </w:t>
      </w:r>
      <w:r w:rsidR="009A24FE" w:rsidRPr="009A24FE">
        <w:rPr>
          <w:highlight w:val="yellow"/>
        </w:rPr>
        <w:t xml:space="preserve">forming </w:t>
      </w:r>
      <w:r w:rsidR="003768A8" w:rsidRPr="009A24FE">
        <w:rPr>
          <w:highlight w:val="yellow"/>
        </w:rPr>
        <w:t xml:space="preserve">the bimodal </w:t>
      </w:r>
      <w:proofErr w:type="spellStart"/>
      <w:r w:rsidR="003768A8" w:rsidRPr="009A24FE">
        <w:rPr>
          <w:highlight w:val="yellow"/>
        </w:rPr>
        <w:t>nanoporous</w:t>
      </w:r>
      <w:proofErr w:type="spellEnd"/>
      <w:r w:rsidR="003768A8" w:rsidRPr="009A24FE">
        <w:rPr>
          <w:highlight w:val="yellow"/>
        </w:rPr>
        <w:t xml:space="preserve"> structure</w:t>
      </w:r>
      <w:r w:rsidR="003C0506" w:rsidRPr="00042CE0">
        <w:t xml:space="preserve">. </w:t>
      </w:r>
      <w:r w:rsidR="00C85647" w:rsidRPr="00042CE0">
        <w:t xml:space="preserve">STEM-EDXS </w:t>
      </w:r>
      <w:r w:rsidR="00CE0CCA" w:rsidRPr="00042CE0">
        <w:t>reveal</w:t>
      </w:r>
      <w:r w:rsidR="00CE0CCA">
        <w:t>ed</w:t>
      </w:r>
      <w:r w:rsidR="00CE0CCA" w:rsidRPr="00042CE0">
        <w:t xml:space="preserve"> </w:t>
      </w:r>
      <w:r w:rsidR="00853986" w:rsidRPr="00042CE0">
        <w:t>that Cu remain</w:t>
      </w:r>
      <w:r w:rsidR="009502AF" w:rsidRPr="00042CE0">
        <w:rPr>
          <w:rFonts w:hint="eastAsia"/>
        </w:rPr>
        <w:t>ed</w:t>
      </w:r>
      <w:r w:rsidR="00853986" w:rsidRPr="00042CE0">
        <w:t xml:space="preserve"> even after dissolution by HNO</w:t>
      </w:r>
      <w:r w:rsidR="00853986" w:rsidRPr="00042CE0">
        <w:rPr>
          <w:vertAlign w:val="subscript"/>
        </w:rPr>
        <w:t>3</w:t>
      </w:r>
      <w:r w:rsidR="00853986" w:rsidRPr="00042CE0">
        <w:t xml:space="preserve">, although Cu and </w:t>
      </w:r>
      <w:proofErr w:type="spellStart"/>
      <w:r w:rsidR="00853986" w:rsidRPr="00042CE0">
        <w:t>P</w:t>
      </w:r>
      <w:r w:rsidR="00236668" w:rsidRPr="00042CE0">
        <w:t>d</w:t>
      </w:r>
      <w:proofErr w:type="spellEnd"/>
      <w:r w:rsidR="00853986" w:rsidRPr="00042CE0">
        <w:t xml:space="preserve"> exhibited </w:t>
      </w:r>
      <w:r w:rsidR="00B31BC2" w:rsidRPr="00042CE0">
        <w:t xml:space="preserve">a </w:t>
      </w:r>
      <w:r w:rsidR="00C26A58" w:rsidRPr="00042CE0">
        <w:t>homogeneous distribut</w:t>
      </w:r>
      <w:r w:rsidR="00E27171" w:rsidRPr="00042CE0">
        <w:t>ion</w:t>
      </w:r>
      <w:r w:rsidR="00C26A58" w:rsidRPr="00042CE0">
        <w:t xml:space="preserve"> without </w:t>
      </w:r>
      <w:r w:rsidR="00853986" w:rsidRPr="00042CE0">
        <w:t xml:space="preserve">surface segregation (Fig. </w:t>
      </w:r>
      <w:r w:rsidR="00772073">
        <w:t>2</w:t>
      </w:r>
      <w:r w:rsidR="00D16F07" w:rsidRPr="00042CE0">
        <w:t>(</w:t>
      </w:r>
      <w:r w:rsidR="00236668" w:rsidRPr="00042CE0">
        <w:t>c</w:t>
      </w:r>
      <w:r w:rsidR="00D16F07" w:rsidRPr="00042CE0">
        <w:t>)</w:t>
      </w:r>
      <w:r w:rsidR="00853986" w:rsidRPr="00042CE0">
        <w:t>).</w:t>
      </w:r>
      <w:r w:rsidR="004633B3" w:rsidRPr="00042CE0">
        <w:t xml:space="preserve"> </w:t>
      </w:r>
      <w:r w:rsidR="00776284" w:rsidRPr="009D631F">
        <w:rPr>
          <w:szCs w:val="24"/>
          <w:highlight w:val="yellow"/>
        </w:rPr>
        <w:t xml:space="preserve">HR-TEM </w:t>
      </w:r>
      <w:r w:rsidR="009D631F" w:rsidRPr="009D631F">
        <w:rPr>
          <w:szCs w:val="24"/>
          <w:highlight w:val="yellow"/>
        </w:rPr>
        <w:t xml:space="preserve">observation </w:t>
      </w:r>
      <w:r w:rsidR="00776284" w:rsidRPr="009D631F">
        <w:rPr>
          <w:szCs w:val="24"/>
          <w:highlight w:val="yellow"/>
        </w:rPr>
        <w:t>(Fig. 2(d)) showed significant local lattice contraction at ligament surfaces.</w:t>
      </w:r>
      <w:r w:rsidR="00776284">
        <w:rPr>
          <w:szCs w:val="24"/>
        </w:rPr>
        <w:t xml:space="preserve"> </w:t>
      </w:r>
      <w:r w:rsidR="004633B3" w:rsidRPr="00042CE0">
        <w:t>The remaining Cu in the sample after dissolution</w:t>
      </w:r>
      <w:r w:rsidR="00667EDE" w:rsidRPr="00042CE0">
        <w:t xml:space="preserve"> by HNO</w:t>
      </w:r>
      <w:r w:rsidR="00667EDE" w:rsidRPr="00042CE0">
        <w:rPr>
          <w:vertAlign w:val="subscript"/>
        </w:rPr>
        <w:t>3</w:t>
      </w:r>
      <w:r w:rsidR="004633B3" w:rsidRPr="00042CE0">
        <w:t xml:space="preserve"> </w:t>
      </w:r>
      <w:r w:rsidR="00B31BC2" w:rsidRPr="00042CE0">
        <w:t xml:space="preserve">was </w:t>
      </w:r>
      <w:r w:rsidR="004633B3" w:rsidRPr="00042CE0">
        <w:t xml:space="preserve">confirmed by EDXS (Fig. </w:t>
      </w:r>
      <w:r w:rsidR="00772073">
        <w:t>3</w:t>
      </w:r>
      <w:r w:rsidR="00D16F07" w:rsidRPr="00042CE0">
        <w:t>(</w:t>
      </w:r>
      <w:r w:rsidR="00B35BB1" w:rsidRPr="00042CE0">
        <w:t>a</w:t>
      </w:r>
      <w:r w:rsidR="00D16F07" w:rsidRPr="00042CE0">
        <w:t>)</w:t>
      </w:r>
      <w:r w:rsidR="004633B3" w:rsidRPr="00042CE0">
        <w:t>)</w:t>
      </w:r>
      <w:r w:rsidR="00C26A58" w:rsidRPr="00042CE0">
        <w:t xml:space="preserve">, where </w:t>
      </w:r>
      <w:r w:rsidR="00B31BC2" w:rsidRPr="00042CE0">
        <w:t xml:space="preserve">the </w:t>
      </w:r>
      <w:r w:rsidR="00C26A58" w:rsidRPr="00042CE0">
        <w:t>a</w:t>
      </w:r>
      <w:r w:rsidR="004633B3" w:rsidRPr="00042CE0">
        <w:t>tomic ratio of Cu/</w:t>
      </w:r>
      <w:proofErr w:type="spellStart"/>
      <w:r w:rsidR="004633B3" w:rsidRPr="00042CE0">
        <w:t>P</w:t>
      </w:r>
      <w:r w:rsidR="00236668" w:rsidRPr="00042CE0">
        <w:t>d</w:t>
      </w:r>
      <w:proofErr w:type="spellEnd"/>
      <w:r w:rsidR="004633B3" w:rsidRPr="00042CE0">
        <w:t xml:space="preserve"> was </w:t>
      </w:r>
      <w:r w:rsidR="00AF086B" w:rsidRPr="00042CE0">
        <w:t>0.25</w:t>
      </w:r>
      <w:r w:rsidR="004633B3" w:rsidRPr="00042CE0">
        <w:t xml:space="preserve"> before dissolution and </w:t>
      </w:r>
      <w:r w:rsidR="00AF086B" w:rsidRPr="00042CE0">
        <w:t>0.15</w:t>
      </w:r>
      <w:r w:rsidR="004633B3" w:rsidRPr="00042CE0">
        <w:t xml:space="preserve"> after dissolution</w:t>
      </w:r>
      <w:r w:rsidR="00C26A58" w:rsidRPr="00042CE0">
        <w:t>.</w:t>
      </w:r>
      <w:r w:rsidR="00107033" w:rsidRPr="00042CE0">
        <w:t xml:space="preserve"> </w:t>
      </w:r>
      <w:r w:rsidR="00484787" w:rsidRPr="00042CE0">
        <w:t>On the other hand, m</w:t>
      </w:r>
      <w:r w:rsidR="00107033" w:rsidRPr="00042CE0">
        <w:t xml:space="preserve">anganese was not detected by EDXS and ICP-AES in </w:t>
      </w:r>
      <w:r w:rsidR="00484787" w:rsidRPr="00042CE0">
        <w:t>BNP-</w:t>
      </w:r>
      <w:proofErr w:type="spellStart"/>
      <w:r w:rsidR="00484787" w:rsidRPr="00042CE0">
        <w:t>Pd</w:t>
      </w:r>
      <w:r w:rsidR="00A33AB5" w:rsidRPr="00A33AB5">
        <w:rPr>
          <w:highlight w:val="yellow"/>
        </w:rPr>
        <w:t>Cu</w:t>
      </w:r>
      <w:proofErr w:type="spellEnd"/>
      <w:r w:rsidR="00484787" w:rsidRPr="00042CE0">
        <w:t xml:space="preserve"> before and after the dissolution of copper.</w:t>
      </w:r>
      <w:r w:rsidR="00D23C05" w:rsidRPr="00042CE0">
        <w:t xml:space="preserve"> Thus, the contribution of manganese </w:t>
      </w:r>
      <w:r w:rsidR="00CE0CCA">
        <w:t>was</w:t>
      </w:r>
      <w:r w:rsidR="00CE0CCA" w:rsidRPr="00042CE0">
        <w:t xml:space="preserve"> </w:t>
      </w:r>
      <w:r w:rsidR="00D23C05" w:rsidRPr="00042CE0">
        <w:t xml:space="preserve">eliminated in the following </w:t>
      </w:r>
      <w:r w:rsidR="00D23C05" w:rsidRPr="00042CE0">
        <w:lastRenderedPageBreak/>
        <w:t xml:space="preserve">discussion on the catalytic properties of </w:t>
      </w:r>
      <w:r w:rsidR="00CE0CCA">
        <w:t xml:space="preserve">the </w:t>
      </w:r>
      <w:r w:rsidR="00D23C05" w:rsidRPr="00042CE0">
        <w:t>BNP-</w:t>
      </w:r>
      <w:proofErr w:type="spellStart"/>
      <w:r w:rsidR="00D23C05" w:rsidRPr="00042CE0">
        <w:t>Pd</w:t>
      </w:r>
      <w:r w:rsidR="00A33AB5" w:rsidRPr="00A33AB5">
        <w:rPr>
          <w:highlight w:val="yellow"/>
        </w:rPr>
        <w:t>Cu</w:t>
      </w:r>
      <w:proofErr w:type="spellEnd"/>
      <w:r w:rsidR="00D23C05" w:rsidRPr="00042CE0">
        <w:t xml:space="preserve"> samples.</w:t>
      </w:r>
    </w:p>
    <w:p w14:paraId="5AC84BA4" w14:textId="262FD557" w:rsidR="00107033" w:rsidRPr="00042CE0" w:rsidRDefault="002F273B" w:rsidP="00F311A1">
      <w:pPr>
        <w:spacing w:after="240"/>
      </w:pPr>
      <w:r w:rsidRPr="00042CE0">
        <w:t xml:space="preserve">XRD patterns of </w:t>
      </w:r>
      <w:r w:rsidR="00903B6D" w:rsidRPr="00042CE0">
        <w:t>BNP-</w:t>
      </w:r>
      <w:proofErr w:type="spellStart"/>
      <w:r w:rsidR="00903B6D" w:rsidRPr="00042CE0">
        <w:t>P</w:t>
      </w:r>
      <w:r w:rsidR="00C22CA3" w:rsidRPr="00042CE0">
        <w:t>d</w:t>
      </w:r>
      <w:r w:rsidR="00A33AB5" w:rsidRPr="00A33AB5">
        <w:rPr>
          <w:highlight w:val="yellow"/>
        </w:rPr>
        <w:t>Cu</w:t>
      </w:r>
      <w:proofErr w:type="spellEnd"/>
      <w:r w:rsidR="00903B6D" w:rsidRPr="00042CE0">
        <w:t xml:space="preserve"> </w:t>
      </w:r>
      <w:r w:rsidRPr="00042CE0">
        <w:t xml:space="preserve">before and after </w:t>
      </w:r>
      <w:r w:rsidR="00E85D0B" w:rsidRPr="00042CE0">
        <w:t xml:space="preserve">copper </w:t>
      </w:r>
      <w:r w:rsidRPr="00042CE0">
        <w:t>dissolution are shown in Fig.</w:t>
      </w:r>
      <w:r w:rsidR="00CB3616" w:rsidRPr="00042CE0">
        <w:t xml:space="preserve"> </w:t>
      </w:r>
      <w:r w:rsidR="00772073">
        <w:t>3</w:t>
      </w:r>
      <w:r w:rsidR="00D16F07" w:rsidRPr="00042CE0">
        <w:t>(</w:t>
      </w:r>
      <w:r w:rsidR="00B35BB1" w:rsidRPr="00042CE0">
        <w:t>b</w:t>
      </w:r>
      <w:r w:rsidR="00D16F07" w:rsidRPr="00042CE0">
        <w:t>)</w:t>
      </w:r>
      <w:r w:rsidRPr="00042CE0">
        <w:t xml:space="preserve">. Before </w:t>
      </w:r>
      <w:r w:rsidR="00E85D0B" w:rsidRPr="00042CE0">
        <w:t xml:space="preserve">copper </w:t>
      </w:r>
      <w:r w:rsidRPr="00042CE0">
        <w:t xml:space="preserve">dissolution, the broad peaks for </w:t>
      </w:r>
      <w:r w:rsidR="00C22CA3" w:rsidRPr="00042CE0">
        <w:t>palladium</w:t>
      </w:r>
      <w:r w:rsidR="00E13004" w:rsidRPr="00042CE0">
        <w:t xml:space="preserve"> were detected with</w:t>
      </w:r>
      <w:r w:rsidRPr="00042CE0">
        <w:t xml:space="preserve"> </w:t>
      </w:r>
      <w:r w:rsidR="00C22CA3" w:rsidRPr="00042CE0">
        <w:t xml:space="preserve">minor </w:t>
      </w:r>
      <w:r w:rsidRPr="00042CE0">
        <w:t>peaks for metallic copper</w:t>
      </w:r>
      <w:r w:rsidR="00C22CA3" w:rsidRPr="00042CE0">
        <w:t xml:space="preserve">. </w:t>
      </w:r>
      <w:r w:rsidR="00E13004" w:rsidRPr="00042CE0">
        <w:t xml:space="preserve">The absence of copper peaks in the XRD pattern even before dissolution of copper </w:t>
      </w:r>
      <w:r w:rsidR="00CE0CCA" w:rsidRPr="00042CE0">
        <w:t>suggest</w:t>
      </w:r>
      <w:r w:rsidR="00CE0CCA">
        <w:t>ed</w:t>
      </w:r>
      <w:r w:rsidR="00CE0CCA" w:rsidRPr="00042CE0">
        <w:t xml:space="preserve"> </w:t>
      </w:r>
      <w:r w:rsidR="00E13004" w:rsidRPr="00042CE0">
        <w:t xml:space="preserve">that </w:t>
      </w:r>
      <w:r w:rsidR="00CE0CCA">
        <w:t>a</w:t>
      </w:r>
      <w:r w:rsidR="00CE0CCA" w:rsidRPr="00042CE0">
        <w:t xml:space="preserve"> </w:t>
      </w:r>
      <w:r w:rsidR="00E13004" w:rsidRPr="00042CE0">
        <w:t xml:space="preserve">considerable amount of copper was removed at the stage of </w:t>
      </w:r>
      <w:r w:rsidR="00CE0CCA">
        <w:t xml:space="preserve">the </w:t>
      </w:r>
      <w:r w:rsidR="00E13004" w:rsidRPr="00042CE0">
        <w:t>displacement deposition of palladium. Comparison of the present Cu/</w:t>
      </w:r>
      <w:proofErr w:type="spellStart"/>
      <w:r w:rsidR="00E13004" w:rsidRPr="00042CE0">
        <w:t>Pd</w:t>
      </w:r>
      <w:proofErr w:type="spellEnd"/>
      <w:r w:rsidR="00E13004" w:rsidRPr="00042CE0">
        <w:t xml:space="preserve"> </w:t>
      </w:r>
      <w:r w:rsidR="00C46F7A" w:rsidRPr="00042CE0">
        <w:t xml:space="preserve">composition </w:t>
      </w:r>
      <w:r w:rsidR="00505173" w:rsidRPr="00042CE0">
        <w:t xml:space="preserve">ratio </w:t>
      </w:r>
      <w:r w:rsidR="00C46F7A" w:rsidRPr="00042CE0">
        <w:t>with the case of Cu/</w:t>
      </w:r>
      <w:proofErr w:type="gramStart"/>
      <w:r w:rsidR="00C46F7A" w:rsidRPr="00042CE0">
        <w:t>Pt</w:t>
      </w:r>
      <w:r w:rsidR="00C46F7A" w:rsidRPr="00042CE0">
        <w:rPr>
          <w:vertAlign w:val="superscript"/>
        </w:rPr>
        <w:t>[</w:t>
      </w:r>
      <w:proofErr w:type="gramEnd"/>
      <w:r w:rsidR="00444B82" w:rsidRPr="00042CE0">
        <w:rPr>
          <w:vertAlign w:val="superscript"/>
        </w:rPr>
        <w:t>2</w:t>
      </w:r>
      <w:r w:rsidR="008F2ACE">
        <w:rPr>
          <w:vertAlign w:val="superscript"/>
        </w:rPr>
        <w:t>3</w:t>
      </w:r>
      <w:r w:rsidR="00C46F7A" w:rsidRPr="00042CE0">
        <w:rPr>
          <w:vertAlign w:val="superscript"/>
        </w:rPr>
        <w:t>]</w:t>
      </w:r>
      <w:r w:rsidR="00C46F7A" w:rsidRPr="00042CE0">
        <w:t xml:space="preserve"> also suggest</w:t>
      </w:r>
      <w:r w:rsidR="00CE0CCA">
        <w:t>ed</w:t>
      </w:r>
      <w:r w:rsidR="00C46F7A" w:rsidRPr="00042CE0">
        <w:t xml:space="preserve"> </w:t>
      </w:r>
      <w:r w:rsidR="00E13004" w:rsidRPr="00042CE0">
        <w:t>the removal of copper</w:t>
      </w:r>
      <w:r w:rsidR="00C46F7A" w:rsidRPr="00042CE0">
        <w:t xml:space="preserve"> during </w:t>
      </w:r>
      <w:r w:rsidR="00CE0CCA">
        <w:t xml:space="preserve">the </w:t>
      </w:r>
      <w:r w:rsidR="00C46F7A" w:rsidRPr="00042CE0">
        <w:t xml:space="preserve">displacement deposition of palladium. </w:t>
      </w:r>
      <w:r w:rsidR="00256D5C" w:rsidRPr="00042CE0">
        <w:t>The broad peaks for palladium were detected whereas n</w:t>
      </w:r>
      <w:r w:rsidR="00C46F7A" w:rsidRPr="00042CE0">
        <w:t>o copper was</w:t>
      </w:r>
      <w:r w:rsidRPr="00042CE0">
        <w:t xml:space="preserve"> detected </w:t>
      </w:r>
      <w:r w:rsidR="00C46F7A" w:rsidRPr="00042CE0">
        <w:t xml:space="preserve">by XRD </w:t>
      </w:r>
      <w:r w:rsidRPr="00042CE0">
        <w:t>after dissolution by HNO</w:t>
      </w:r>
      <w:r w:rsidRPr="00042CE0">
        <w:rPr>
          <w:vertAlign w:val="subscript"/>
        </w:rPr>
        <w:t>3</w:t>
      </w:r>
      <w:r w:rsidR="00903B6D" w:rsidRPr="00042CE0">
        <w:t>.</w:t>
      </w:r>
      <w:r w:rsidRPr="00042CE0">
        <w:t xml:space="preserve"> </w:t>
      </w:r>
      <w:proofErr w:type="spellStart"/>
      <w:r w:rsidRPr="00042CE0">
        <w:t>P</w:t>
      </w:r>
      <w:r w:rsidR="00505173" w:rsidRPr="00042CE0">
        <w:t>d</w:t>
      </w:r>
      <w:proofErr w:type="spellEnd"/>
      <w:r w:rsidRPr="00042CE0">
        <w:t xml:space="preserve"> </w:t>
      </w:r>
      <w:r w:rsidR="00E85D0B" w:rsidRPr="00042CE0">
        <w:t xml:space="preserve">remained </w:t>
      </w:r>
      <w:r w:rsidRPr="00042CE0">
        <w:t>undissolved</w:t>
      </w:r>
      <w:r w:rsidR="00505173" w:rsidRPr="00042CE0">
        <w:t xml:space="preserve"> after immersion in HNO</w:t>
      </w:r>
      <w:r w:rsidR="00505173" w:rsidRPr="00042CE0">
        <w:rPr>
          <w:vertAlign w:val="subscript"/>
        </w:rPr>
        <w:t>3</w:t>
      </w:r>
      <w:r w:rsidR="00505173" w:rsidRPr="00042CE0">
        <w:t xml:space="preserve"> for removal of skeletal Cu</w:t>
      </w:r>
      <w:r w:rsidRPr="00042CE0">
        <w:t>.</w:t>
      </w:r>
      <w:r w:rsidR="00B14744" w:rsidRPr="00042CE0">
        <w:t xml:space="preserve"> </w:t>
      </w:r>
      <w:r w:rsidR="00E85D0B" w:rsidRPr="00042CE0">
        <w:t xml:space="preserve">An inspection </w:t>
      </w:r>
      <w:r w:rsidR="00B14744" w:rsidRPr="00042CE0">
        <w:t xml:space="preserve">of </w:t>
      </w:r>
      <w:r w:rsidR="00E85D0B" w:rsidRPr="00042CE0">
        <w:t xml:space="preserve">the </w:t>
      </w:r>
      <w:r w:rsidR="00B14744" w:rsidRPr="00042CE0">
        <w:t xml:space="preserve">XRD patterns </w:t>
      </w:r>
      <w:r w:rsidR="00E85D0B" w:rsidRPr="00042CE0">
        <w:t xml:space="preserve">showed </w:t>
      </w:r>
      <w:r w:rsidR="00505173" w:rsidRPr="00042CE0">
        <w:t>no significant peak shift</w:t>
      </w:r>
      <w:r w:rsidR="00B14744" w:rsidRPr="00042CE0">
        <w:t xml:space="preserve"> of </w:t>
      </w:r>
      <w:proofErr w:type="spellStart"/>
      <w:r w:rsidR="00B14744" w:rsidRPr="00042CE0">
        <w:t>P</w:t>
      </w:r>
      <w:r w:rsidR="00505173" w:rsidRPr="00042CE0">
        <w:t>d</w:t>
      </w:r>
      <w:proofErr w:type="spellEnd"/>
      <w:r w:rsidR="00505173" w:rsidRPr="00042CE0">
        <w:t xml:space="preserve"> (Table </w:t>
      </w:r>
      <w:r w:rsidR="00E1307D" w:rsidRPr="00E1307D">
        <w:rPr>
          <w:highlight w:val="yellow"/>
        </w:rPr>
        <w:t>I</w:t>
      </w:r>
      <w:r w:rsidR="00505173" w:rsidRPr="00042CE0">
        <w:t>), compared with the case of Cu/</w:t>
      </w:r>
      <w:proofErr w:type="gramStart"/>
      <w:r w:rsidR="00505173" w:rsidRPr="00042CE0">
        <w:t>Pt</w:t>
      </w:r>
      <w:r w:rsidR="00444B82" w:rsidRPr="00042CE0">
        <w:t>.</w:t>
      </w:r>
      <w:r w:rsidR="00505173" w:rsidRPr="00042CE0">
        <w:rPr>
          <w:rFonts w:hint="eastAsia"/>
          <w:vertAlign w:val="superscript"/>
        </w:rPr>
        <w:t>[</w:t>
      </w:r>
      <w:proofErr w:type="gramEnd"/>
      <w:r w:rsidR="00444B82" w:rsidRPr="00042CE0">
        <w:rPr>
          <w:vertAlign w:val="superscript"/>
        </w:rPr>
        <w:t>2</w:t>
      </w:r>
      <w:r w:rsidR="008F2ACE">
        <w:rPr>
          <w:vertAlign w:val="superscript"/>
        </w:rPr>
        <w:t>3</w:t>
      </w:r>
      <w:r w:rsidR="00505173" w:rsidRPr="00042CE0">
        <w:rPr>
          <w:vertAlign w:val="superscript"/>
        </w:rPr>
        <w:t>]</w:t>
      </w:r>
    </w:p>
    <w:p w14:paraId="16529AFE" w14:textId="1526E89C" w:rsidR="00903B6D" w:rsidRPr="00AB3340" w:rsidRDefault="00903B6D" w:rsidP="007C16A2">
      <w:pPr>
        <w:spacing w:after="240"/>
        <w:rPr>
          <w:highlight w:val="yellow"/>
        </w:rPr>
      </w:pPr>
      <w:r w:rsidRPr="00042CE0">
        <w:t>CV curves for BNP-</w:t>
      </w:r>
      <w:proofErr w:type="spellStart"/>
      <w:r w:rsidRPr="007C16A2">
        <w:t>P</w:t>
      </w:r>
      <w:r w:rsidR="00457BA9" w:rsidRPr="007C16A2">
        <w:t>d</w:t>
      </w:r>
      <w:r w:rsidR="00457BA9" w:rsidRPr="00457BA9">
        <w:rPr>
          <w:highlight w:val="yellow"/>
        </w:rPr>
        <w:t>Cu</w:t>
      </w:r>
      <w:proofErr w:type="spellEnd"/>
      <w:r w:rsidRPr="00042CE0">
        <w:t xml:space="preserve"> before and after </w:t>
      </w:r>
      <w:r w:rsidR="00E85D0B" w:rsidRPr="00042CE0">
        <w:t xml:space="preserve">copper </w:t>
      </w:r>
      <w:r w:rsidRPr="00042CE0">
        <w:t xml:space="preserve">dissolution (Fig. </w:t>
      </w:r>
      <w:r w:rsidR="00772073">
        <w:t>4</w:t>
      </w:r>
      <w:r w:rsidR="00D16F07" w:rsidRPr="00042CE0">
        <w:t>(</w:t>
      </w:r>
      <w:r w:rsidR="00587581" w:rsidRPr="00042CE0">
        <w:t>a</w:t>
      </w:r>
      <w:r w:rsidR="00D16F07" w:rsidRPr="00042CE0">
        <w:t>)</w:t>
      </w:r>
      <w:r w:rsidRPr="00042CE0">
        <w:t xml:space="preserve">) </w:t>
      </w:r>
      <w:r w:rsidR="00CE0CCA">
        <w:t>were</w:t>
      </w:r>
      <w:r w:rsidR="00CE0CCA" w:rsidRPr="00042CE0">
        <w:t xml:space="preserve"> </w:t>
      </w:r>
      <w:r w:rsidRPr="00042CE0">
        <w:t xml:space="preserve">typical for </w:t>
      </w:r>
      <w:proofErr w:type="gramStart"/>
      <w:r w:rsidR="00505173" w:rsidRPr="00042CE0">
        <w:t>palladiu</w:t>
      </w:r>
      <w:r w:rsidR="00C0502B">
        <w:t>m</w:t>
      </w:r>
      <w:r w:rsidR="000F1F08" w:rsidRPr="00042CE0">
        <w:rPr>
          <w:vertAlign w:val="superscript"/>
        </w:rPr>
        <w:t>[</w:t>
      </w:r>
      <w:proofErr w:type="gramEnd"/>
      <w:r w:rsidR="008F2ACE">
        <w:rPr>
          <w:vertAlign w:val="superscript"/>
        </w:rPr>
        <w:t>24</w:t>
      </w:r>
      <w:r w:rsidR="00661ADF" w:rsidRPr="00042CE0">
        <w:rPr>
          <w:vertAlign w:val="superscript"/>
        </w:rPr>
        <w:t>–</w:t>
      </w:r>
      <w:r w:rsidR="008F2ACE">
        <w:rPr>
          <w:vertAlign w:val="superscript"/>
        </w:rPr>
        <w:t>26</w:t>
      </w:r>
      <w:r w:rsidR="000F1F08" w:rsidRPr="00042CE0">
        <w:rPr>
          <w:vertAlign w:val="superscript"/>
        </w:rPr>
        <w:t>]</w:t>
      </w:r>
      <w:r w:rsidR="000F1F08" w:rsidRPr="00042CE0">
        <w:t xml:space="preserve"> </w:t>
      </w:r>
      <w:r w:rsidRPr="00042CE0">
        <w:t xml:space="preserve">with peaks for </w:t>
      </w:r>
      <w:r w:rsidR="00E85D0B" w:rsidRPr="00042CE0">
        <w:t xml:space="preserve">oxygen </w:t>
      </w:r>
      <w:r w:rsidRPr="00042CE0">
        <w:t>desorption</w:t>
      </w:r>
      <w:r w:rsidR="002C4741" w:rsidRPr="00042CE0">
        <w:t>.</w:t>
      </w:r>
      <w:r w:rsidR="00765276" w:rsidRPr="00042CE0">
        <w:t xml:space="preserve"> </w:t>
      </w:r>
      <w:r w:rsidR="00E85D0B" w:rsidRPr="00042CE0">
        <w:t>Copper d</w:t>
      </w:r>
      <w:r w:rsidR="00765276" w:rsidRPr="00042CE0">
        <w:t>issolution by HNO</w:t>
      </w:r>
      <w:r w:rsidR="00765276" w:rsidRPr="00042CE0">
        <w:rPr>
          <w:vertAlign w:val="subscript"/>
        </w:rPr>
        <w:t>3</w:t>
      </w:r>
      <w:r w:rsidR="00765276" w:rsidRPr="00042CE0">
        <w:t xml:space="preserve"> caused no significant change in the redox process during CV scanning.</w:t>
      </w:r>
      <w:r w:rsidR="007C16A2" w:rsidRPr="007C16A2">
        <w:t xml:space="preserve"> </w:t>
      </w:r>
      <w:r w:rsidR="007C16A2" w:rsidRPr="00AB3340">
        <w:rPr>
          <w:highlight w:val="yellow"/>
        </w:rPr>
        <w:t xml:space="preserve">On the other hand, no redox peaks </w:t>
      </w:r>
      <w:r w:rsidR="008F2ACE">
        <w:rPr>
          <w:highlight w:val="yellow"/>
        </w:rPr>
        <w:t>from</w:t>
      </w:r>
      <w:r w:rsidR="007C16A2" w:rsidRPr="00AB3340">
        <w:rPr>
          <w:highlight w:val="yellow"/>
        </w:rPr>
        <w:t xml:space="preserve"> copper were detected. Considering that elemental mapping in TEM for BNP-</w:t>
      </w:r>
      <w:proofErr w:type="spellStart"/>
      <w:r w:rsidR="007C16A2" w:rsidRPr="00AB3340">
        <w:rPr>
          <w:highlight w:val="yellow"/>
        </w:rPr>
        <w:t>PdCu</w:t>
      </w:r>
      <w:proofErr w:type="spellEnd"/>
      <w:r w:rsidR="007C16A2" w:rsidRPr="00AB3340">
        <w:rPr>
          <w:highlight w:val="yellow"/>
        </w:rPr>
        <w:t xml:space="preserve"> showed no clear segregation of palladium and copper</w:t>
      </w:r>
      <w:r w:rsidR="00AB3340" w:rsidRPr="00AB3340">
        <w:rPr>
          <w:highlight w:val="yellow"/>
        </w:rPr>
        <w:t xml:space="preserve"> (Fig. 2(c))</w:t>
      </w:r>
      <w:r w:rsidR="007C16A2" w:rsidRPr="00AB3340">
        <w:rPr>
          <w:highlight w:val="yellow"/>
        </w:rPr>
        <w:t>, one can sugg</w:t>
      </w:r>
      <w:r w:rsidR="00AB3340" w:rsidRPr="00AB3340">
        <w:rPr>
          <w:highlight w:val="yellow"/>
        </w:rPr>
        <w:t xml:space="preserve">est that </w:t>
      </w:r>
      <w:r w:rsidR="008F2ACE" w:rsidRPr="008F2ACE">
        <w:rPr>
          <w:highlight w:val="yellow"/>
        </w:rPr>
        <w:t xml:space="preserve">the change in the chemical state of surface Cu by alloying with </w:t>
      </w:r>
      <w:proofErr w:type="spellStart"/>
      <w:r w:rsidR="008F2ACE" w:rsidRPr="008F2ACE">
        <w:rPr>
          <w:highlight w:val="yellow"/>
        </w:rPr>
        <w:t>Pd</w:t>
      </w:r>
      <w:proofErr w:type="spellEnd"/>
      <w:r w:rsidR="008F2ACE" w:rsidRPr="008F2ACE">
        <w:rPr>
          <w:highlight w:val="yellow"/>
        </w:rPr>
        <w:t xml:space="preserve"> and/or </w:t>
      </w:r>
      <w:r w:rsidR="008F2ACE">
        <w:rPr>
          <w:highlight w:val="yellow"/>
        </w:rPr>
        <w:t xml:space="preserve">that </w:t>
      </w:r>
      <w:r w:rsidR="008F2ACE" w:rsidRPr="008F2ACE">
        <w:rPr>
          <w:highlight w:val="yellow"/>
        </w:rPr>
        <w:t>the surface coverage by Cu is not so high</w:t>
      </w:r>
      <w:r w:rsidR="00AB3340" w:rsidRPr="00AB3340">
        <w:rPr>
          <w:highlight w:val="yellow"/>
        </w:rPr>
        <w:t>.</w:t>
      </w:r>
    </w:p>
    <w:p w14:paraId="7A10C28F" w14:textId="208E5045" w:rsidR="00FB0E0D" w:rsidRPr="00042CE0" w:rsidRDefault="00F702C4" w:rsidP="00F311A1">
      <w:pPr>
        <w:spacing w:after="240"/>
      </w:pPr>
      <w:r w:rsidRPr="00042CE0">
        <w:t>The ORR activity of the BNP-</w:t>
      </w:r>
      <w:proofErr w:type="spellStart"/>
      <w:r w:rsidRPr="00042CE0">
        <w:t>P</w:t>
      </w:r>
      <w:r w:rsidR="00505173" w:rsidRPr="00042CE0">
        <w:t>d</w:t>
      </w:r>
      <w:r w:rsidR="00A33AB5" w:rsidRPr="00A33AB5">
        <w:rPr>
          <w:highlight w:val="yellow"/>
        </w:rPr>
        <w:t>Cu</w:t>
      </w:r>
      <w:proofErr w:type="spellEnd"/>
      <w:r w:rsidRPr="00042CE0">
        <w:t xml:space="preserve"> samples was examined by RDE (Fig. </w:t>
      </w:r>
      <w:r w:rsidR="00772073">
        <w:t>4</w:t>
      </w:r>
      <w:r w:rsidR="00D16F07" w:rsidRPr="00042CE0">
        <w:t>(</w:t>
      </w:r>
      <w:r w:rsidR="00587581" w:rsidRPr="00042CE0">
        <w:t>b</w:t>
      </w:r>
      <w:r w:rsidR="00D16F07" w:rsidRPr="00042CE0">
        <w:t>)</w:t>
      </w:r>
      <w:r w:rsidRPr="00042CE0">
        <w:t xml:space="preserve">). In the polarization curves, </w:t>
      </w:r>
      <w:r w:rsidR="00B25646" w:rsidRPr="00042CE0">
        <w:t xml:space="preserve">the </w:t>
      </w:r>
      <w:r w:rsidRPr="00042CE0">
        <w:t xml:space="preserve">current </w:t>
      </w:r>
      <w:r w:rsidR="00C34797" w:rsidRPr="00042CE0">
        <w:t xml:space="preserve">density at </w:t>
      </w:r>
      <w:r w:rsidR="00154187" w:rsidRPr="00042CE0">
        <w:t xml:space="preserve">a </w:t>
      </w:r>
      <w:r w:rsidR="00C34797" w:rsidRPr="00042CE0">
        <w:t>high potential of 1.1 V was</w:t>
      </w:r>
      <w:r w:rsidRPr="00042CE0">
        <w:t xml:space="preserve"> </w:t>
      </w:r>
      <w:r w:rsidR="00505173" w:rsidRPr="00042CE0">
        <w:t xml:space="preserve">almost </w:t>
      </w:r>
      <w:r w:rsidR="00C34797" w:rsidRPr="00042CE0">
        <w:t xml:space="preserve">independent of </w:t>
      </w:r>
      <w:r w:rsidR="00B25646" w:rsidRPr="00042CE0">
        <w:t xml:space="preserve">the electrode </w:t>
      </w:r>
      <w:r w:rsidR="00C34797" w:rsidRPr="00042CE0">
        <w:t xml:space="preserve">rotation rate, which </w:t>
      </w:r>
      <w:r w:rsidR="00CE0CCA" w:rsidRPr="00042CE0">
        <w:t>correspond</w:t>
      </w:r>
      <w:r w:rsidR="00CE0CCA">
        <w:t>ed</w:t>
      </w:r>
      <w:r w:rsidR="00CE0CCA" w:rsidRPr="00042CE0">
        <w:t xml:space="preserve"> </w:t>
      </w:r>
      <w:r w:rsidR="00C34797" w:rsidRPr="00042CE0">
        <w:t xml:space="preserve">to </w:t>
      </w:r>
      <w:r w:rsidR="00B25646" w:rsidRPr="00042CE0">
        <w:t xml:space="preserve">the </w:t>
      </w:r>
      <w:r w:rsidR="00C34797" w:rsidRPr="00042CE0">
        <w:t xml:space="preserve">kinetic region of </w:t>
      </w:r>
      <w:r w:rsidR="00B25646" w:rsidRPr="00042CE0">
        <w:t xml:space="preserve">the </w:t>
      </w:r>
      <w:r w:rsidR="00C34797" w:rsidRPr="00042CE0">
        <w:t xml:space="preserve">ORR. As the potential </w:t>
      </w:r>
      <w:r w:rsidR="00CE0CCA">
        <w:t xml:space="preserve">was </w:t>
      </w:r>
      <w:r w:rsidRPr="00042CE0">
        <w:t>decreased from 1.1 V</w:t>
      </w:r>
      <w:r w:rsidR="00C34797" w:rsidRPr="00042CE0">
        <w:t xml:space="preserve">, transitional regions from </w:t>
      </w:r>
      <w:r w:rsidR="00154187" w:rsidRPr="00042CE0">
        <w:t xml:space="preserve">a </w:t>
      </w:r>
      <w:r w:rsidR="00C34797" w:rsidRPr="00042CE0">
        <w:t xml:space="preserve">kinetic- to </w:t>
      </w:r>
      <w:r w:rsidR="00154187" w:rsidRPr="00042CE0">
        <w:t xml:space="preserve">a </w:t>
      </w:r>
      <w:r w:rsidR="00C34797" w:rsidRPr="00042CE0">
        <w:t>diffusion-</w:t>
      </w:r>
      <w:r w:rsidR="00C34797" w:rsidRPr="00042CE0">
        <w:lastRenderedPageBreak/>
        <w:t xml:space="preserve">controlled reaction rate were observed, with </w:t>
      </w:r>
      <w:r w:rsidR="00154187" w:rsidRPr="00042CE0">
        <w:t xml:space="preserve">a </w:t>
      </w:r>
      <w:r w:rsidR="00C34797" w:rsidRPr="00042CE0">
        <w:t>lower current density</w:t>
      </w:r>
      <w:r w:rsidR="00141D6C" w:rsidRPr="00042CE0">
        <w:t xml:space="preserve"> at </w:t>
      </w:r>
      <w:r w:rsidR="00154187" w:rsidRPr="00042CE0">
        <w:t xml:space="preserve">a </w:t>
      </w:r>
      <w:r w:rsidR="00141D6C" w:rsidRPr="00042CE0">
        <w:t xml:space="preserve">higher </w:t>
      </w:r>
      <w:r w:rsidR="00154187" w:rsidRPr="00042CE0">
        <w:t xml:space="preserve">electrode </w:t>
      </w:r>
      <w:r w:rsidR="00141D6C" w:rsidRPr="00042CE0">
        <w:t>rotation rate</w:t>
      </w:r>
      <w:r w:rsidRPr="00042CE0">
        <w:t>.</w:t>
      </w:r>
      <w:r w:rsidR="00C34797" w:rsidRPr="00042CE0">
        <w:t xml:space="preserve"> </w:t>
      </w:r>
      <w:r w:rsidR="00141D6C" w:rsidRPr="00042CE0">
        <w:t xml:space="preserve">Below 0.4 V, </w:t>
      </w:r>
      <w:r w:rsidR="00154187" w:rsidRPr="00042CE0">
        <w:t xml:space="preserve">the </w:t>
      </w:r>
      <w:r w:rsidR="00141D6C" w:rsidRPr="00042CE0">
        <w:t>current density was almost constant</w:t>
      </w:r>
      <w:r w:rsidR="00E44DB7" w:rsidRPr="00042CE0">
        <w:t xml:space="preserve"> and</w:t>
      </w:r>
      <w:r w:rsidR="00154187" w:rsidRPr="00042CE0">
        <w:t xml:space="preserve"> a</w:t>
      </w:r>
      <w:r w:rsidR="00E44DB7" w:rsidRPr="00042CE0">
        <w:t xml:space="preserve"> diffusion-controlled reaction occurred</w:t>
      </w:r>
      <w:r w:rsidR="00141D6C" w:rsidRPr="00042CE0">
        <w:t>.</w:t>
      </w:r>
    </w:p>
    <w:p w14:paraId="7004E24E" w14:textId="08274900" w:rsidR="008C73C2" w:rsidRPr="00042CE0" w:rsidRDefault="00E44DB7" w:rsidP="00F311A1">
      <w:pPr>
        <w:spacing w:after="240"/>
        <w:rPr>
          <w:highlight w:val="yellow"/>
        </w:rPr>
      </w:pPr>
      <w:r w:rsidRPr="00042CE0">
        <w:t xml:space="preserve">The </w:t>
      </w:r>
      <w:r w:rsidR="00674B0D" w:rsidRPr="00042CE0">
        <w:t xml:space="preserve">specific </w:t>
      </w:r>
      <w:r w:rsidR="00154187" w:rsidRPr="00042CE0">
        <w:t xml:space="preserve">activities </w:t>
      </w:r>
      <w:r w:rsidR="00674B0D" w:rsidRPr="00042CE0">
        <w:t>of BNP-</w:t>
      </w:r>
      <w:proofErr w:type="spellStart"/>
      <w:r w:rsidR="00674B0D" w:rsidRPr="00042CE0">
        <w:t>P</w:t>
      </w:r>
      <w:r w:rsidR="00985A7F" w:rsidRPr="00042CE0">
        <w:t>d</w:t>
      </w:r>
      <w:r w:rsidR="00A33AB5" w:rsidRPr="00A33AB5">
        <w:rPr>
          <w:highlight w:val="yellow"/>
        </w:rPr>
        <w:t>Cu</w:t>
      </w:r>
      <w:proofErr w:type="spellEnd"/>
      <w:r w:rsidR="00674B0D" w:rsidRPr="00042CE0">
        <w:t xml:space="preserve"> before and after dissolution </w:t>
      </w:r>
      <w:r w:rsidR="00985A7F" w:rsidRPr="00042CE0">
        <w:t xml:space="preserve">of copper </w:t>
      </w:r>
      <w:r w:rsidR="00154187" w:rsidRPr="00042CE0">
        <w:t>were</w:t>
      </w:r>
      <w:r w:rsidR="00674B0D" w:rsidRPr="00042CE0">
        <w:t xml:space="preserve"> </w:t>
      </w:r>
      <w:r w:rsidR="00985A7F" w:rsidRPr="00042CE0">
        <w:t>0.32</w:t>
      </w:r>
      <w:r w:rsidR="00674B0D" w:rsidRPr="00042CE0">
        <w:t xml:space="preserve"> and </w:t>
      </w:r>
      <w:r w:rsidR="00985A7F" w:rsidRPr="00042CE0">
        <w:t>0.61</w:t>
      </w:r>
      <w:r w:rsidR="00674B0D" w:rsidRPr="00042CE0">
        <w:t xml:space="preserve"> mA cm</w:t>
      </w:r>
      <w:r w:rsidR="00674B0D" w:rsidRPr="00042CE0">
        <w:rPr>
          <w:rFonts w:ascii="Times New Roman" w:hAnsi="Times New Roman" w:cs="Times New Roman"/>
          <w:vertAlign w:val="superscript"/>
        </w:rPr>
        <w:t>−</w:t>
      </w:r>
      <w:r w:rsidR="00674B0D" w:rsidRPr="00042CE0">
        <w:rPr>
          <w:vertAlign w:val="superscript"/>
        </w:rPr>
        <w:t>2</w:t>
      </w:r>
      <w:r w:rsidR="00674B0D" w:rsidRPr="00042CE0">
        <w:t>, respectively</w:t>
      </w:r>
      <w:r w:rsidR="00FB0E0D" w:rsidRPr="00042CE0">
        <w:t>, according to the RDE results</w:t>
      </w:r>
      <w:r w:rsidR="00674B0D" w:rsidRPr="00042CE0">
        <w:t xml:space="preserve">. These values </w:t>
      </w:r>
      <w:r w:rsidR="00F722A0">
        <w:t>were</w:t>
      </w:r>
      <w:r w:rsidR="00F722A0" w:rsidRPr="00042CE0">
        <w:t xml:space="preserve"> </w:t>
      </w:r>
      <w:r w:rsidR="00674B0D" w:rsidRPr="00042CE0">
        <w:t xml:space="preserve">significantly higher than those of the conventional </w:t>
      </w:r>
      <w:proofErr w:type="spellStart"/>
      <w:r w:rsidR="00674B0D" w:rsidRPr="00042CE0">
        <w:t>P</w:t>
      </w:r>
      <w:r w:rsidR="00985A7F" w:rsidRPr="00042CE0">
        <w:t>d</w:t>
      </w:r>
      <w:proofErr w:type="spellEnd"/>
      <w:r w:rsidR="00674B0D" w:rsidRPr="00042CE0">
        <w:t xml:space="preserve">/C </w:t>
      </w:r>
      <w:r w:rsidR="00D721AB" w:rsidRPr="00042CE0">
        <w:t>catalyst</w:t>
      </w:r>
      <w:r w:rsidR="001A6EBD" w:rsidRPr="00042CE0">
        <w:t xml:space="preserve"> </w:t>
      </w:r>
      <w:r w:rsidR="00674B0D" w:rsidRPr="00042CE0">
        <w:t xml:space="preserve">and </w:t>
      </w:r>
      <w:r w:rsidR="00087BC1" w:rsidRPr="00042CE0">
        <w:t xml:space="preserve">comparable </w:t>
      </w:r>
      <w:r w:rsidR="00237FF0" w:rsidRPr="00042CE0">
        <w:t>with</w:t>
      </w:r>
      <w:r w:rsidR="00087BC1" w:rsidRPr="00042CE0">
        <w:t xml:space="preserve"> </w:t>
      </w:r>
      <w:r w:rsidR="00674B0D" w:rsidRPr="00042CE0">
        <w:t xml:space="preserve">the values reported </w:t>
      </w:r>
      <w:r w:rsidR="001B43D2" w:rsidRPr="00042CE0">
        <w:t xml:space="preserve">recently </w:t>
      </w:r>
      <w:r w:rsidR="00674B0D" w:rsidRPr="00042CE0">
        <w:t xml:space="preserve">for other </w:t>
      </w:r>
      <w:r w:rsidR="00985A7F" w:rsidRPr="00042CE0">
        <w:t xml:space="preserve">nanostructured </w:t>
      </w:r>
      <w:proofErr w:type="spellStart"/>
      <w:r w:rsidR="00674B0D" w:rsidRPr="00042CE0">
        <w:t>P</w:t>
      </w:r>
      <w:r w:rsidR="00985A7F" w:rsidRPr="00042CE0">
        <w:t>d</w:t>
      </w:r>
      <w:proofErr w:type="spellEnd"/>
      <w:r w:rsidR="00674B0D" w:rsidRPr="00042CE0">
        <w:t xml:space="preserve">-based </w:t>
      </w:r>
      <w:proofErr w:type="gramStart"/>
      <w:r w:rsidR="00674B0D" w:rsidRPr="00042CE0">
        <w:t>alloys</w:t>
      </w:r>
      <w:r w:rsidR="00B24723" w:rsidRPr="00042CE0">
        <w:t>.</w:t>
      </w:r>
      <w:r w:rsidR="00B24723" w:rsidRPr="00042CE0">
        <w:rPr>
          <w:vertAlign w:val="superscript"/>
        </w:rPr>
        <w:t>[</w:t>
      </w:r>
      <w:proofErr w:type="gramEnd"/>
      <w:r w:rsidR="008F2ACE">
        <w:rPr>
          <w:vertAlign w:val="superscript"/>
        </w:rPr>
        <w:t>27</w:t>
      </w:r>
      <w:r w:rsidR="003C5818" w:rsidRPr="00042CE0">
        <w:rPr>
          <w:vertAlign w:val="superscript"/>
        </w:rPr>
        <w:t>–</w:t>
      </w:r>
      <w:r w:rsidR="003560B4" w:rsidRPr="00042CE0">
        <w:rPr>
          <w:vertAlign w:val="superscript"/>
        </w:rPr>
        <w:t>3</w:t>
      </w:r>
      <w:r w:rsidR="008F2ACE">
        <w:rPr>
          <w:vertAlign w:val="superscript"/>
        </w:rPr>
        <w:t>1]</w:t>
      </w:r>
      <w:r w:rsidR="00674B0D" w:rsidRPr="00042CE0">
        <w:t xml:space="preserve"> </w:t>
      </w:r>
      <w:r w:rsidR="00720481" w:rsidRPr="00042CE0">
        <w:t xml:space="preserve">On the other hand, </w:t>
      </w:r>
      <w:r w:rsidR="00F722A0">
        <w:t xml:space="preserve">the </w:t>
      </w:r>
      <w:r w:rsidR="00B24723" w:rsidRPr="00042CE0">
        <w:t xml:space="preserve">mass </w:t>
      </w:r>
      <w:r w:rsidR="00720481" w:rsidRPr="00042CE0">
        <w:t>activity of BNP-</w:t>
      </w:r>
      <w:proofErr w:type="spellStart"/>
      <w:r w:rsidR="00A57B72">
        <w:t>PdCu</w:t>
      </w:r>
      <w:proofErr w:type="spellEnd"/>
      <w:r w:rsidR="00720481" w:rsidRPr="00042CE0">
        <w:t xml:space="preserve"> before and after copper dissolution was 0.023 and 0.034 A mg</w:t>
      </w:r>
      <w:r w:rsidR="00720481" w:rsidRPr="00042CE0">
        <w:rPr>
          <w:vertAlign w:val="subscript"/>
        </w:rPr>
        <w:t>Pd</w:t>
      </w:r>
      <w:r w:rsidR="00720481" w:rsidRPr="00042CE0">
        <w:rPr>
          <w:rFonts w:ascii="Times New Roman" w:hAnsi="Times New Roman" w:cs="Times New Roman"/>
          <w:vertAlign w:val="superscript"/>
        </w:rPr>
        <w:t>−</w:t>
      </w:r>
      <w:r w:rsidR="00720481" w:rsidRPr="00042CE0">
        <w:rPr>
          <w:rFonts w:hint="eastAsia"/>
          <w:vertAlign w:val="superscript"/>
        </w:rPr>
        <w:t>1</w:t>
      </w:r>
      <w:r w:rsidR="00720481" w:rsidRPr="00042CE0">
        <w:t>, respectively. T</w:t>
      </w:r>
      <w:r w:rsidR="001B43D2" w:rsidRPr="00042CE0">
        <w:t xml:space="preserve">he copper dissolution </w:t>
      </w:r>
      <w:r w:rsidR="00674B0D" w:rsidRPr="00042CE0">
        <w:t>increased the specific activity</w:t>
      </w:r>
      <w:r w:rsidR="00095C05" w:rsidRPr="00042CE0">
        <w:t xml:space="preserve"> of </w:t>
      </w:r>
      <w:r w:rsidR="001B43D2" w:rsidRPr="00042CE0">
        <w:t xml:space="preserve">the </w:t>
      </w:r>
      <w:r w:rsidR="00095C05" w:rsidRPr="00042CE0">
        <w:t>BNP-</w:t>
      </w:r>
      <w:proofErr w:type="spellStart"/>
      <w:r w:rsidR="00095C05" w:rsidRPr="00042CE0">
        <w:t>P</w:t>
      </w:r>
      <w:r w:rsidR="00985A7F" w:rsidRPr="00042CE0">
        <w:t>d</w:t>
      </w:r>
      <w:r w:rsidR="00A33AB5" w:rsidRPr="00A33AB5">
        <w:rPr>
          <w:highlight w:val="yellow"/>
        </w:rPr>
        <w:t>Cu</w:t>
      </w:r>
      <w:proofErr w:type="spellEnd"/>
      <w:r w:rsidR="00674B0D" w:rsidRPr="00042CE0">
        <w:t xml:space="preserve">. </w:t>
      </w:r>
      <w:r w:rsidR="001B43D2" w:rsidRPr="00042CE0">
        <w:t xml:space="preserve">A higher </w:t>
      </w:r>
      <w:r w:rsidR="00095C05" w:rsidRPr="00042CE0">
        <w:t>activity per ECSA</w:t>
      </w:r>
      <w:r w:rsidR="001B43D2" w:rsidRPr="00042CE0">
        <w:t xml:space="preserve"> (</w:t>
      </w:r>
      <w:r w:rsidR="00095C05" w:rsidRPr="00042CE0">
        <w:t xml:space="preserve">not per mass </w:t>
      </w:r>
      <w:r w:rsidR="001B43D2" w:rsidRPr="00042CE0">
        <w:t xml:space="preserve">or </w:t>
      </w:r>
      <w:r w:rsidR="00095C05" w:rsidRPr="00042CE0">
        <w:t>geometric area</w:t>
      </w:r>
      <w:r w:rsidR="001B43D2" w:rsidRPr="00042CE0">
        <w:t xml:space="preserve">) </w:t>
      </w:r>
      <w:r w:rsidR="00095C05" w:rsidRPr="00042CE0">
        <w:t>for BNP-</w:t>
      </w:r>
      <w:proofErr w:type="spellStart"/>
      <w:r w:rsidR="00095C05" w:rsidRPr="00042CE0">
        <w:t>P</w:t>
      </w:r>
      <w:r w:rsidR="00985A7F" w:rsidRPr="00042CE0">
        <w:t>d</w:t>
      </w:r>
      <w:r w:rsidR="00A33AB5" w:rsidRPr="00A33AB5">
        <w:rPr>
          <w:highlight w:val="yellow"/>
        </w:rPr>
        <w:t>Cu</w:t>
      </w:r>
      <w:proofErr w:type="spellEnd"/>
      <w:r w:rsidR="00095C05" w:rsidRPr="00042CE0">
        <w:t xml:space="preserve"> after </w:t>
      </w:r>
      <w:r w:rsidR="001B43D2" w:rsidRPr="00042CE0">
        <w:t xml:space="preserve">copper </w:t>
      </w:r>
      <w:r w:rsidR="00095C05" w:rsidRPr="00042CE0">
        <w:t xml:space="preserve">dissolution </w:t>
      </w:r>
      <w:r w:rsidR="00F722A0" w:rsidRPr="00042CE0">
        <w:t>mean</w:t>
      </w:r>
      <w:r w:rsidR="00F722A0">
        <w:t>t</w:t>
      </w:r>
      <w:r w:rsidR="00F722A0" w:rsidRPr="00042CE0">
        <w:t xml:space="preserve"> </w:t>
      </w:r>
      <w:r w:rsidR="00674B0D" w:rsidRPr="00042CE0">
        <w:t xml:space="preserve">that the </w:t>
      </w:r>
      <w:r w:rsidR="00B530C4" w:rsidRPr="00042CE0">
        <w:t xml:space="preserve">copper dissolution </w:t>
      </w:r>
      <w:r w:rsidR="00F722A0" w:rsidRPr="00042CE0">
        <w:t>enhance</w:t>
      </w:r>
      <w:r w:rsidR="00F722A0">
        <w:t>d</w:t>
      </w:r>
      <w:r w:rsidR="00F722A0" w:rsidRPr="00042CE0">
        <w:t xml:space="preserve"> </w:t>
      </w:r>
      <w:r w:rsidR="00B530C4" w:rsidRPr="00042CE0">
        <w:t xml:space="preserve">the </w:t>
      </w:r>
      <w:r w:rsidR="00095C05" w:rsidRPr="00042CE0">
        <w:t xml:space="preserve">intrinsic </w:t>
      </w:r>
      <w:r w:rsidR="00B530C4" w:rsidRPr="00042CE0">
        <w:t xml:space="preserve">ORR </w:t>
      </w:r>
      <w:r w:rsidR="00674B0D" w:rsidRPr="00042CE0">
        <w:t xml:space="preserve">catalytic nature of </w:t>
      </w:r>
      <w:r w:rsidR="001B43D2" w:rsidRPr="00042CE0">
        <w:t xml:space="preserve">the </w:t>
      </w:r>
      <w:r w:rsidR="00985A7F" w:rsidRPr="00042CE0">
        <w:t>palladium</w:t>
      </w:r>
      <w:r w:rsidR="00674B0D" w:rsidRPr="00042CE0">
        <w:t>.</w:t>
      </w:r>
    </w:p>
    <w:p w14:paraId="022BAACE" w14:textId="1249C57E" w:rsidR="002A1EF3" w:rsidRPr="00042CE0" w:rsidRDefault="002A1EF3" w:rsidP="002A1EF3">
      <w:pPr>
        <w:pStyle w:val="1"/>
        <w:spacing w:after="240"/>
      </w:pPr>
      <w:r w:rsidRPr="00042CE0">
        <w:t>Discussion</w:t>
      </w:r>
    </w:p>
    <w:p w14:paraId="066ABC02" w14:textId="65C10F31" w:rsidR="00802EE9" w:rsidRPr="00042CE0" w:rsidRDefault="00546640" w:rsidP="00F311A1">
      <w:pPr>
        <w:spacing w:after="240"/>
        <w:rPr>
          <w:szCs w:val="24"/>
        </w:rPr>
      </w:pPr>
      <w:r w:rsidRPr="00042CE0">
        <w:t xml:space="preserve">In </w:t>
      </w:r>
      <w:r w:rsidR="00F722A0">
        <w:t xml:space="preserve">the </w:t>
      </w:r>
      <w:r w:rsidRPr="00042CE0">
        <w:t>case of platinum, which has been examined intensively in previous studies, l</w:t>
      </w:r>
      <w:r w:rsidR="006B6DF0" w:rsidRPr="00042CE0">
        <w:t xml:space="preserve">attice straining affects </w:t>
      </w:r>
      <w:r w:rsidR="001B43D2" w:rsidRPr="00042CE0">
        <w:t xml:space="preserve">the </w:t>
      </w:r>
      <w:r w:rsidR="006B6DF0" w:rsidRPr="00042CE0">
        <w:t xml:space="preserve">overall catalytic performance </w:t>
      </w:r>
      <w:r w:rsidRPr="00042CE0">
        <w:t xml:space="preserve">for ORR </w:t>
      </w:r>
      <w:r w:rsidR="006B6DF0" w:rsidRPr="00042CE0">
        <w:t xml:space="preserve">in </w:t>
      </w:r>
      <w:proofErr w:type="gramStart"/>
      <w:r w:rsidRPr="00042CE0">
        <w:t>platinum</w:t>
      </w:r>
      <w:r w:rsidR="00034113" w:rsidRPr="00042CE0">
        <w:t>;</w:t>
      </w:r>
      <w:r w:rsidR="00034113" w:rsidRPr="00042CE0">
        <w:rPr>
          <w:vertAlign w:val="superscript"/>
        </w:rPr>
        <w:t>[</w:t>
      </w:r>
      <w:proofErr w:type="gramEnd"/>
      <w:r w:rsidR="00034113" w:rsidRPr="00042CE0">
        <w:rPr>
          <w:vertAlign w:val="superscript"/>
        </w:rPr>
        <w:t>3</w:t>
      </w:r>
      <w:r w:rsidR="008F2ACE">
        <w:rPr>
          <w:vertAlign w:val="superscript"/>
        </w:rPr>
        <w:t>2</w:t>
      </w:r>
      <w:r w:rsidR="00034113" w:rsidRPr="00042CE0">
        <w:rPr>
          <w:vertAlign w:val="superscript"/>
        </w:rPr>
        <w:t>–</w:t>
      </w:r>
      <w:r w:rsidR="008F2ACE">
        <w:rPr>
          <w:vertAlign w:val="superscript"/>
        </w:rPr>
        <w:t>3</w:t>
      </w:r>
      <w:r w:rsidR="00521773" w:rsidRPr="00042CE0">
        <w:rPr>
          <w:vertAlign w:val="superscript"/>
        </w:rPr>
        <w:t>4</w:t>
      </w:r>
      <w:r w:rsidR="00034113" w:rsidRPr="00042CE0">
        <w:rPr>
          <w:vertAlign w:val="superscript"/>
        </w:rPr>
        <w:t>]</w:t>
      </w:r>
      <w:r w:rsidRPr="00042CE0">
        <w:t xml:space="preserve"> lattice contraction is favorable for efficient ORR catalysis on platinum</w:t>
      </w:r>
      <w:r w:rsidR="00034113" w:rsidRPr="00042CE0">
        <w:t>.</w:t>
      </w:r>
      <w:r w:rsidR="00034113" w:rsidRPr="00042CE0">
        <w:rPr>
          <w:vertAlign w:val="superscript"/>
        </w:rPr>
        <w:t>[3</w:t>
      </w:r>
      <w:r w:rsidR="008F2ACE">
        <w:rPr>
          <w:vertAlign w:val="superscript"/>
        </w:rPr>
        <w:t>2</w:t>
      </w:r>
      <w:r w:rsidR="00034113" w:rsidRPr="00042CE0">
        <w:rPr>
          <w:vertAlign w:val="superscript"/>
        </w:rPr>
        <w:t>]</w:t>
      </w:r>
      <w:r w:rsidRPr="00042CE0">
        <w:t xml:space="preserve"> However, it has been reported that both lattice contraction</w:t>
      </w:r>
      <w:r w:rsidR="00D36EE9" w:rsidRPr="00042CE0">
        <w:rPr>
          <w:vertAlign w:val="superscript"/>
        </w:rPr>
        <w:t>[</w:t>
      </w:r>
      <w:r w:rsidR="008F2ACE">
        <w:rPr>
          <w:vertAlign w:val="superscript"/>
        </w:rPr>
        <w:t>35</w:t>
      </w:r>
      <w:r w:rsidR="00D36EE9" w:rsidRPr="00042CE0">
        <w:rPr>
          <w:vertAlign w:val="superscript"/>
        </w:rPr>
        <w:t>–</w:t>
      </w:r>
      <w:r w:rsidR="008F2ACE">
        <w:rPr>
          <w:vertAlign w:val="superscript"/>
        </w:rPr>
        <w:t>37</w:t>
      </w:r>
      <w:r w:rsidR="00D36EE9" w:rsidRPr="00042CE0">
        <w:rPr>
          <w:vertAlign w:val="superscript"/>
        </w:rPr>
        <w:t>]</w:t>
      </w:r>
      <w:r w:rsidRPr="00042CE0">
        <w:t xml:space="preserve"> and expansion</w:t>
      </w:r>
      <w:r w:rsidR="00D36EE9" w:rsidRPr="00042CE0">
        <w:rPr>
          <w:vertAlign w:val="superscript"/>
        </w:rPr>
        <w:t>[</w:t>
      </w:r>
      <w:r w:rsidR="008F2ACE">
        <w:rPr>
          <w:vertAlign w:val="superscript"/>
        </w:rPr>
        <w:t>27</w:t>
      </w:r>
      <w:r w:rsidR="00D36EE9" w:rsidRPr="00042CE0">
        <w:rPr>
          <w:vertAlign w:val="superscript"/>
        </w:rPr>
        <w:t>]</w:t>
      </w:r>
      <w:r w:rsidRPr="00042CE0">
        <w:t xml:space="preserve"> in palladium catalysts enhances </w:t>
      </w:r>
      <w:r w:rsidR="00F722A0">
        <w:t xml:space="preserve">the </w:t>
      </w:r>
      <w:r w:rsidRPr="00042CE0">
        <w:t>overall catalytic performance for ORR.</w:t>
      </w:r>
      <w:r w:rsidRPr="00042CE0">
        <w:rPr>
          <w:szCs w:val="24"/>
        </w:rPr>
        <w:t xml:space="preserve"> XRD analyses revealed that the </w:t>
      </w:r>
      <w:r w:rsidR="00D36EE9" w:rsidRPr="00042CE0">
        <w:rPr>
          <w:szCs w:val="24"/>
        </w:rPr>
        <w:t xml:space="preserve">apparent </w:t>
      </w:r>
      <w:r w:rsidRPr="00042CE0">
        <w:rPr>
          <w:szCs w:val="24"/>
        </w:rPr>
        <w:t>lattice constants of palladium in BNP-</w:t>
      </w:r>
      <w:proofErr w:type="spellStart"/>
      <w:r w:rsidRPr="00042CE0">
        <w:rPr>
          <w:szCs w:val="24"/>
        </w:rPr>
        <w:t>Pd</w:t>
      </w:r>
      <w:r w:rsidR="00A33AB5" w:rsidRPr="00A33AB5">
        <w:rPr>
          <w:szCs w:val="24"/>
          <w:highlight w:val="yellow"/>
        </w:rPr>
        <w:t>Cu</w:t>
      </w:r>
      <w:proofErr w:type="spellEnd"/>
      <w:r w:rsidRPr="00042CE0">
        <w:rPr>
          <w:szCs w:val="24"/>
        </w:rPr>
        <w:t xml:space="preserve"> </w:t>
      </w:r>
      <w:r w:rsidR="00F722A0">
        <w:rPr>
          <w:szCs w:val="24"/>
        </w:rPr>
        <w:t>are</w:t>
      </w:r>
      <w:r w:rsidR="00F722A0" w:rsidRPr="00042CE0">
        <w:rPr>
          <w:szCs w:val="24"/>
        </w:rPr>
        <w:t xml:space="preserve"> </w:t>
      </w:r>
      <w:r w:rsidRPr="00042CE0">
        <w:rPr>
          <w:szCs w:val="24"/>
        </w:rPr>
        <w:t xml:space="preserve">close to those for bulk palladium (Table </w:t>
      </w:r>
      <w:r w:rsidR="00E1307D" w:rsidRPr="00E1307D">
        <w:rPr>
          <w:szCs w:val="24"/>
          <w:highlight w:val="yellow"/>
        </w:rPr>
        <w:t>I</w:t>
      </w:r>
      <w:r w:rsidRPr="00042CE0">
        <w:rPr>
          <w:szCs w:val="24"/>
        </w:rPr>
        <w:t>)</w:t>
      </w:r>
      <w:r w:rsidR="00376B37" w:rsidRPr="00042CE0">
        <w:rPr>
          <w:szCs w:val="24"/>
        </w:rPr>
        <w:t>,</w:t>
      </w:r>
      <w:r w:rsidR="00F722A0">
        <w:rPr>
          <w:szCs w:val="24"/>
        </w:rPr>
        <w:t xml:space="preserve"> which is</w:t>
      </w:r>
      <w:r w:rsidR="00376B37" w:rsidRPr="00042CE0">
        <w:rPr>
          <w:szCs w:val="24"/>
        </w:rPr>
        <w:t xml:space="preserve"> in contrast with the case of BNP-</w:t>
      </w:r>
      <w:proofErr w:type="gramStart"/>
      <w:r w:rsidR="00376B37" w:rsidRPr="00042CE0">
        <w:rPr>
          <w:szCs w:val="24"/>
        </w:rPr>
        <w:t>Pt</w:t>
      </w:r>
      <w:r w:rsidR="00376B37" w:rsidRPr="00042CE0">
        <w:rPr>
          <w:szCs w:val="24"/>
          <w:vertAlign w:val="superscript"/>
        </w:rPr>
        <w:t>[</w:t>
      </w:r>
      <w:proofErr w:type="gramEnd"/>
      <w:r w:rsidR="0061722C" w:rsidRPr="00042CE0">
        <w:rPr>
          <w:szCs w:val="24"/>
          <w:vertAlign w:val="superscript"/>
        </w:rPr>
        <w:t>2</w:t>
      </w:r>
      <w:r w:rsidR="008F2ACE">
        <w:rPr>
          <w:szCs w:val="24"/>
          <w:vertAlign w:val="superscript"/>
        </w:rPr>
        <w:t>3</w:t>
      </w:r>
      <w:r w:rsidR="00376B37" w:rsidRPr="00042CE0">
        <w:rPr>
          <w:szCs w:val="24"/>
          <w:vertAlign w:val="superscript"/>
        </w:rPr>
        <w:t>]</w:t>
      </w:r>
      <w:r w:rsidRPr="00042CE0">
        <w:rPr>
          <w:szCs w:val="24"/>
        </w:rPr>
        <w:t>. However, HR-TEM of BNP-</w:t>
      </w:r>
      <w:proofErr w:type="spellStart"/>
      <w:r w:rsidRPr="00042CE0">
        <w:rPr>
          <w:szCs w:val="24"/>
        </w:rPr>
        <w:t>Pd</w:t>
      </w:r>
      <w:r w:rsidR="00A33AB5" w:rsidRPr="00A33AB5">
        <w:rPr>
          <w:szCs w:val="24"/>
          <w:highlight w:val="yellow"/>
        </w:rPr>
        <w:t>Cu</w:t>
      </w:r>
      <w:proofErr w:type="spellEnd"/>
      <w:r w:rsidRPr="00042CE0">
        <w:rPr>
          <w:szCs w:val="24"/>
        </w:rPr>
        <w:t xml:space="preserve"> showed significant local lattice </w:t>
      </w:r>
      <w:r w:rsidR="00D36EE9" w:rsidRPr="00042CE0">
        <w:rPr>
          <w:szCs w:val="24"/>
        </w:rPr>
        <w:t>contraction at ligament surfaces</w:t>
      </w:r>
      <w:r w:rsidRPr="00042CE0">
        <w:rPr>
          <w:szCs w:val="24"/>
        </w:rPr>
        <w:t xml:space="preserve">, as </w:t>
      </w:r>
      <w:r w:rsidR="00D36EE9" w:rsidRPr="00042CE0">
        <w:rPr>
          <w:szCs w:val="24"/>
        </w:rPr>
        <w:t xml:space="preserve">exemplified </w:t>
      </w:r>
      <w:r w:rsidRPr="00042CE0">
        <w:rPr>
          <w:szCs w:val="24"/>
        </w:rPr>
        <w:t xml:space="preserve">in Fig. </w:t>
      </w:r>
      <w:r w:rsidR="00776284">
        <w:rPr>
          <w:szCs w:val="24"/>
        </w:rPr>
        <w:t>2(d)</w:t>
      </w:r>
      <w:r w:rsidRPr="00042CE0">
        <w:rPr>
          <w:szCs w:val="24"/>
        </w:rPr>
        <w:t>.</w:t>
      </w:r>
      <w:r w:rsidR="00D5662A" w:rsidRPr="00042CE0">
        <w:rPr>
          <w:szCs w:val="24"/>
        </w:rPr>
        <w:t xml:space="preserve"> That is,</w:t>
      </w:r>
      <w:r w:rsidR="00F722A0">
        <w:rPr>
          <w:szCs w:val="24"/>
        </w:rPr>
        <w:t xml:space="preserve"> the</w:t>
      </w:r>
      <w:r w:rsidR="00D5662A" w:rsidRPr="00042CE0">
        <w:rPr>
          <w:szCs w:val="24"/>
        </w:rPr>
        <w:t xml:space="preserve"> lattice spacing at the surface of ligaments is smaller than that in the bulk part of ligaments. This lattice disorder at the surface of </w:t>
      </w:r>
      <w:proofErr w:type="spellStart"/>
      <w:r w:rsidR="00D5662A" w:rsidRPr="00042CE0">
        <w:rPr>
          <w:szCs w:val="24"/>
        </w:rPr>
        <w:t>nanoligaments</w:t>
      </w:r>
      <w:proofErr w:type="spellEnd"/>
      <w:r w:rsidR="00D5662A" w:rsidRPr="00042CE0">
        <w:rPr>
          <w:szCs w:val="24"/>
        </w:rPr>
        <w:t xml:space="preserve"> is often </w:t>
      </w:r>
      <w:r w:rsidR="00F722A0">
        <w:rPr>
          <w:szCs w:val="24"/>
        </w:rPr>
        <w:t>observed</w:t>
      </w:r>
      <w:r w:rsidR="00F722A0" w:rsidRPr="00042CE0">
        <w:rPr>
          <w:szCs w:val="24"/>
        </w:rPr>
        <w:t xml:space="preserve"> </w:t>
      </w:r>
      <w:r w:rsidR="00D5662A" w:rsidRPr="00042CE0">
        <w:rPr>
          <w:szCs w:val="24"/>
        </w:rPr>
        <w:t xml:space="preserve">in </w:t>
      </w:r>
      <w:proofErr w:type="spellStart"/>
      <w:r w:rsidR="00D5662A" w:rsidRPr="00042CE0">
        <w:rPr>
          <w:szCs w:val="24"/>
        </w:rPr>
        <w:t>nanoporous</w:t>
      </w:r>
      <w:proofErr w:type="spellEnd"/>
      <w:r w:rsidR="00D5662A" w:rsidRPr="00042CE0">
        <w:rPr>
          <w:szCs w:val="24"/>
        </w:rPr>
        <w:t xml:space="preserve"> metals and </w:t>
      </w:r>
      <w:r w:rsidR="00F722A0">
        <w:rPr>
          <w:szCs w:val="24"/>
        </w:rPr>
        <w:t xml:space="preserve">is </w:t>
      </w:r>
      <w:r w:rsidR="00D5662A" w:rsidRPr="00042CE0">
        <w:rPr>
          <w:szCs w:val="24"/>
        </w:rPr>
        <w:t xml:space="preserve">attributed to the complex three-dimensional nanostructure with positive and negative </w:t>
      </w:r>
      <w:proofErr w:type="gramStart"/>
      <w:r w:rsidR="00D5662A" w:rsidRPr="00042CE0">
        <w:rPr>
          <w:szCs w:val="24"/>
        </w:rPr>
        <w:lastRenderedPageBreak/>
        <w:t>curvatures.</w:t>
      </w:r>
      <w:r w:rsidR="00C44DB6" w:rsidRPr="00042CE0">
        <w:rPr>
          <w:szCs w:val="24"/>
          <w:vertAlign w:val="superscript"/>
        </w:rPr>
        <w:t>[</w:t>
      </w:r>
      <w:proofErr w:type="gramEnd"/>
      <w:r w:rsidR="008F2ACE">
        <w:rPr>
          <w:szCs w:val="24"/>
          <w:vertAlign w:val="superscript"/>
        </w:rPr>
        <w:t>18,19,22</w:t>
      </w:r>
      <w:r w:rsidR="00C44DB6" w:rsidRPr="00042CE0">
        <w:rPr>
          <w:szCs w:val="24"/>
          <w:vertAlign w:val="superscript"/>
        </w:rPr>
        <w:t>]</w:t>
      </w:r>
      <w:r w:rsidR="00D5662A" w:rsidRPr="00042CE0">
        <w:rPr>
          <w:szCs w:val="24"/>
        </w:rPr>
        <w:t xml:space="preserve"> The present BNP-</w:t>
      </w:r>
      <w:proofErr w:type="spellStart"/>
      <w:r w:rsidR="00D5662A" w:rsidRPr="00042CE0">
        <w:rPr>
          <w:szCs w:val="24"/>
        </w:rPr>
        <w:t>Pd</w:t>
      </w:r>
      <w:r w:rsidR="00A33AB5" w:rsidRPr="00A33AB5">
        <w:rPr>
          <w:szCs w:val="24"/>
          <w:highlight w:val="yellow"/>
        </w:rPr>
        <w:t>Cu</w:t>
      </w:r>
      <w:proofErr w:type="spellEnd"/>
      <w:r w:rsidR="00D5662A" w:rsidRPr="00042CE0">
        <w:rPr>
          <w:szCs w:val="24"/>
        </w:rPr>
        <w:t xml:space="preserve"> is replicated from NP-Cu; therefore, the lattice disorder is likely to be </w:t>
      </w:r>
      <w:r w:rsidR="00234280" w:rsidRPr="00042CE0">
        <w:rPr>
          <w:szCs w:val="24"/>
        </w:rPr>
        <w:t>prominent</w:t>
      </w:r>
      <w:r w:rsidR="00D5662A" w:rsidRPr="00042CE0">
        <w:rPr>
          <w:szCs w:val="24"/>
        </w:rPr>
        <w:t>, considering the increased complexity in the replicated BNP structure.</w:t>
      </w:r>
    </w:p>
    <w:p w14:paraId="7F1067CA" w14:textId="53CA2A49" w:rsidR="00F271C5" w:rsidRPr="00042CE0" w:rsidRDefault="000E03CB" w:rsidP="00F311A1">
      <w:pPr>
        <w:spacing w:after="240"/>
        <w:rPr>
          <w:szCs w:val="24"/>
        </w:rPr>
      </w:pPr>
      <w:r w:rsidRPr="00042CE0">
        <w:rPr>
          <w:szCs w:val="24"/>
        </w:rPr>
        <w:t xml:space="preserve">It </w:t>
      </w:r>
      <w:r w:rsidR="007F08BC" w:rsidRPr="00042CE0">
        <w:rPr>
          <w:szCs w:val="24"/>
        </w:rPr>
        <w:t>is</w:t>
      </w:r>
      <w:r w:rsidR="00F722A0">
        <w:rPr>
          <w:szCs w:val="24"/>
        </w:rPr>
        <w:t xml:space="preserve"> </w:t>
      </w:r>
      <w:r w:rsidRPr="00042CE0">
        <w:rPr>
          <w:szCs w:val="24"/>
        </w:rPr>
        <w:t xml:space="preserve">known that the binding </w:t>
      </w:r>
      <w:r w:rsidR="00F87E06" w:rsidRPr="00042CE0">
        <w:rPr>
          <w:rFonts w:hint="eastAsia"/>
          <w:szCs w:val="24"/>
        </w:rPr>
        <w:t xml:space="preserve">of </w:t>
      </w:r>
      <w:r w:rsidR="00F87E06" w:rsidRPr="00042CE0">
        <w:rPr>
          <w:szCs w:val="24"/>
        </w:rPr>
        <w:t>oxygen</w:t>
      </w:r>
      <w:r w:rsidR="00F87E06" w:rsidRPr="00042CE0">
        <w:rPr>
          <w:rFonts w:hint="eastAsia"/>
          <w:szCs w:val="24"/>
        </w:rPr>
        <w:t xml:space="preserve"> species </w:t>
      </w:r>
      <w:r w:rsidR="00C10616" w:rsidRPr="00042CE0">
        <w:rPr>
          <w:szCs w:val="24"/>
        </w:rPr>
        <w:t>to</w:t>
      </w:r>
      <w:r w:rsidRPr="00042CE0">
        <w:rPr>
          <w:szCs w:val="24"/>
        </w:rPr>
        <w:t xml:space="preserve"> </w:t>
      </w:r>
      <w:proofErr w:type="spellStart"/>
      <w:r w:rsidRPr="00042CE0">
        <w:rPr>
          <w:szCs w:val="24"/>
        </w:rPr>
        <w:t>Pd</w:t>
      </w:r>
      <w:proofErr w:type="spellEnd"/>
      <w:r w:rsidRPr="00042CE0">
        <w:rPr>
          <w:szCs w:val="24"/>
        </w:rPr>
        <w:t xml:space="preserve"> surfaces is too strong</w:t>
      </w:r>
      <w:r w:rsidR="00F87E06" w:rsidRPr="00042CE0">
        <w:rPr>
          <w:szCs w:val="24"/>
        </w:rPr>
        <w:t xml:space="preserve"> and it is difficult to</w:t>
      </w:r>
      <w:r w:rsidRPr="00042CE0">
        <w:rPr>
          <w:szCs w:val="24"/>
        </w:rPr>
        <w:t xml:space="preserve"> </w:t>
      </w:r>
      <w:r w:rsidR="009426EE" w:rsidRPr="00042CE0">
        <w:rPr>
          <w:szCs w:val="24"/>
        </w:rPr>
        <w:t>cause</w:t>
      </w:r>
      <w:r w:rsidRPr="00042CE0">
        <w:rPr>
          <w:szCs w:val="24"/>
        </w:rPr>
        <w:t xml:space="preserve"> further reduction of </w:t>
      </w:r>
      <w:r w:rsidR="00F722A0" w:rsidRPr="00042CE0">
        <w:rPr>
          <w:szCs w:val="24"/>
        </w:rPr>
        <w:t xml:space="preserve">the </w:t>
      </w:r>
      <w:r w:rsidR="00F87E06" w:rsidRPr="00042CE0">
        <w:rPr>
          <w:szCs w:val="24"/>
        </w:rPr>
        <w:t>oxygen</w:t>
      </w:r>
      <w:r w:rsidR="00F87E06" w:rsidRPr="00042CE0">
        <w:rPr>
          <w:rFonts w:hint="eastAsia"/>
          <w:szCs w:val="24"/>
        </w:rPr>
        <w:t xml:space="preserve"> species</w:t>
      </w:r>
      <w:r w:rsidRPr="00042CE0">
        <w:rPr>
          <w:szCs w:val="24"/>
        </w:rPr>
        <w:t xml:space="preserve"> to form water</w:t>
      </w:r>
      <w:r w:rsidR="009426EE" w:rsidRPr="00042CE0">
        <w:rPr>
          <w:szCs w:val="24"/>
        </w:rPr>
        <w:t xml:space="preserve"> on </w:t>
      </w:r>
      <w:proofErr w:type="spellStart"/>
      <w:r w:rsidR="009426EE" w:rsidRPr="00042CE0">
        <w:rPr>
          <w:szCs w:val="24"/>
        </w:rPr>
        <w:t>Pd</w:t>
      </w:r>
      <w:proofErr w:type="spellEnd"/>
      <w:r w:rsidR="009426EE" w:rsidRPr="00042CE0">
        <w:rPr>
          <w:szCs w:val="24"/>
        </w:rPr>
        <w:t xml:space="preserve"> </w:t>
      </w:r>
      <w:proofErr w:type="gramStart"/>
      <w:r w:rsidR="009426EE" w:rsidRPr="00042CE0">
        <w:rPr>
          <w:szCs w:val="24"/>
        </w:rPr>
        <w:t>surfaces</w:t>
      </w:r>
      <w:r w:rsidR="007F08BC" w:rsidRPr="00042CE0">
        <w:rPr>
          <w:szCs w:val="24"/>
        </w:rPr>
        <w:t>.</w:t>
      </w:r>
      <w:r w:rsidR="006C655A" w:rsidRPr="00042CE0">
        <w:rPr>
          <w:szCs w:val="24"/>
          <w:vertAlign w:val="superscript"/>
        </w:rPr>
        <w:t>[</w:t>
      </w:r>
      <w:proofErr w:type="gramEnd"/>
      <w:r w:rsidR="006C655A" w:rsidRPr="00042CE0">
        <w:rPr>
          <w:szCs w:val="24"/>
          <w:vertAlign w:val="superscript"/>
        </w:rPr>
        <w:t>4</w:t>
      </w:r>
      <w:r w:rsidR="0061722C" w:rsidRPr="00042CE0">
        <w:rPr>
          <w:szCs w:val="24"/>
          <w:vertAlign w:val="superscript"/>
        </w:rPr>
        <w:t>6</w:t>
      </w:r>
      <w:r w:rsidR="006C655A" w:rsidRPr="00042CE0">
        <w:rPr>
          <w:szCs w:val="24"/>
          <w:vertAlign w:val="superscript"/>
        </w:rPr>
        <w:t>,4</w:t>
      </w:r>
      <w:r w:rsidR="0061722C" w:rsidRPr="00042CE0">
        <w:rPr>
          <w:szCs w:val="24"/>
          <w:vertAlign w:val="superscript"/>
        </w:rPr>
        <w:t>7</w:t>
      </w:r>
      <w:r w:rsidR="006C655A" w:rsidRPr="00042CE0">
        <w:rPr>
          <w:szCs w:val="24"/>
          <w:vertAlign w:val="superscript"/>
        </w:rPr>
        <w:t>]</w:t>
      </w:r>
      <w:r w:rsidR="007F08BC" w:rsidRPr="00042CE0">
        <w:rPr>
          <w:szCs w:val="24"/>
        </w:rPr>
        <w:t xml:space="preserve"> Therefore,</w:t>
      </w:r>
      <w:r w:rsidRPr="00042CE0">
        <w:rPr>
          <w:szCs w:val="24"/>
        </w:rPr>
        <w:t xml:space="preserve"> </w:t>
      </w:r>
      <w:r w:rsidR="00F722A0">
        <w:rPr>
          <w:szCs w:val="24"/>
        </w:rPr>
        <w:t>a</w:t>
      </w:r>
      <w:r w:rsidR="00F722A0" w:rsidRPr="00042CE0">
        <w:rPr>
          <w:szCs w:val="24"/>
        </w:rPr>
        <w:t xml:space="preserve"> </w:t>
      </w:r>
      <w:r w:rsidRPr="00042CE0">
        <w:rPr>
          <w:szCs w:val="24"/>
        </w:rPr>
        <w:t xml:space="preserve">weak oxygen binding is desirable to balance the rates of electron transfer/O−O bond breaking and removal of O species from </w:t>
      </w:r>
      <w:proofErr w:type="spellStart"/>
      <w:r w:rsidRPr="00042CE0">
        <w:rPr>
          <w:szCs w:val="24"/>
        </w:rPr>
        <w:t>Pd</w:t>
      </w:r>
      <w:proofErr w:type="spellEnd"/>
      <w:r w:rsidRPr="00042CE0">
        <w:rPr>
          <w:szCs w:val="24"/>
        </w:rPr>
        <w:t xml:space="preserve"> surfaces.</w:t>
      </w:r>
      <w:r w:rsidR="006C655A" w:rsidRPr="00042CE0">
        <w:rPr>
          <w:szCs w:val="24"/>
          <w:vertAlign w:val="superscript"/>
        </w:rPr>
        <w:t>[</w:t>
      </w:r>
      <w:r w:rsidR="00053DC7">
        <w:rPr>
          <w:szCs w:val="24"/>
          <w:vertAlign w:val="superscript"/>
        </w:rPr>
        <w:t>27</w:t>
      </w:r>
      <w:r w:rsidR="006C655A" w:rsidRPr="00042CE0">
        <w:rPr>
          <w:szCs w:val="24"/>
          <w:vertAlign w:val="superscript"/>
        </w:rPr>
        <w:t>]</w:t>
      </w:r>
      <w:r w:rsidR="007F08BC" w:rsidRPr="00042CE0">
        <w:rPr>
          <w:szCs w:val="24"/>
        </w:rPr>
        <w:t xml:space="preserve"> As shown above, </w:t>
      </w:r>
      <w:r w:rsidR="007F08BC" w:rsidRPr="00042CE0">
        <w:t xml:space="preserve">Cu remained on the </w:t>
      </w:r>
      <w:r w:rsidR="007F08BC" w:rsidRPr="00042CE0">
        <w:rPr>
          <w:szCs w:val="24"/>
        </w:rPr>
        <w:t>BNP-</w:t>
      </w:r>
      <w:proofErr w:type="spellStart"/>
      <w:r w:rsidR="007F08BC" w:rsidRPr="00042CE0">
        <w:rPr>
          <w:szCs w:val="24"/>
        </w:rPr>
        <w:t>Pd</w:t>
      </w:r>
      <w:r w:rsidR="00A33AB5" w:rsidRPr="00A33AB5">
        <w:rPr>
          <w:szCs w:val="24"/>
          <w:highlight w:val="yellow"/>
        </w:rPr>
        <w:t>Cu</w:t>
      </w:r>
      <w:proofErr w:type="spellEnd"/>
      <w:r w:rsidR="007F08BC" w:rsidRPr="00042CE0">
        <w:rPr>
          <w:szCs w:val="24"/>
        </w:rPr>
        <w:t xml:space="preserve"> </w:t>
      </w:r>
      <w:r w:rsidR="007F08BC" w:rsidRPr="00042CE0">
        <w:t>surface even after dissolution by HNO</w:t>
      </w:r>
      <w:r w:rsidR="007F08BC" w:rsidRPr="00042CE0">
        <w:rPr>
          <w:vertAlign w:val="subscript"/>
        </w:rPr>
        <w:t>3</w:t>
      </w:r>
      <w:r w:rsidR="007F08BC" w:rsidRPr="00042CE0">
        <w:t xml:space="preserve">, in addition, </w:t>
      </w:r>
      <w:r w:rsidR="00F722A0">
        <w:rPr>
          <w:szCs w:val="24"/>
        </w:rPr>
        <w:t>a</w:t>
      </w:r>
      <w:r w:rsidR="00F722A0" w:rsidRPr="00042CE0">
        <w:rPr>
          <w:szCs w:val="24"/>
        </w:rPr>
        <w:t xml:space="preserve"> </w:t>
      </w:r>
      <w:r w:rsidR="007F08BC" w:rsidRPr="00042CE0">
        <w:rPr>
          <w:szCs w:val="24"/>
        </w:rPr>
        <w:t xml:space="preserve">lattice disorder was generated at </w:t>
      </w:r>
      <w:r w:rsidR="006976AE" w:rsidRPr="00042CE0">
        <w:rPr>
          <w:szCs w:val="24"/>
        </w:rPr>
        <w:t>its</w:t>
      </w:r>
      <w:r w:rsidR="007F08BC" w:rsidRPr="00042CE0">
        <w:rPr>
          <w:szCs w:val="24"/>
        </w:rPr>
        <w:t xml:space="preserve"> su</w:t>
      </w:r>
      <w:r w:rsidR="00785AA5" w:rsidRPr="00042CE0">
        <w:rPr>
          <w:szCs w:val="24"/>
        </w:rPr>
        <w:t>rface. Therefore</w:t>
      </w:r>
      <w:r w:rsidR="00CE78B8" w:rsidRPr="00042CE0">
        <w:rPr>
          <w:szCs w:val="24"/>
        </w:rPr>
        <w:t>,</w:t>
      </w:r>
      <w:r w:rsidR="00785AA5" w:rsidRPr="00042CE0">
        <w:rPr>
          <w:szCs w:val="24"/>
        </w:rPr>
        <w:t xml:space="preserve"> it is suggested that the Cu-ligand effect and/or the strain effect led to the </w:t>
      </w:r>
      <w:r w:rsidR="00E36E6A" w:rsidRPr="00042CE0">
        <w:rPr>
          <w:szCs w:val="24"/>
        </w:rPr>
        <w:t>high</w:t>
      </w:r>
      <w:r w:rsidR="00785AA5" w:rsidRPr="00042CE0">
        <w:rPr>
          <w:szCs w:val="24"/>
        </w:rPr>
        <w:t xml:space="preserve"> ORR activity of BNP-</w:t>
      </w:r>
      <w:proofErr w:type="spellStart"/>
      <w:r w:rsidR="00785AA5" w:rsidRPr="00042CE0">
        <w:rPr>
          <w:szCs w:val="24"/>
        </w:rPr>
        <w:t>Pd</w:t>
      </w:r>
      <w:r w:rsidR="00A33AB5" w:rsidRPr="00A33AB5">
        <w:rPr>
          <w:szCs w:val="24"/>
          <w:highlight w:val="yellow"/>
        </w:rPr>
        <w:t>Cu</w:t>
      </w:r>
      <w:proofErr w:type="spellEnd"/>
      <w:r w:rsidR="00785AA5" w:rsidRPr="00042CE0">
        <w:rPr>
          <w:szCs w:val="24"/>
        </w:rPr>
        <w:t xml:space="preserve">. </w:t>
      </w:r>
      <w:r w:rsidR="00785AA5" w:rsidRPr="00042CE0">
        <w:t>To obtain insights in the origin</w:t>
      </w:r>
      <w:r w:rsidR="00E36E6A" w:rsidRPr="00042CE0">
        <w:t>s</w:t>
      </w:r>
      <w:r w:rsidR="00785AA5" w:rsidRPr="00042CE0">
        <w:t xml:space="preserve"> of </w:t>
      </w:r>
      <w:r w:rsidR="00785AA5" w:rsidRPr="00042CE0">
        <w:rPr>
          <w:szCs w:val="24"/>
        </w:rPr>
        <w:t xml:space="preserve">the </w:t>
      </w:r>
      <w:r w:rsidR="00E36E6A" w:rsidRPr="00042CE0">
        <w:rPr>
          <w:szCs w:val="24"/>
        </w:rPr>
        <w:t>high</w:t>
      </w:r>
      <w:r w:rsidR="00785AA5" w:rsidRPr="00042CE0">
        <w:rPr>
          <w:szCs w:val="24"/>
        </w:rPr>
        <w:t xml:space="preserve"> ORR activity of BNP-</w:t>
      </w:r>
      <w:proofErr w:type="spellStart"/>
      <w:r w:rsidR="00785AA5" w:rsidRPr="00042CE0">
        <w:rPr>
          <w:szCs w:val="24"/>
        </w:rPr>
        <w:t>Pd</w:t>
      </w:r>
      <w:r w:rsidR="00A33AB5" w:rsidRPr="00A33AB5">
        <w:rPr>
          <w:szCs w:val="24"/>
          <w:highlight w:val="yellow"/>
        </w:rPr>
        <w:t>Cu</w:t>
      </w:r>
      <w:proofErr w:type="spellEnd"/>
      <w:r w:rsidR="00785AA5" w:rsidRPr="00042CE0">
        <w:t>, the binding energies of O and O</w:t>
      </w:r>
      <w:r w:rsidR="00785AA5" w:rsidRPr="00042CE0">
        <w:rPr>
          <w:vertAlign w:val="subscript"/>
        </w:rPr>
        <w:t>2</w:t>
      </w:r>
      <w:r w:rsidR="00785AA5" w:rsidRPr="00042CE0">
        <w:t xml:space="preserve"> </w:t>
      </w:r>
      <w:r w:rsidR="00C10616" w:rsidRPr="00042CE0">
        <w:t>to</w:t>
      </w:r>
      <w:r w:rsidR="00785AA5" w:rsidRPr="00042CE0">
        <w:t xml:space="preserve"> </w:t>
      </w:r>
      <w:proofErr w:type="spellStart"/>
      <w:r w:rsidR="00785AA5" w:rsidRPr="00042CE0">
        <w:t>Pd</w:t>
      </w:r>
      <w:proofErr w:type="spellEnd"/>
      <w:r w:rsidR="00785AA5" w:rsidRPr="00042CE0">
        <w:t xml:space="preserve"> and </w:t>
      </w:r>
      <w:proofErr w:type="spellStart"/>
      <w:r w:rsidR="00785AA5" w:rsidRPr="00042CE0">
        <w:t>PdCu</w:t>
      </w:r>
      <w:proofErr w:type="spellEnd"/>
      <w:r w:rsidR="00785AA5" w:rsidRPr="00042CE0">
        <w:t xml:space="preserve"> were calculated.</w:t>
      </w:r>
      <w:r w:rsidR="00785AA5" w:rsidRPr="00042CE0">
        <w:rPr>
          <w:szCs w:val="24"/>
        </w:rPr>
        <w:t xml:space="preserve"> The results are shown for </w:t>
      </w:r>
      <w:proofErr w:type="spellStart"/>
      <w:r w:rsidR="00785AA5" w:rsidRPr="00042CE0">
        <w:t>Pd</w:t>
      </w:r>
      <w:proofErr w:type="spellEnd"/>
      <w:r w:rsidR="00785AA5" w:rsidRPr="00042CE0">
        <w:t xml:space="preserve"> </w:t>
      </w:r>
      <w:r w:rsidR="00785AA5" w:rsidRPr="00042CE0">
        <w:rPr>
          <w:szCs w:val="24"/>
        </w:rPr>
        <w:t xml:space="preserve">in Fig. </w:t>
      </w:r>
      <w:r w:rsidR="009D631F">
        <w:rPr>
          <w:szCs w:val="24"/>
        </w:rPr>
        <w:t>5</w:t>
      </w:r>
      <w:r w:rsidR="00772073" w:rsidRPr="00042CE0">
        <w:rPr>
          <w:szCs w:val="24"/>
        </w:rPr>
        <w:t xml:space="preserve"> </w:t>
      </w:r>
      <w:r w:rsidR="00785AA5" w:rsidRPr="00042CE0">
        <w:t xml:space="preserve">and for </w:t>
      </w:r>
      <w:proofErr w:type="spellStart"/>
      <w:r w:rsidR="00785AA5" w:rsidRPr="00042CE0">
        <w:t>PdCu</w:t>
      </w:r>
      <w:proofErr w:type="spellEnd"/>
      <w:r w:rsidR="00785AA5" w:rsidRPr="00042CE0">
        <w:t xml:space="preserve"> in Fig. </w:t>
      </w:r>
      <w:r w:rsidR="009D631F">
        <w:t>6</w:t>
      </w:r>
      <w:r w:rsidR="00785AA5" w:rsidRPr="00042CE0">
        <w:t xml:space="preserve">. </w:t>
      </w:r>
      <w:r w:rsidR="00B44FB8" w:rsidRPr="00042CE0">
        <w:t xml:space="preserve">The most stable </w:t>
      </w:r>
      <w:r w:rsidR="00BA0F25" w:rsidRPr="00042CE0">
        <w:rPr>
          <w:szCs w:val="24"/>
        </w:rPr>
        <w:t>binding</w:t>
      </w:r>
      <w:r w:rsidR="00B44FB8" w:rsidRPr="00042CE0">
        <w:t xml:space="preserve"> sites for </w:t>
      </w:r>
      <w:proofErr w:type="spellStart"/>
      <w:r w:rsidR="00B44FB8" w:rsidRPr="00042CE0">
        <w:t>Pd</w:t>
      </w:r>
      <w:proofErr w:type="spellEnd"/>
      <w:r w:rsidR="00B44FB8" w:rsidRPr="00042CE0">
        <w:t xml:space="preserve"> were </w:t>
      </w:r>
      <w:r w:rsidR="009426EE" w:rsidRPr="00042CE0">
        <w:t xml:space="preserve">the </w:t>
      </w:r>
      <w:proofErr w:type="spellStart"/>
      <w:r w:rsidR="00B44FB8" w:rsidRPr="00042CE0">
        <w:t>fcc</w:t>
      </w:r>
      <w:proofErr w:type="spellEnd"/>
      <w:r w:rsidR="00B44FB8" w:rsidRPr="00042CE0">
        <w:t xml:space="preserve"> for O and </w:t>
      </w:r>
      <w:r w:rsidR="009426EE" w:rsidRPr="00042CE0">
        <w:t xml:space="preserve">the </w:t>
      </w:r>
      <w:r w:rsidR="00B44FB8" w:rsidRPr="00042CE0">
        <w:t>t-f-b for O</w:t>
      </w:r>
      <w:r w:rsidR="00B44FB8" w:rsidRPr="00042CE0">
        <w:rPr>
          <w:vertAlign w:val="subscript"/>
        </w:rPr>
        <w:t>2</w:t>
      </w:r>
      <w:r w:rsidR="00B44FB8" w:rsidRPr="00042CE0">
        <w:t xml:space="preserve">, regardless of the strain. However, the most stable </w:t>
      </w:r>
      <w:r w:rsidR="00BA0F25" w:rsidRPr="00042CE0">
        <w:rPr>
          <w:szCs w:val="24"/>
        </w:rPr>
        <w:t>binding</w:t>
      </w:r>
      <w:r w:rsidR="00B44FB8" w:rsidRPr="00042CE0">
        <w:t xml:space="preserve"> sites for </w:t>
      </w:r>
      <w:proofErr w:type="spellStart"/>
      <w:r w:rsidR="00B44FB8" w:rsidRPr="00042CE0">
        <w:t>PdCu</w:t>
      </w:r>
      <w:proofErr w:type="spellEnd"/>
      <w:r w:rsidR="00B44FB8" w:rsidRPr="00042CE0">
        <w:t xml:space="preserve"> were different from those for Pd. The most stable </w:t>
      </w:r>
      <w:r w:rsidR="00BA0F25" w:rsidRPr="00042CE0">
        <w:rPr>
          <w:szCs w:val="24"/>
        </w:rPr>
        <w:t>binding</w:t>
      </w:r>
      <w:r w:rsidR="00BA0F25" w:rsidRPr="00042CE0">
        <w:t xml:space="preserve"> </w:t>
      </w:r>
      <w:r w:rsidR="00B44FB8" w:rsidRPr="00042CE0">
        <w:t xml:space="preserve">sites and </w:t>
      </w:r>
      <w:r w:rsidR="00BA0F25" w:rsidRPr="00042CE0">
        <w:rPr>
          <w:szCs w:val="24"/>
        </w:rPr>
        <w:t>binding</w:t>
      </w:r>
      <w:r w:rsidR="0033396D" w:rsidRPr="00042CE0">
        <w:t xml:space="preserve"> energies are listed in Table </w:t>
      </w:r>
      <w:r w:rsidR="00E1307D" w:rsidRPr="00E1307D">
        <w:rPr>
          <w:highlight w:val="yellow"/>
        </w:rPr>
        <w:t>II</w:t>
      </w:r>
      <w:r w:rsidR="0033396D" w:rsidRPr="00042CE0">
        <w:t xml:space="preserve">. </w:t>
      </w:r>
      <w:r w:rsidR="007E0153" w:rsidRPr="00042CE0">
        <w:t xml:space="preserve">Table </w:t>
      </w:r>
      <w:r w:rsidR="00E1307D" w:rsidRPr="00E1307D">
        <w:rPr>
          <w:highlight w:val="yellow"/>
        </w:rPr>
        <w:t>II</w:t>
      </w:r>
      <w:r w:rsidR="007E0153" w:rsidRPr="00042CE0">
        <w:t xml:space="preserve"> </w:t>
      </w:r>
      <w:r w:rsidR="00F722A0">
        <w:t xml:space="preserve">shows </w:t>
      </w:r>
      <w:r w:rsidR="007E0153" w:rsidRPr="00042CE0">
        <w:t xml:space="preserve">that the </w:t>
      </w:r>
      <w:r w:rsidR="00BA0F25" w:rsidRPr="00042CE0">
        <w:rPr>
          <w:szCs w:val="24"/>
        </w:rPr>
        <w:t>binding</w:t>
      </w:r>
      <w:r w:rsidR="007E0153" w:rsidRPr="00042CE0">
        <w:t xml:space="preserve"> energ</w:t>
      </w:r>
      <w:r w:rsidR="00AC1787" w:rsidRPr="00042CE0">
        <w:rPr>
          <w:rFonts w:hint="eastAsia"/>
        </w:rPr>
        <w:t>ies</w:t>
      </w:r>
      <w:r w:rsidR="007E0153" w:rsidRPr="00042CE0">
        <w:t xml:space="preserve"> </w:t>
      </w:r>
      <w:r w:rsidR="00AC1787" w:rsidRPr="00042CE0">
        <w:rPr>
          <w:rFonts w:hint="eastAsia"/>
        </w:rPr>
        <w:t xml:space="preserve">of </w:t>
      </w:r>
      <w:r w:rsidR="00F722A0">
        <w:t xml:space="preserve">the </w:t>
      </w:r>
      <w:r w:rsidR="00AC1787" w:rsidRPr="00042CE0">
        <w:rPr>
          <w:rFonts w:hint="eastAsia"/>
        </w:rPr>
        <w:t xml:space="preserve">oxygen </w:t>
      </w:r>
      <w:r w:rsidR="00AC1787" w:rsidRPr="00042CE0">
        <w:t>species</w:t>
      </w:r>
      <w:r w:rsidR="00AC1787" w:rsidRPr="00042CE0">
        <w:rPr>
          <w:rFonts w:hint="eastAsia"/>
        </w:rPr>
        <w:t xml:space="preserve"> are</w:t>
      </w:r>
      <w:r w:rsidR="007E0153" w:rsidRPr="00042CE0">
        <w:t xml:space="preserve"> increased (negatively decreased) by the</w:t>
      </w:r>
      <w:r w:rsidR="007E0153" w:rsidRPr="00042CE0">
        <w:rPr>
          <w:szCs w:val="24"/>
        </w:rPr>
        <w:t xml:space="preserve"> contraction</w:t>
      </w:r>
      <w:r w:rsidR="007E0153" w:rsidRPr="00042CE0">
        <w:t xml:space="preserve"> strain </w:t>
      </w:r>
      <w:r w:rsidR="007E0153" w:rsidRPr="00042CE0">
        <w:rPr>
          <w:szCs w:val="24"/>
        </w:rPr>
        <w:t xml:space="preserve">for </w:t>
      </w:r>
      <w:proofErr w:type="spellStart"/>
      <w:r w:rsidR="007E0153" w:rsidRPr="00042CE0">
        <w:rPr>
          <w:szCs w:val="24"/>
        </w:rPr>
        <w:t>Pd</w:t>
      </w:r>
      <w:proofErr w:type="spellEnd"/>
      <w:r w:rsidR="007E0153" w:rsidRPr="00042CE0">
        <w:t xml:space="preserve">, while the </w:t>
      </w:r>
      <w:r w:rsidR="00BA0F25" w:rsidRPr="00042CE0">
        <w:rPr>
          <w:szCs w:val="24"/>
        </w:rPr>
        <w:t>binding</w:t>
      </w:r>
      <w:r w:rsidR="007E0153" w:rsidRPr="00042CE0">
        <w:t xml:space="preserve"> energ</w:t>
      </w:r>
      <w:r w:rsidR="00AC1787" w:rsidRPr="00042CE0">
        <w:rPr>
          <w:rFonts w:hint="eastAsia"/>
        </w:rPr>
        <w:t>ies are</w:t>
      </w:r>
      <w:r w:rsidR="007E0153" w:rsidRPr="00042CE0">
        <w:t xml:space="preserve"> decreased (negatively increased) by the</w:t>
      </w:r>
      <w:r w:rsidR="007E0153" w:rsidRPr="00042CE0">
        <w:rPr>
          <w:szCs w:val="24"/>
        </w:rPr>
        <w:t xml:space="preserve"> </w:t>
      </w:r>
      <w:r w:rsidR="007E0153" w:rsidRPr="00042CE0">
        <w:t xml:space="preserve">expansion strain, which indicates that the </w:t>
      </w:r>
      <w:r w:rsidR="007E0153" w:rsidRPr="00042CE0">
        <w:rPr>
          <w:szCs w:val="24"/>
        </w:rPr>
        <w:t>contraction strain enhances the desorption</w:t>
      </w:r>
      <w:r w:rsidR="007E0153" w:rsidRPr="00042CE0">
        <w:t xml:space="preserve"> of oxygen species on </w:t>
      </w:r>
      <w:proofErr w:type="spellStart"/>
      <w:r w:rsidR="007E0153" w:rsidRPr="00042CE0">
        <w:t>Pd</w:t>
      </w:r>
      <w:proofErr w:type="spellEnd"/>
      <w:r w:rsidR="007E0153" w:rsidRPr="00042CE0">
        <w:rPr>
          <w:szCs w:val="24"/>
        </w:rPr>
        <w:t xml:space="preserve"> although t</w:t>
      </w:r>
      <w:r w:rsidR="00831CA8" w:rsidRPr="00042CE0">
        <w:t xml:space="preserve">he expansion strain </w:t>
      </w:r>
      <w:r w:rsidR="002E50C2" w:rsidRPr="00042CE0">
        <w:t>disturbs</w:t>
      </w:r>
      <w:r w:rsidR="007E0153" w:rsidRPr="00042CE0">
        <w:t xml:space="preserve"> the desorption. </w:t>
      </w:r>
      <w:r w:rsidR="00E36E6A" w:rsidRPr="00042CE0">
        <w:t>Thus</w:t>
      </w:r>
      <w:r w:rsidR="007E0153" w:rsidRPr="00042CE0">
        <w:t xml:space="preserve">, </w:t>
      </w:r>
      <w:r w:rsidR="00831CA8" w:rsidRPr="00042CE0">
        <w:rPr>
          <w:szCs w:val="24"/>
        </w:rPr>
        <w:t>the contraction strain</w:t>
      </w:r>
      <w:r w:rsidR="00831CA8" w:rsidRPr="00042CE0">
        <w:t xml:space="preserve"> leads to the enhanced</w:t>
      </w:r>
      <w:r w:rsidR="00831CA8" w:rsidRPr="00042CE0">
        <w:rPr>
          <w:szCs w:val="24"/>
        </w:rPr>
        <w:t xml:space="preserve"> ORR activity</w:t>
      </w:r>
      <w:r w:rsidR="00E36E6A" w:rsidRPr="00042CE0">
        <w:rPr>
          <w:szCs w:val="24"/>
        </w:rPr>
        <w:t xml:space="preserve"> of Pd</w:t>
      </w:r>
      <w:r w:rsidR="00831CA8" w:rsidRPr="00042CE0">
        <w:rPr>
          <w:szCs w:val="24"/>
        </w:rPr>
        <w:t xml:space="preserve">. </w:t>
      </w:r>
      <w:r w:rsidR="007E0153" w:rsidRPr="00042CE0">
        <w:rPr>
          <w:szCs w:val="24"/>
        </w:rPr>
        <w:t xml:space="preserve">In addition, </w:t>
      </w:r>
      <w:r w:rsidR="00831CA8" w:rsidRPr="00042CE0">
        <w:rPr>
          <w:szCs w:val="24"/>
        </w:rPr>
        <w:t xml:space="preserve">Table </w:t>
      </w:r>
      <w:r w:rsidR="00E1307D" w:rsidRPr="00E1307D">
        <w:rPr>
          <w:szCs w:val="24"/>
          <w:highlight w:val="yellow"/>
        </w:rPr>
        <w:t>II</w:t>
      </w:r>
      <w:r w:rsidR="00831CA8" w:rsidRPr="00042CE0">
        <w:rPr>
          <w:szCs w:val="24"/>
        </w:rPr>
        <w:t xml:space="preserve"> shows that the </w:t>
      </w:r>
      <w:r w:rsidR="00BA0F25" w:rsidRPr="00042CE0">
        <w:rPr>
          <w:szCs w:val="24"/>
        </w:rPr>
        <w:t>binding</w:t>
      </w:r>
      <w:r w:rsidR="00831CA8" w:rsidRPr="00042CE0">
        <w:rPr>
          <w:szCs w:val="24"/>
        </w:rPr>
        <w:t xml:space="preserve"> energ</w:t>
      </w:r>
      <w:r w:rsidR="007E0153" w:rsidRPr="00042CE0">
        <w:rPr>
          <w:szCs w:val="24"/>
        </w:rPr>
        <w:t>ies are</w:t>
      </w:r>
      <w:r w:rsidR="00831CA8" w:rsidRPr="00042CE0">
        <w:rPr>
          <w:szCs w:val="24"/>
        </w:rPr>
        <w:t xml:space="preserve"> </w:t>
      </w:r>
      <w:r w:rsidR="00F271C5" w:rsidRPr="00042CE0">
        <w:rPr>
          <w:szCs w:val="24"/>
        </w:rPr>
        <w:t>increased</w:t>
      </w:r>
      <w:r w:rsidR="00831CA8" w:rsidRPr="00042CE0">
        <w:rPr>
          <w:szCs w:val="24"/>
        </w:rPr>
        <w:t xml:space="preserve"> </w:t>
      </w:r>
      <w:r w:rsidR="007E0153" w:rsidRPr="00042CE0">
        <w:rPr>
          <w:szCs w:val="24"/>
        </w:rPr>
        <w:t>by the addition of Cu</w:t>
      </w:r>
      <w:r w:rsidR="00AC1787" w:rsidRPr="00042CE0">
        <w:rPr>
          <w:rFonts w:hint="eastAsia"/>
          <w:szCs w:val="24"/>
        </w:rPr>
        <w:t>, regardless of the strain</w:t>
      </w:r>
      <w:r w:rsidR="007E0153" w:rsidRPr="00042CE0">
        <w:rPr>
          <w:szCs w:val="24"/>
        </w:rPr>
        <w:t>.</w:t>
      </w:r>
      <w:r w:rsidR="00F271C5" w:rsidRPr="00042CE0">
        <w:rPr>
          <w:szCs w:val="24"/>
        </w:rPr>
        <w:t xml:space="preserve"> This suggests that the ORR activity of </w:t>
      </w:r>
      <w:proofErr w:type="spellStart"/>
      <w:r w:rsidR="00F271C5" w:rsidRPr="00042CE0">
        <w:rPr>
          <w:szCs w:val="24"/>
        </w:rPr>
        <w:t>Pd</w:t>
      </w:r>
      <w:proofErr w:type="spellEnd"/>
      <w:r w:rsidR="00F271C5" w:rsidRPr="00042CE0">
        <w:rPr>
          <w:szCs w:val="24"/>
        </w:rPr>
        <w:t xml:space="preserve"> is enhanced </w:t>
      </w:r>
      <w:r w:rsidR="00F722A0">
        <w:rPr>
          <w:szCs w:val="24"/>
        </w:rPr>
        <w:t>owing</w:t>
      </w:r>
      <w:r w:rsidR="00F722A0" w:rsidRPr="00042CE0">
        <w:rPr>
          <w:szCs w:val="24"/>
        </w:rPr>
        <w:t xml:space="preserve"> </w:t>
      </w:r>
      <w:r w:rsidR="009426EE" w:rsidRPr="00042CE0">
        <w:rPr>
          <w:szCs w:val="24"/>
        </w:rPr>
        <w:t>to</w:t>
      </w:r>
      <w:r w:rsidR="00F271C5" w:rsidRPr="00042CE0">
        <w:rPr>
          <w:szCs w:val="24"/>
        </w:rPr>
        <w:t xml:space="preserve"> </w:t>
      </w:r>
      <w:r w:rsidR="00E36E6A" w:rsidRPr="00042CE0">
        <w:rPr>
          <w:szCs w:val="24"/>
        </w:rPr>
        <w:t xml:space="preserve">the </w:t>
      </w:r>
      <w:r w:rsidR="00F271C5" w:rsidRPr="00042CE0">
        <w:rPr>
          <w:szCs w:val="24"/>
        </w:rPr>
        <w:t>Cu</w:t>
      </w:r>
      <w:r w:rsidR="00E36E6A" w:rsidRPr="00042CE0">
        <w:rPr>
          <w:szCs w:val="24"/>
        </w:rPr>
        <w:t>-</w:t>
      </w:r>
      <w:r w:rsidR="00F271C5" w:rsidRPr="00042CE0">
        <w:rPr>
          <w:szCs w:val="24"/>
        </w:rPr>
        <w:t>ligand</w:t>
      </w:r>
      <w:r w:rsidR="00E36E6A" w:rsidRPr="00042CE0">
        <w:rPr>
          <w:szCs w:val="24"/>
        </w:rPr>
        <w:t xml:space="preserve"> effect</w:t>
      </w:r>
      <w:r w:rsidR="00F271C5" w:rsidRPr="00042CE0">
        <w:rPr>
          <w:szCs w:val="24"/>
        </w:rPr>
        <w:t xml:space="preserve">. The Cu-ligand effect </w:t>
      </w:r>
      <w:r w:rsidR="00E36E6A" w:rsidRPr="00042CE0">
        <w:rPr>
          <w:szCs w:val="24"/>
        </w:rPr>
        <w:t>can</w:t>
      </w:r>
      <w:r w:rsidR="00F271C5" w:rsidRPr="00042CE0">
        <w:rPr>
          <w:szCs w:val="24"/>
        </w:rPr>
        <w:t xml:space="preserve"> significantly enhance the ORR activity of </w:t>
      </w:r>
      <w:proofErr w:type="spellStart"/>
      <w:r w:rsidR="00F271C5" w:rsidRPr="00042CE0">
        <w:rPr>
          <w:szCs w:val="24"/>
        </w:rPr>
        <w:t>Pd</w:t>
      </w:r>
      <w:proofErr w:type="spellEnd"/>
      <w:r w:rsidR="00F271C5" w:rsidRPr="00042CE0">
        <w:rPr>
          <w:szCs w:val="24"/>
        </w:rPr>
        <w:t xml:space="preserve"> because the </w:t>
      </w:r>
      <w:r w:rsidR="00BA0F25" w:rsidRPr="00042CE0">
        <w:rPr>
          <w:szCs w:val="24"/>
        </w:rPr>
        <w:t>binding</w:t>
      </w:r>
      <w:r w:rsidR="00F271C5" w:rsidRPr="00042CE0">
        <w:rPr>
          <w:szCs w:val="24"/>
        </w:rPr>
        <w:t xml:space="preserve"> energies are largely increased by the addition of Cu.  </w:t>
      </w:r>
    </w:p>
    <w:p w14:paraId="5A5B0C10" w14:textId="71F94E86" w:rsidR="00226432" w:rsidRPr="00042CE0" w:rsidRDefault="008D4A46" w:rsidP="00F311A1">
      <w:pPr>
        <w:spacing w:after="240"/>
        <w:rPr>
          <w:szCs w:val="24"/>
        </w:rPr>
      </w:pPr>
      <w:r w:rsidRPr="00042CE0">
        <w:rPr>
          <w:rFonts w:hint="eastAsia"/>
          <w:szCs w:val="24"/>
        </w:rPr>
        <w:lastRenderedPageBreak/>
        <w:t>T</w:t>
      </w:r>
      <w:r w:rsidRPr="00042CE0">
        <w:rPr>
          <w:szCs w:val="24"/>
        </w:rPr>
        <w:t xml:space="preserve">he </w:t>
      </w:r>
      <w:r w:rsidR="002E50C2" w:rsidRPr="00042CE0">
        <w:rPr>
          <w:szCs w:val="24"/>
        </w:rPr>
        <w:t>densities</w:t>
      </w:r>
      <w:r w:rsidRPr="00042CE0">
        <w:rPr>
          <w:szCs w:val="24"/>
        </w:rPr>
        <w:t xml:space="preserve"> of </w:t>
      </w:r>
      <w:r w:rsidR="002E50C2" w:rsidRPr="00042CE0">
        <w:rPr>
          <w:szCs w:val="24"/>
        </w:rPr>
        <w:t>states</w:t>
      </w:r>
      <w:r w:rsidRPr="00042CE0">
        <w:rPr>
          <w:szCs w:val="24"/>
        </w:rPr>
        <w:t xml:space="preserve"> (DOS) for </w:t>
      </w:r>
      <w:r w:rsidR="002E50C2" w:rsidRPr="00042CE0">
        <w:rPr>
          <w:szCs w:val="24"/>
        </w:rPr>
        <w:t xml:space="preserve">a </w:t>
      </w:r>
      <w:r w:rsidRPr="00042CE0">
        <w:t>palladium</w:t>
      </w:r>
      <w:r w:rsidRPr="00042CE0">
        <w:rPr>
          <w:szCs w:val="24"/>
        </w:rPr>
        <w:t xml:space="preserve"> atom </w:t>
      </w:r>
      <w:r w:rsidR="00F87E06" w:rsidRPr="00042CE0">
        <w:rPr>
          <w:rFonts w:hint="eastAsia"/>
          <w:szCs w:val="24"/>
        </w:rPr>
        <w:t xml:space="preserve">of </w:t>
      </w:r>
      <w:r w:rsidR="00DA36AB">
        <w:rPr>
          <w:szCs w:val="24"/>
        </w:rPr>
        <w:t xml:space="preserve">the </w:t>
      </w:r>
      <w:proofErr w:type="spellStart"/>
      <w:r w:rsidR="00F87E06" w:rsidRPr="00042CE0">
        <w:rPr>
          <w:rFonts w:hint="eastAsia"/>
          <w:szCs w:val="24"/>
        </w:rPr>
        <w:t>Pd</w:t>
      </w:r>
      <w:proofErr w:type="spellEnd"/>
      <w:r w:rsidR="00F87E06" w:rsidRPr="00042CE0">
        <w:rPr>
          <w:rFonts w:hint="eastAsia"/>
          <w:szCs w:val="24"/>
        </w:rPr>
        <w:t xml:space="preserve"> (</w:t>
      </w:r>
      <w:proofErr w:type="spellStart"/>
      <w:r w:rsidR="00F87E06" w:rsidRPr="00042CE0">
        <w:rPr>
          <w:rFonts w:hint="eastAsia"/>
          <w:szCs w:val="24"/>
        </w:rPr>
        <w:t>PdCu</w:t>
      </w:r>
      <w:proofErr w:type="spellEnd"/>
      <w:r w:rsidR="00F87E06" w:rsidRPr="00042CE0">
        <w:rPr>
          <w:rFonts w:hint="eastAsia"/>
          <w:szCs w:val="24"/>
        </w:rPr>
        <w:t xml:space="preserve">) surface </w:t>
      </w:r>
      <w:r w:rsidRPr="00042CE0">
        <w:rPr>
          <w:szCs w:val="24"/>
        </w:rPr>
        <w:t xml:space="preserve">binding to </w:t>
      </w:r>
      <w:r w:rsidR="002E50C2" w:rsidRPr="00042CE0">
        <w:rPr>
          <w:szCs w:val="24"/>
        </w:rPr>
        <w:t xml:space="preserve">an </w:t>
      </w:r>
      <w:r w:rsidRPr="00042CE0">
        <w:rPr>
          <w:szCs w:val="24"/>
        </w:rPr>
        <w:t xml:space="preserve">oxygen atom </w:t>
      </w:r>
      <w:r w:rsidR="002E50C2" w:rsidRPr="00042CE0">
        <w:rPr>
          <w:szCs w:val="24"/>
        </w:rPr>
        <w:t>are</w:t>
      </w:r>
      <w:r w:rsidRPr="00042CE0">
        <w:rPr>
          <w:szCs w:val="24"/>
        </w:rPr>
        <w:t xml:space="preserve"> shown in Fig. </w:t>
      </w:r>
      <w:r w:rsidR="00772073">
        <w:rPr>
          <w:rFonts w:hint="eastAsia"/>
          <w:szCs w:val="24"/>
        </w:rPr>
        <w:t>S</w:t>
      </w:r>
      <w:r w:rsidR="00A96FC0" w:rsidRPr="00512EFB">
        <w:rPr>
          <w:szCs w:val="24"/>
          <w:highlight w:val="yellow"/>
        </w:rPr>
        <w:t>1</w:t>
      </w:r>
      <w:r w:rsidR="00D46909">
        <w:rPr>
          <w:szCs w:val="24"/>
        </w:rPr>
        <w:t xml:space="preserve"> </w:t>
      </w:r>
      <w:r w:rsidR="00D46909" w:rsidRPr="00D46909">
        <w:rPr>
          <w:szCs w:val="24"/>
          <w:highlight w:val="yellow"/>
        </w:rPr>
        <w:t xml:space="preserve">in Supplementary </w:t>
      </w:r>
      <w:r w:rsidR="004F4E0D">
        <w:rPr>
          <w:szCs w:val="24"/>
          <w:highlight w:val="yellow"/>
        </w:rPr>
        <w:t>M</w:t>
      </w:r>
      <w:r w:rsidR="00D46909" w:rsidRPr="00D46909">
        <w:rPr>
          <w:szCs w:val="24"/>
          <w:highlight w:val="yellow"/>
        </w:rPr>
        <w:t>aterial</w:t>
      </w:r>
      <w:r w:rsidRPr="00042CE0">
        <w:rPr>
          <w:szCs w:val="24"/>
        </w:rPr>
        <w:t xml:space="preserve">. The electronic states </w:t>
      </w:r>
      <w:r w:rsidR="00DA19D0" w:rsidRPr="00042CE0">
        <w:rPr>
          <w:rFonts w:hint="eastAsia"/>
          <w:szCs w:val="24"/>
        </w:rPr>
        <w:t xml:space="preserve">for </w:t>
      </w:r>
      <w:proofErr w:type="spellStart"/>
      <w:r w:rsidR="00DA19D0" w:rsidRPr="00042CE0">
        <w:rPr>
          <w:rFonts w:hint="eastAsia"/>
          <w:szCs w:val="24"/>
        </w:rPr>
        <w:t>Pd</w:t>
      </w:r>
      <w:proofErr w:type="spellEnd"/>
      <w:r w:rsidR="00DA19D0" w:rsidRPr="00042CE0">
        <w:rPr>
          <w:rFonts w:hint="eastAsia"/>
          <w:szCs w:val="24"/>
        </w:rPr>
        <w:t xml:space="preserve"> </w:t>
      </w:r>
      <w:r w:rsidRPr="00042CE0">
        <w:rPr>
          <w:szCs w:val="24"/>
        </w:rPr>
        <w:t xml:space="preserve">were </w:t>
      </w:r>
      <w:r w:rsidR="0037512A" w:rsidRPr="00042CE0">
        <w:rPr>
          <w:szCs w:val="24"/>
        </w:rPr>
        <w:t>hardly</w:t>
      </w:r>
      <w:r w:rsidRPr="00042CE0">
        <w:rPr>
          <w:szCs w:val="24"/>
        </w:rPr>
        <w:t xml:space="preserve"> changed by the presence of strains, which corresponds to the result that the </w:t>
      </w:r>
      <w:r w:rsidR="0037512A" w:rsidRPr="00042CE0">
        <w:rPr>
          <w:szCs w:val="24"/>
        </w:rPr>
        <w:t xml:space="preserve">strain had little effect on the </w:t>
      </w:r>
      <w:r w:rsidRPr="00042CE0">
        <w:rPr>
          <w:szCs w:val="24"/>
        </w:rPr>
        <w:t xml:space="preserve">d-band center for </w:t>
      </w:r>
      <w:proofErr w:type="spellStart"/>
      <w:r w:rsidRPr="00042CE0">
        <w:rPr>
          <w:szCs w:val="24"/>
        </w:rPr>
        <w:t>Pd</w:t>
      </w:r>
      <w:proofErr w:type="spellEnd"/>
      <w:r w:rsidRPr="00042CE0">
        <w:rPr>
          <w:szCs w:val="24"/>
        </w:rPr>
        <w:t xml:space="preserve"> (Table </w:t>
      </w:r>
      <w:r w:rsidR="00E1307D" w:rsidRPr="00E1307D">
        <w:rPr>
          <w:szCs w:val="24"/>
          <w:highlight w:val="yellow"/>
        </w:rPr>
        <w:t>II</w:t>
      </w:r>
      <w:r w:rsidRPr="00042CE0">
        <w:rPr>
          <w:szCs w:val="24"/>
        </w:rPr>
        <w:t xml:space="preserve">). </w:t>
      </w:r>
      <w:r w:rsidR="00DA36AB">
        <w:rPr>
          <w:szCs w:val="24"/>
        </w:rPr>
        <w:t>However</w:t>
      </w:r>
      <w:r w:rsidRPr="00042CE0">
        <w:rPr>
          <w:szCs w:val="24"/>
        </w:rPr>
        <w:t xml:space="preserve">, </w:t>
      </w:r>
      <w:r w:rsidR="00A24AC8" w:rsidRPr="00042CE0">
        <w:rPr>
          <w:szCs w:val="24"/>
        </w:rPr>
        <w:t>the electronic states were changed by the presence of Cu (</w:t>
      </w:r>
      <w:r w:rsidR="0037512A" w:rsidRPr="00042CE0">
        <w:rPr>
          <w:szCs w:val="24"/>
        </w:rPr>
        <w:t xml:space="preserve">see </w:t>
      </w:r>
      <w:r w:rsidR="00A24AC8" w:rsidRPr="00042CE0">
        <w:rPr>
          <w:szCs w:val="24"/>
        </w:rPr>
        <w:t>Fig</w:t>
      </w:r>
      <w:r w:rsidR="00DA36AB">
        <w:rPr>
          <w:szCs w:val="24"/>
        </w:rPr>
        <w:t>.</w:t>
      </w:r>
      <w:r w:rsidR="00A24AC8" w:rsidRPr="00042CE0">
        <w:rPr>
          <w:szCs w:val="24"/>
        </w:rPr>
        <w:t xml:space="preserve"> </w:t>
      </w:r>
      <w:r w:rsidR="00772073">
        <w:rPr>
          <w:szCs w:val="24"/>
        </w:rPr>
        <w:t>S</w:t>
      </w:r>
      <w:r w:rsidR="00512EFB">
        <w:rPr>
          <w:szCs w:val="24"/>
        </w:rPr>
        <w:t>1</w:t>
      </w:r>
      <w:r w:rsidR="00A24AC8" w:rsidRPr="00042CE0">
        <w:rPr>
          <w:szCs w:val="24"/>
        </w:rPr>
        <w:t xml:space="preserve">(a) and (d)). </w:t>
      </w:r>
      <w:r w:rsidR="00DA19D0" w:rsidRPr="00042CE0">
        <w:rPr>
          <w:rFonts w:hint="eastAsia"/>
          <w:szCs w:val="24"/>
        </w:rPr>
        <w:t>Both</w:t>
      </w:r>
      <w:r w:rsidR="00DA19D0" w:rsidRPr="00042CE0">
        <w:rPr>
          <w:szCs w:val="24"/>
        </w:rPr>
        <w:t xml:space="preserve"> </w:t>
      </w:r>
      <w:r w:rsidR="00DA36AB">
        <w:rPr>
          <w:szCs w:val="24"/>
        </w:rPr>
        <w:t xml:space="preserve">the </w:t>
      </w:r>
      <w:r w:rsidR="00DA19D0" w:rsidRPr="00042CE0">
        <w:rPr>
          <w:szCs w:val="24"/>
        </w:rPr>
        <w:t>downshift and</w:t>
      </w:r>
      <w:r w:rsidR="00A24AC8" w:rsidRPr="00042CE0">
        <w:rPr>
          <w:szCs w:val="24"/>
        </w:rPr>
        <w:t xml:space="preserve"> upshift of </w:t>
      </w:r>
      <w:r w:rsidR="00DA36AB">
        <w:rPr>
          <w:szCs w:val="24"/>
        </w:rPr>
        <w:t xml:space="preserve">the </w:t>
      </w:r>
      <w:r w:rsidR="00A24AC8" w:rsidRPr="00042CE0">
        <w:rPr>
          <w:szCs w:val="24"/>
        </w:rPr>
        <w:t xml:space="preserve">d-band center </w:t>
      </w:r>
      <w:r w:rsidR="00DA19D0" w:rsidRPr="00042CE0">
        <w:rPr>
          <w:rFonts w:hint="eastAsia"/>
          <w:szCs w:val="24"/>
        </w:rPr>
        <w:t>were</w:t>
      </w:r>
      <w:r w:rsidR="00A24AC8" w:rsidRPr="00042CE0">
        <w:rPr>
          <w:szCs w:val="24"/>
        </w:rPr>
        <w:t xml:space="preserve"> caused by the addition of Cu</w:t>
      </w:r>
      <w:r w:rsidR="00E3003D">
        <w:rPr>
          <w:rFonts w:hint="eastAsia"/>
          <w:szCs w:val="24"/>
        </w:rPr>
        <w:t xml:space="preserve"> </w:t>
      </w:r>
      <w:r w:rsidR="007D682B" w:rsidRPr="00042CE0">
        <w:rPr>
          <w:szCs w:val="24"/>
        </w:rPr>
        <w:t xml:space="preserve">(Table </w:t>
      </w:r>
      <w:r w:rsidR="00E1307D" w:rsidRPr="00E1307D">
        <w:rPr>
          <w:szCs w:val="24"/>
          <w:highlight w:val="yellow"/>
        </w:rPr>
        <w:t>II</w:t>
      </w:r>
      <w:r w:rsidR="007D682B" w:rsidRPr="00042CE0">
        <w:rPr>
          <w:szCs w:val="24"/>
        </w:rPr>
        <w:t>)</w:t>
      </w:r>
      <w:r w:rsidR="00DA19D0" w:rsidRPr="00042CE0">
        <w:rPr>
          <w:rFonts w:hint="eastAsia"/>
          <w:szCs w:val="24"/>
        </w:rPr>
        <w:t xml:space="preserve">. Thus, the variation in </w:t>
      </w:r>
      <w:r w:rsidR="00DA19D0" w:rsidRPr="00042CE0">
        <w:rPr>
          <w:szCs w:val="24"/>
        </w:rPr>
        <w:t>binding</w:t>
      </w:r>
      <w:r w:rsidR="00DA19D0" w:rsidRPr="00042CE0">
        <w:rPr>
          <w:rFonts w:hint="eastAsia"/>
          <w:szCs w:val="24"/>
        </w:rPr>
        <w:t xml:space="preserve"> </w:t>
      </w:r>
      <w:r w:rsidR="00DA19D0" w:rsidRPr="00042CE0">
        <w:rPr>
          <w:szCs w:val="24"/>
        </w:rPr>
        <w:t>energy</w:t>
      </w:r>
      <w:r w:rsidR="00DA19D0" w:rsidRPr="00042CE0">
        <w:rPr>
          <w:rFonts w:hint="eastAsia"/>
          <w:szCs w:val="24"/>
        </w:rPr>
        <w:t xml:space="preserve"> by the addition of Cu cannot be explained </w:t>
      </w:r>
      <w:r w:rsidR="007D682B" w:rsidRPr="00042CE0">
        <w:rPr>
          <w:szCs w:val="24"/>
        </w:rPr>
        <w:t xml:space="preserve">only </w:t>
      </w:r>
      <w:r w:rsidR="00DA19D0" w:rsidRPr="00042CE0">
        <w:rPr>
          <w:rFonts w:hint="eastAsia"/>
          <w:szCs w:val="24"/>
        </w:rPr>
        <w:t xml:space="preserve">from the viewpoint of </w:t>
      </w:r>
      <w:r w:rsidR="00DA36AB">
        <w:rPr>
          <w:szCs w:val="24"/>
        </w:rPr>
        <w:t xml:space="preserve">the </w:t>
      </w:r>
      <w:r w:rsidR="00DA19D0" w:rsidRPr="00042CE0">
        <w:rPr>
          <w:rFonts w:hint="eastAsia"/>
          <w:szCs w:val="24"/>
        </w:rPr>
        <w:t>d</w:t>
      </w:r>
      <w:r w:rsidR="007D682B" w:rsidRPr="00042CE0">
        <w:rPr>
          <w:szCs w:val="24"/>
        </w:rPr>
        <w:t>-</w:t>
      </w:r>
      <w:r w:rsidR="00DA19D0" w:rsidRPr="00042CE0">
        <w:rPr>
          <w:rFonts w:hint="eastAsia"/>
          <w:szCs w:val="24"/>
        </w:rPr>
        <w:t>band cente</w:t>
      </w:r>
      <w:r w:rsidR="007D682B" w:rsidRPr="00042CE0">
        <w:rPr>
          <w:szCs w:val="24"/>
        </w:rPr>
        <w:t>r</w:t>
      </w:r>
      <w:r w:rsidR="00A24AC8" w:rsidRPr="00042CE0">
        <w:rPr>
          <w:szCs w:val="24"/>
        </w:rPr>
        <w:t xml:space="preserve">. The charge density </w:t>
      </w:r>
      <w:r w:rsidR="00210419" w:rsidRPr="00042CE0">
        <w:rPr>
          <w:rFonts w:hint="eastAsia"/>
          <w:szCs w:val="24"/>
        </w:rPr>
        <w:t>distribution</w:t>
      </w:r>
      <w:r w:rsidR="00A24AC8" w:rsidRPr="00042CE0">
        <w:rPr>
          <w:szCs w:val="24"/>
        </w:rPr>
        <w:t xml:space="preserve"> between the </w:t>
      </w:r>
      <w:r w:rsidR="00A24AC8" w:rsidRPr="00042CE0">
        <w:t>palladium</w:t>
      </w:r>
      <w:r w:rsidR="00A24AC8" w:rsidRPr="00042CE0">
        <w:rPr>
          <w:szCs w:val="24"/>
        </w:rPr>
        <w:t xml:space="preserve"> and oxygen atoms </w:t>
      </w:r>
      <w:r w:rsidR="00210419" w:rsidRPr="00042CE0">
        <w:rPr>
          <w:rFonts w:hint="eastAsia"/>
          <w:szCs w:val="24"/>
        </w:rPr>
        <w:t>is</w:t>
      </w:r>
      <w:r w:rsidR="00A24AC8" w:rsidRPr="00042CE0">
        <w:rPr>
          <w:szCs w:val="24"/>
        </w:rPr>
        <w:t xml:space="preserve"> shown in Fig. </w:t>
      </w:r>
      <w:r w:rsidR="009D631F">
        <w:rPr>
          <w:szCs w:val="24"/>
        </w:rPr>
        <w:t>7</w:t>
      </w:r>
      <w:r w:rsidR="00A24AC8" w:rsidRPr="00042CE0">
        <w:rPr>
          <w:szCs w:val="24"/>
        </w:rPr>
        <w:t xml:space="preserve">. The charge density between the </w:t>
      </w:r>
      <w:r w:rsidR="00A24AC8" w:rsidRPr="00042CE0">
        <w:t>palladium</w:t>
      </w:r>
      <w:r w:rsidR="00A24AC8" w:rsidRPr="00042CE0">
        <w:rPr>
          <w:szCs w:val="24"/>
        </w:rPr>
        <w:t xml:space="preserve"> and oxygen atoms was </w:t>
      </w:r>
      <w:r w:rsidR="00A33AB5">
        <w:rPr>
          <w:szCs w:val="24"/>
        </w:rPr>
        <w:t xml:space="preserve">lower for </w:t>
      </w:r>
      <w:proofErr w:type="spellStart"/>
      <w:r w:rsidR="00A33AB5">
        <w:rPr>
          <w:szCs w:val="24"/>
        </w:rPr>
        <w:t>Pd</w:t>
      </w:r>
      <w:r w:rsidR="00226432" w:rsidRPr="00042CE0">
        <w:rPr>
          <w:szCs w:val="24"/>
        </w:rPr>
        <w:t>Cu</w:t>
      </w:r>
      <w:proofErr w:type="spellEnd"/>
      <w:r w:rsidR="00226432" w:rsidRPr="00042CE0">
        <w:rPr>
          <w:szCs w:val="24"/>
        </w:rPr>
        <w:t xml:space="preserve"> than for Pd</w:t>
      </w:r>
      <w:r w:rsidR="007D682B" w:rsidRPr="00042CE0">
        <w:rPr>
          <w:szCs w:val="24"/>
        </w:rPr>
        <w:t xml:space="preserve">. Therefore, it is </w:t>
      </w:r>
      <w:r w:rsidR="00DA36AB">
        <w:rPr>
          <w:szCs w:val="24"/>
        </w:rPr>
        <w:t>proposed</w:t>
      </w:r>
      <w:r w:rsidR="00DA36AB" w:rsidRPr="00042CE0">
        <w:rPr>
          <w:szCs w:val="24"/>
        </w:rPr>
        <w:t xml:space="preserve"> </w:t>
      </w:r>
      <w:r w:rsidR="00226432" w:rsidRPr="00042CE0">
        <w:rPr>
          <w:szCs w:val="24"/>
        </w:rPr>
        <w:t xml:space="preserve">that the </w:t>
      </w:r>
      <w:r w:rsidR="00BA0F25" w:rsidRPr="00042CE0">
        <w:rPr>
          <w:szCs w:val="24"/>
        </w:rPr>
        <w:t>binding</w:t>
      </w:r>
      <w:r w:rsidR="00226432" w:rsidRPr="00042CE0">
        <w:rPr>
          <w:szCs w:val="24"/>
        </w:rPr>
        <w:t xml:space="preserve"> energy increased by the addition of Cu is related to the </w:t>
      </w:r>
      <w:r w:rsidR="00F566A7" w:rsidRPr="00042CE0">
        <w:rPr>
          <w:szCs w:val="24"/>
        </w:rPr>
        <w:t>reduced</w:t>
      </w:r>
      <w:r w:rsidR="00AD310C" w:rsidRPr="00042CE0">
        <w:rPr>
          <w:szCs w:val="24"/>
        </w:rPr>
        <w:t xml:space="preserve"> </w:t>
      </w:r>
      <w:r w:rsidR="00226432" w:rsidRPr="00042CE0">
        <w:rPr>
          <w:szCs w:val="24"/>
        </w:rPr>
        <w:t xml:space="preserve">charge density. </w:t>
      </w:r>
    </w:p>
    <w:p w14:paraId="7EAF0C4A" w14:textId="57529504" w:rsidR="006670A8" w:rsidRPr="00042CE0" w:rsidRDefault="00252A07" w:rsidP="00F311A1">
      <w:pPr>
        <w:spacing w:after="240"/>
        <w:rPr>
          <w:szCs w:val="24"/>
        </w:rPr>
      </w:pPr>
      <w:r w:rsidRPr="00042CE0">
        <w:rPr>
          <w:szCs w:val="24"/>
        </w:rPr>
        <w:t xml:space="preserve">As shown above, the contraction strain and the addition of Cu enhance the ORR activity of Pd. </w:t>
      </w:r>
      <w:r w:rsidR="000C3368" w:rsidRPr="00042CE0">
        <w:rPr>
          <w:szCs w:val="24"/>
        </w:rPr>
        <w:t>Hence</w:t>
      </w:r>
      <w:r w:rsidRPr="00042CE0">
        <w:rPr>
          <w:szCs w:val="24"/>
        </w:rPr>
        <w:t xml:space="preserve">, </w:t>
      </w:r>
      <w:r w:rsidR="005345FB" w:rsidRPr="00042CE0">
        <w:rPr>
          <w:szCs w:val="24"/>
        </w:rPr>
        <w:t xml:space="preserve">the </w:t>
      </w:r>
      <w:r w:rsidR="00AD310C" w:rsidRPr="00042CE0">
        <w:rPr>
          <w:szCs w:val="24"/>
        </w:rPr>
        <w:t>high</w:t>
      </w:r>
      <w:r w:rsidRPr="00042CE0">
        <w:rPr>
          <w:szCs w:val="24"/>
        </w:rPr>
        <w:t xml:space="preserve"> ORR activity of BNP-</w:t>
      </w:r>
      <w:proofErr w:type="spellStart"/>
      <w:r w:rsidRPr="00042CE0">
        <w:rPr>
          <w:szCs w:val="24"/>
        </w:rPr>
        <w:t>Pd</w:t>
      </w:r>
      <w:r w:rsidR="00A33AB5" w:rsidRPr="00A33AB5">
        <w:rPr>
          <w:szCs w:val="24"/>
          <w:highlight w:val="yellow"/>
        </w:rPr>
        <w:t>Cu</w:t>
      </w:r>
      <w:proofErr w:type="spellEnd"/>
      <w:r w:rsidR="005345FB" w:rsidRPr="00042CE0">
        <w:rPr>
          <w:szCs w:val="24"/>
        </w:rPr>
        <w:t xml:space="preserve"> </w:t>
      </w:r>
      <w:r w:rsidR="000C3368" w:rsidRPr="00042CE0">
        <w:rPr>
          <w:szCs w:val="24"/>
        </w:rPr>
        <w:t>may</w:t>
      </w:r>
      <w:r w:rsidR="005345FB" w:rsidRPr="00042CE0">
        <w:rPr>
          <w:szCs w:val="24"/>
        </w:rPr>
        <w:t xml:space="preserve"> be </w:t>
      </w:r>
      <w:r w:rsidR="002F6F08" w:rsidRPr="00042CE0">
        <w:rPr>
          <w:szCs w:val="24"/>
        </w:rPr>
        <w:t xml:space="preserve">related to </w:t>
      </w:r>
      <w:r w:rsidR="005345FB" w:rsidRPr="00042CE0">
        <w:rPr>
          <w:szCs w:val="24"/>
        </w:rPr>
        <w:t xml:space="preserve">both the strain effect and the Cu-ligand effect. </w:t>
      </w:r>
      <w:r w:rsidR="00C401D6" w:rsidRPr="00042CE0">
        <w:rPr>
          <w:szCs w:val="24"/>
        </w:rPr>
        <w:t>T</w:t>
      </w:r>
      <w:r w:rsidR="005345FB" w:rsidRPr="00042CE0">
        <w:rPr>
          <w:szCs w:val="24"/>
        </w:rPr>
        <w:t>he present experimental results showed that the ORR activity was enhanced by</w:t>
      </w:r>
      <w:r w:rsidR="002F6F08" w:rsidRPr="00042CE0">
        <w:rPr>
          <w:szCs w:val="24"/>
        </w:rPr>
        <w:t xml:space="preserve"> </w:t>
      </w:r>
      <w:r w:rsidR="00AD310C" w:rsidRPr="00042CE0">
        <w:rPr>
          <w:szCs w:val="24"/>
        </w:rPr>
        <w:t xml:space="preserve">the </w:t>
      </w:r>
      <w:r w:rsidR="002F6F08" w:rsidRPr="00042CE0">
        <w:t xml:space="preserve">dissolution of Cu, although </w:t>
      </w:r>
      <w:r w:rsidR="002F6F08" w:rsidRPr="00042CE0">
        <w:rPr>
          <w:szCs w:val="24"/>
        </w:rPr>
        <w:t xml:space="preserve">the contraction strain </w:t>
      </w:r>
      <w:r w:rsidR="002449EC">
        <w:rPr>
          <w:szCs w:val="24"/>
        </w:rPr>
        <w:t>might be</w:t>
      </w:r>
      <w:r w:rsidR="002449EC" w:rsidRPr="00042CE0">
        <w:rPr>
          <w:szCs w:val="24"/>
        </w:rPr>
        <w:t xml:space="preserve"> </w:t>
      </w:r>
      <w:r w:rsidR="002F6F08" w:rsidRPr="00042CE0">
        <w:rPr>
          <w:szCs w:val="24"/>
        </w:rPr>
        <w:t xml:space="preserve">reduced and the amount of Cu on </w:t>
      </w:r>
      <w:proofErr w:type="spellStart"/>
      <w:r w:rsidR="002F6F08" w:rsidRPr="00042CE0">
        <w:rPr>
          <w:szCs w:val="24"/>
        </w:rPr>
        <w:t>Pd</w:t>
      </w:r>
      <w:proofErr w:type="spellEnd"/>
      <w:r w:rsidR="002F6F08" w:rsidRPr="00042CE0">
        <w:rPr>
          <w:szCs w:val="24"/>
        </w:rPr>
        <w:t xml:space="preserve"> was reduced by the dissolution. The </w:t>
      </w:r>
      <w:proofErr w:type="spellStart"/>
      <w:r w:rsidR="002F6F08" w:rsidRPr="00042CE0">
        <w:rPr>
          <w:szCs w:val="24"/>
        </w:rPr>
        <w:t>Pd</w:t>
      </w:r>
      <w:proofErr w:type="spellEnd"/>
      <w:r w:rsidR="002F6F08" w:rsidRPr="00042CE0">
        <w:rPr>
          <w:szCs w:val="24"/>
        </w:rPr>
        <w:t xml:space="preserve"> surface </w:t>
      </w:r>
      <w:r w:rsidR="00161C0A">
        <w:rPr>
          <w:szCs w:val="24"/>
        </w:rPr>
        <w:t>that</w:t>
      </w:r>
      <w:r w:rsidR="00161C0A" w:rsidRPr="00042CE0">
        <w:rPr>
          <w:szCs w:val="24"/>
        </w:rPr>
        <w:t xml:space="preserve"> </w:t>
      </w:r>
      <w:r w:rsidR="00F566A7" w:rsidRPr="00042CE0">
        <w:rPr>
          <w:szCs w:val="24"/>
        </w:rPr>
        <w:t xml:space="preserve">is </w:t>
      </w:r>
      <w:r w:rsidR="002F6F08" w:rsidRPr="00042CE0">
        <w:rPr>
          <w:szCs w:val="24"/>
        </w:rPr>
        <w:t xml:space="preserve">covered by Cu before the dissolution </w:t>
      </w:r>
      <w:r w:rsidR="00F566A7" w:rsidRPr="00042CE0">
        <w:rPr>
          <w:szCs w:val="24"/>
        </w:rPr>
        <w:t>can</w:t>
      </w:r>
      <w:r w:rsidR="002F6F08" w:rsidRPr="00042CE0">
        <w:rPr>
          <w:szCs w:val="24"/>
        </w:rPr>
        <w:t xml:space="preserve">not provide the sites for ORR. In such a case, only the strain effect enhances the ORR activity because the </w:t>
      </w:r>
      <w:proofErr w:type="spellStart"/>
      <w:r w:rsidR="002F6F08" w:rsidRPr="00042CE0">
        <w:rPr>
          <w:szCs w:val="24"/>
        </w:rPr>
        <w:t>Pd</w:t>
      </w:r>
      <w:proofErr w:type="spellEnd"/>
      <w:r w:rsidR="002F6F08" w:rsidRPr="00042CE0">
        <w:rPr>
          <w:szCs w:val="24"/>
        </w:rPr>
        <w:t xml:space="preserve"> surface </w:t>
      </w:r>
      <w:r w:rsidR="00161C0A">
        <w:rPr>
          <w:szCs w:val="24"/>
        </w:rPr>
        <w:t>that</w:t>
      </w:r>
      <w:r w:rsidR="00161C0A" w:rsidRPr="00042CE0">
        <w:rPr>
          <w:szCs w:val="24"/>
        </w:rPr>
        <w:t xml:space="preserve"> </w:t>
      </w:r>
      <w:r w:rsidR="002F6F08" w:rsidRPr="00042CE0">
        <w:rPr>
          <w:szCs w:val="24"/>
        </w:rPr>
        <w:t>is not covered by Cu provide</w:t>
      </w:r>
      <w:r w:rsidR="00210419" w:rsidRPr="00042CE0">
        <w:rPr>
          <w:rFonts w:hint="eastAsia"/>
          <w:szCs w:val="24"/>
        </w:rPr>
        <w:t>s</w:t>
      </w:r>
      <w:r w:rsidR="002F6F08" w:rsidRPr="00042CE0">
        <w:rPr>
          <w:szCs w:val="24"/>
        </w:rPr>
        <w:t xml:space="preserve"> the sites for ORR</w:t>
      </w:r>
      <w:r w:rsidR="006670A8" w:rsidRPr="00042CE0">
        <w:rPr>
          <w:szCs w:val="24"/>
        </w:rPr>
        <w:t>. After the dissolution, however, not only the strain effect but also the Cu-ligand effect enhance</w:t>
      </w:r>
      <w:r w:rsidR="00210419" w:rsidRPr="00042CE0">
        <w:rPr>
          <w:rFonts w:hint="eastAsia"/>
          <w:szCs w:val="24"/>
        </w:rPr>
        <w:t>s</w:t>
      </w:r>
      <w:r w:rsidR="006670A8" w:rsidRPr="00042CE0">
        <w:rPr>
          <w:szCs w:val="24"/>
        </w:rPr>
        <w:t xml:space="preserve"> the ORR activity because Cu remain</w:t>
      </w:r>
      <w:r w:rsidR="000C3368" w:rsidRPr="00042CE0">
        <w:rPr>
          <w:szCs w:val="24"/>
        </w:rPr>
        <w:t>s</w:t>
      </w:r>
      <w:r w:rsidR="006670A8" w:rsidRPr="00042CE0">
        <w:rPr>
          <w:szCs w:val="24"/>
        </w:rPr>
        <w:t xml:space="preserve"> on the </w:t>
      </w:r>
      <w:proofErr w:type="spellStart"/>
      <w:r w:rsidR="006670A8" w:rsidRPr="00042CE0">
        <w:rPr>
          <w:szCs w:val="24"/>
        </w:rPr>
        <w:t>Pd</w:t>
      </w:r>
      <w:proofErr w:type="spellEnd"/>
      <w:r w:rsidR="006670A8" w:rsidRPr="00042CE0">
        <w:rPr>
          <w:szCs w:val="24"/>
        </w:rPr>
        <w:t xml:space="preserve"> surface. </w:t>
      </w:r>
      <w:r w:rsidR="00135DA1" w:rsidRPr="00042CE0">
        <w:rPr>
          <w:szCs w:val="24"/>
        </w:rPr>
        <w:t>I</w:t>
      </w:r>
      <w:r w:rsidR="000C3368" w:rsidRPr="00042CE0">
        <w:rPr>
          <w:szCs w:val="24"/>
        </w:rPr>
        <w:t xml:space="preserve">t is </w:t>
      </w:r>
      <w:r w:rsidR="00135DA1" w:rsidRPr="00042CE0">
        <w:rPr>
          <w:szCs w:val="24"/>
        </w:rPr>
        <w:t xml:space="preserve">therefore </w:t>
      </w:r>
      <w:r w:rsidR="000C3368" w:rsidRPr="00042CE0">
        <w:rPr>
          <w:szCs w:val="24"/>
        </w:rPr>
        <w:t>suggested that t</w:t>
      </w:r>
      <w:r w:rsidR="006670A8" w:rsidRPr="00042CE0">
        <w:rPr>
          <w:szCs w:val="24"/>
        </w:rPr>
        <w:t>he high ORR activity of BNP-</w:t>
      </w:r>
      <w:proofErr w:type="spellStart"/>
      <w:r w:rsidR="006670A8" w:rsidRPr="00042CE0">
        <w:rPr>
          <w:szCs w:val="24"/>
        </w:rPr>
        <w:t>Pd</w:t>
      </w:r>
      <w:proofErr w:type="spellEnd"/>
      <w:r w:rsidR="006670A8" w:rsidRPr="00042CE0">
        <w:rPr>
          <w:szCs w:val="24"/>
        </w:rPr>
        <w:t xml:space="preserve"> mainly </w:t>
      </w:r>
      <w:r w:rsidR="00161C0A">
        <w:rPr>
          <w:szCs w:val="24"/>
        </w:rPr>
        <w:t>arises from</w:t>
      </w:r>
      <w:r w:rsidR="006670A8" w:rsidRPr="00042CE0">
        <w:rPr>
          <w:szCs w:val="24"/>
        </w:rPr>
        <w:t xml:space="preserve"> the Cu-ligand effect. </w:t>
      </w:r>
    </w:p>
    <w:p w14:paraId="74D2164E" w14:textId="04E0988D" w:rsidR="00276ED2" w:rsidRPr="00042CE0" w:rsidRDefault="00276ED2" w:rsidP="00F311A1">
      <w:pPr>
        <w:pStyle w:val="1"/>
        <w:spacing w:after="240"/>
      </w:pPr>
      <w:r w:rsidRPr="00042CE0">
        <w:t>Conclusions</w:t>
      </w:r>
    </w:p>
    <w:p w14:paraId="3AAEA2DA" w14:textId="30330A3D" w:rsidR="00276ED2" w:rsidRPr="00042CE0" w:rsidRDefault="002E4CCA" w:rsidP="00F311A1">
      <w:pPr>
        <w:spacing w:after="240"/>
      </w:pPr>
      <w:r w:rsidRPr="00042CE0">
        <w:t xml:space="preserve">Efficient ORR </w:t>
      </w:r>
      <w:r w:rsidR="00276ED2" w:rsidRPr="00042CE0">
        <w:t>BNP-</w:t>
      </w:r>
      <w:proofErr w:type="spellStart"/>
      <w:r w:rsidR="00276ED2" w:rsidRPr="00042CE0">
        <w:t>P</w:t>
      </w:r>
      <w:r w:rsidRPr="00042CE0">
        <w:t>d</w:t>
      </w:r>
      <w:r w:rsidR="00A33AB5" w:rsidRPr="00A33AB5">
        <w:rPr>
          <w:highlight w:val="yellow"/>
        </w:rPr>
        <w:t>Cu</w:t>
      </w:r>
      <w:proofErr w:type="spellEnd"/>
      <w:r w:rsidR="00276ED2" w:rsidRPr="00042CE0">
        <w:t xml:space="preserve"> catalysts were fabricated by using NP-Cu as a sacrificial metallic </w:t>
      </w:r>
      <w:r w:rsidR="00276ED2" w:rsidRPr="00042CE0">
        <w:lastRenderedPageBreak/>
        <w:t xml:space="preserve">support. </w:t>
      </w:r>
      <w:r w:rsidR="00CF11EF" w:rsidRPr="00042CE0">
        <w:t xml:space="preserve">Cu remained on </w:t>
      </w:r>
      <w:proofErr w:type="spellStart"/>
      <w:r w:rsidR="00CF11EF" w:rsidRPr="00042CE0">
        <w:t>Pd</w:t>
      </w:r>
      <w:proofErr w:type="spellEnd"/>
      <w:r w:rsidR="00CF11EF" w:rsidRPr="00042CE0">
        <w:t xml:space="preserve"> surfaces even after dissolution of Cu. T</w:t>
      </w:r>
      <w:r w:rsidR="00CF11EF" w:rsidRPr="00042CE0">
        <w:rPr>
          <w:szCs w:val="24"/>
        </w:rPr>
        <w:t>he high ORR activity of BNP-</w:t>
      </w:r>
      <w:proofErr w:type="spellStart"/>
      <w:r w:rsidR="00CF11EF" w:rsidRPr="00A33AB5">
        <w:rPr>
          <w:szCs w:val="24"/>
        </w:rPr>
        <w:t>Pd</w:t>
      </w:r>
      <w:r w:rsidR="00A33AB5" w:rsidRPr="00A33AB5">
        <w:rPr>
          <w:szCs w:val="24"/>
          <w:highlight w:val="yellow"/>
        </w:rPr>
        <w:t>Cu</w:t>
      </w:r>
      <w:proofErr w:type="spellEnd"/>
      <w:r w:rsidR="00CF11EF" w:rsidRPr="00042CE0">
        <w:rPr>
          <w:szCs w:val="24"/>
        </w:rPr>
        <w:t xml:space="preserve"> was suggested to mainly </w:t>
      </w:r>
      <w:r w:rsidR="00161C0A">
        <w:rPr>
          <w:szCs w:val="24"/>
        </w:rPr>
        <w:t>arise from</w:t>
      </w:r>
      <w:r w:rsidR="00CF11EF" w:rsidRPr="00042CE0">
        <w:rPr>
          <w:szCs w:val="24"/>
        </w:rPr>
        <w:t xml:space="preserve"> the Cu-ligand effect.</w:t>
      </w:r>
    </w:p>
    <w:p w14:paraId="15A68E24" w14:textId="1901FA5C" w:rsidR="00B60311" w:rsidRPr="00042CE0" w:rsidRDefault="00A62E6C" w:rsidP="00B60311">
      <w:pPr>
        <w:pStyle w:val="1"/>
        <w:spacing w:after="240"/>
      </w:pPr>
      <w:r>
        <w:t xml:space="preserve">Experimental </w:t>
      </w:r>
      <w:r w:rsidR="00B60311" w:rsidRPr="00042CE0">
        <w:t>methods</w:t>
      </w:r>
    </w:p>
    <w:p w14:paraId="31A7B9CB" w14:textId="0FD7A37B" w:rsidR="00B60311" w:rsidRPr="00042CE0" w:rsidRDefault="00B60311" w:rsidP="00B60311">
      <w:pPr>
        <w:spacing w:after="240"/>
      </w:pPr>
      <w:r w:rsidRPr="00042CE0">
        <w:t>Copper-manganese alloy ingots with the composition of Cu</w:t>
      </w:r>
      <w:r w:rsidRPr="00042CE0">
        <w:rPr>
          <w:vertAlign w:val="subscript"/>
        </w:rPr>
        <w:t>0.3</w:t>
      </w:r>
      <w:r w:rsidRPr="00042CE0">
        <w:t>Mn</w:t>
      </w:r>
      <w:r w:rsidRPr="00042CE0">
        <w:rPr>
          <w:vertAlign w:val="subscript"/>
        </w:rPr>
        <w:t>0.7</w:t>
      </w:r>
      <w:r w:rsidRPr="00042CE0">
        <w:t xml:space="preserve"> were fabricated by the arc melting of pure copper and manganese (</w:t>
      </w:r>
      <w:proofErr w:type="spellStart"/>
      <w:r w:rsidRPr="00042CE0">
        <w:t>Nilaco</w:t>
      </w:r>
      <w:proofErr w:type="spellEnd"/>
      <w:r w:rsidRPr="00042CE0">
        <w:t xml:space="preserve">, Tokyo, Japan) in an </w:t>
      </w:r>
      <w:proofErr w:type="spellStart"/>
      <w:r w:rsidRPr="00042CE0">
        <w:t>Ar</w:t>
      </w:r>
      <w:proofErr w:type="spellEnd"/>
      <w:r w:rsidRPr="00042CE0">
        <w:t xml:space="preserve"> atmosphere. After heating at 1123 K for 24 h in an </w:t>
      </w:r>
      <w:proofErr w:type="spellStart"/>
      <w:r w:rsidRPr="00042CE0">
        <w:t>Ar</w:t>
      </w:r>
      <w:proofErr w:type="spellEnd"/>
      <w:r w:rsidRPr="00042CE0">
        <w:t xml:space="preserve"> atmosphere, the button-shaped alloy ingot was water-</w:t>
      </w:r>
      <w:proofErr w:type="gramStart"/>
      <w:r w:rsidRPr="00042CE0">
        <w:t>quenched,</w:t>
      </w:r>
      <w:r w:rsidR="00053DC7">
        <w:rPr>
          <w:vertAlign w:val="superscript"/>
        </w:rPr>
        <w:t>[</w:t>
      </w:r>
      <w:proofErr w:type="gramEnd"/>
      <w:r w:rsidR="00053DC7">
        <w:rPr>
          <w:vertAlign w:val="superscript"/>
        </w:rPr>
        <w:t>40</w:t>
      </w:r>
      <w:r w:rsidRPr="00042CE0">
        <w:rPr>
          <w:vertAlign w:val="superscript"/>
        </w:rPr>
        <w:t>]</w:t>
      </w:r>
      <w:r w:rsidRPr="00042CE0">
        <w:t xml:space="preserve"> followed by cold rolling to 0.2-mm thickness.</w:t>
      </w:r>
    </w:p>
    <w:p w14:paraId="0A8F7BDD" w14:textId="77777777" w:rsidR="00B60311" w:rsidRPr="00042CE0" w:rsidRDefault="00B60311" w:rsidP="00B60311">
      <w:pPr>
        <w:spacing w:after="240"/>
      </w:pPr>
      <w:proofErr w:type="spellStart"/>
      <w:r w:rsidRPr="00042CE0">
        <w:t>Dealloying</w:t>
      </w:r>
      <w:proofErr w:type="spellEnd"/>
      <w:r w:rsidRPr="00042CE0">
        <w:t xml:space="preserve"> to fabricate NP-Cu was conducted by free corrosion of the rolled Cu</w:t>
      </w:r>
      <w:r w:rsidRPr="00042CE0">
        <w:rPr>
          <w:vertAlign w:val="subscript"/>
        </w:rPr>
        <w:t>0.3</w:t>
      </w:r>
      <w:r w:rsidRPr="00042CE0">
        <w:t>Mn</w:t>
      </w:r>
      <w:r w:rsidRPr="00042CE0">
        <w:rPr>
          <w:vertAlign w:val="subscript"/>
        </w:rPr>
        <w:t>0.7</w:t>
      </w:r>
      <w:r w:rsidRPr="00042CE0">
        <w:t xml:space="preserve"> sheet in 1 </w:t>
      </w:r>
      <w:proofErr w:type="spellStart"/>
      <w:r w:rsidRPr="00042CE0">
        <w:t>mol</w:t>
      </w:r>
      <w:proofErr w:type="spellEnd"/>
      <w:r w:rsidRPr="00042CE0">
        <w:t xml:space="preserve"> L</w:t>
      </w:r>
      <w:r w:rsidRPr="00042CE0">
        <w:rPr>
          <w:vertAlign w:val="superscript"/>
        </w:rPr>
        <w:t>−1</w:t>
      </w:r>
      <w:r w:rsidRPr="00042CE0">
        <w:t xml:space="preserve"> </w:t>
      </w:r>
      <w:proofErr w:type="spellStart"/>
      <w:r w:rsidRPr="00042CE0">
        <w:t>HCl</w:t>
      </w:r>
      <w:proofErr w:type="spellEnd"/>
      <w:r w:rsidRPr="00042CE0">
        <w:t xml:space="preserve"> for 24 h, where manganese was dissolved selectively and copper formed a </w:t>
      </w:r>
      <w:proofErr w:type="spellStart"/>
      <w:r w:rsidRPr="00042CE0">
        <w:t>nanoporous</w:t>
      </w:r>
      <w:proofErr w:type="spellEnd"/>
      <w:r w:rsidRPr="00042CE0">
        <w:t xml:space="preserve"> structure spontaneously (Fig. 1(b)</w:t>
      </w:r>
      <w:proofErr w:type="gramStart"/>
      <w:r w:rsidRPr="00042CE0">
        <w:t>).</w:t>
      </w:r>
      <w:r w:rsidRPr="00042CE0">
        <w:rPr>
          <w:vertAlign w:val="superscript"/>
        </w:rPr>
        <w:t>[</w:t>
      </w:r>
      <w:proofErr w:type="gramEnd"/>
      <w:r w:rsidRPr="00042CE0">
        <w:rPr>
          <w:vertAlign w:val="superscript"/>
        </w:rPr>
        <w:t>11–13]</w:t>
      </w:r>
      <w:r w:rsidRPr="00042CE0">
        <w:t xml:space="preserve"> After recovery by percolation and washing in pure water, the NP-Cu was pulverized manually in an agate bowl.</w:t>
      </w:r>
    </w:p>
    <w:p w14:paraId="3D8F7BF7" w14:textId="642F2C88" w:rsidR="00B60311" w:rsidRPr="00042CE0" w:rsidRDefault="00B60311" w:rsidP="00B60311">
      <w:pPr>
        <w:spacing w:after="240"/>
        <w:rPr>
          <w:highlight w:val="yellow"/>
        </w:rPr>
      </w:pPr>
      <w:r w:rsidRPr="00042CE0">
        <w:t xml:space="preserve">NP-Cu </w:t>
      </w:r>
      <w:r>
        <w:t>(</w:t>
      </w:r>
      <w:r w:rsidRPr="00042CE0">
        <w:t>0.05 g</w:t>
      </w:r>
      <w:r>
        <w:t>)</w:t>
      </w:r>
      <w:r w:rsidRPr="00042CE0">
        <w:t xml:space="preserve"> was mixed with 5 </w:t>
      </w:r>
      <w:proofErr w:type="spellStart"/>
      <w:r w:rsidRPr="00042CE0">
        <w:t>wt</w:t>
      </w:r>
      <w:proofErr w:type="spellEnd"/>
      <w:r w:rsidRPr="00042CE0">
        <w:t xml:space="preserve">% </w:t>
      </w:r>
      <w:proofErr w:type="spellStart"/>
      <w:r w:rsidRPr="00042CE0">
        <w:t>Nafion</w:t>
      </w:r>
      <w:proofErr w:type="spellEnd"/>
      <w:r w:rsidRPr="00042CE0">
        <w:t xml:space="preserve"> </w:t>
      </w:r>
      <w:proofErr w:type="spellStart"/>
      <w:r w:rsidRPr="00042CE0">
        <w:t>ethanolic</w:t>
      </w:r>
      <w:proofErr w:type="spellEnd"/>
      <w:r w:rsidRPr="00042CE0">
        <w:t xml:space="preserve"> solution </w:t>
      </w:r>
      <w:r>
        <w:t>(</w:t>
      </w:r>
      <w:r w:rsidRPr="00042CE0">
        <w:t>1 g</w:t>
      </w:r>
      <w:r>
        <w:t>)</w:t>
      </w:r>
      <w:r w:rsidRPr="00042CE0">
        <w:t xml:space="preserve"> and of water</w:t>
      </w:r>
      <w:r>
        <w:t xml:space="preserve"> (</w:t>
      </w:r>
      <w:r w:rsidRPr="00042CE0">
        <w:t>5 g</w:t>
      </w:r>
      <w:r>
        <w:t>)</w:t>
      </w:r>
      <w:r w:rsidRPr="00042CE0">
        <w:t>. After homogenization in an ultrasonic bath, th</w:t>
      </w:r>
      <w:r>
        <w:t>e</w:t>
      </w:r>
      <w:r w:rsidRPr="00042CE0">
        <w:t xml:space="preserve"> suspension was fixed on a glassy carbon (GC) rotation disk electrode (RDE) with 5-mm diameter. The displacement deposition of palladium on the fixed NP-Cu was conducted by immersing the GC RDE in diluted </w:t>
      </w:r>
      <w:proofErr w:type="spellStart"/>
      <w:r w:rsidRPr="00042CE0">
        <w:t>HCl</w:t>
      </w:r>
      <w:proofErr w:type="spellEnd"/>
      <w:r w:rsidRPr="00042CE0">
        <w:t xml:space="preserve"> containing 0.1 </w:t>
      </w:r>
      <w:proofErr w:type="spellStart"/>
      <w:r w:rsidRPr="00042CE0">
        <w:t>mol</w:t>
      </w:r>
      <w:proofErr w:type="spellEnd"/>
      <w:r w:rsidRPr="00042CE0">
        <w:t xml:space="preserve"> L</w:t>
      </w:r>
      <w:r w:rsidRPr="00042CE0">
        <w:rPr>
          <w:vertAlign w:val="superscript"/>
        </w:rPr>
        <w:t>−1</w:t>
      </w:r>
      <w:r w:rsidRPr="00042CE0">
        <w:t xml:space="preserve"> PdCl</w:t>
      </w:r>
      <w:r w:rsidRPr="00042CE0">
        <w:rPr>
          <w:vertAlign w:val="subscript"/>
        </w:rPr>
        <w:t>2</w:t>
      </w:r>
      <w:r w:rsidRPr="00042CE0">
        <w:t xml:space="preserve"> at 273 K for 1 h at 600 </w:t>
      </w:r>
      <w:proofErr w:type="gramStart"/>
      <w:r w:rsidRPr="00042CE0">
        <w:t>rpm.</w:t>
      </w:r>
      <w:r w:rsidR="00053DC7">
        <w:rPr>
          <w:vertAlign w:val="superscript"/>
        </w:rPr>
        <w:t>[</w:t>
      </w:r>
      <w:proofErr w:type="gramEnd"/>
      <w:r w:rsidR="00053DC7">
        <w:rPr>
          <w:vertAlign w:val="superscript"/>
        </w:rPr>
        <w:t>41</w:t>
      </w:r>
      <w:r w:rsidRPr="00042CE0">
        <w:rPr>
          <w:vertAlign w:val="superscript"/>
        </w:rPr>
        <w:t>]</w:t>
      </w:r>
      <w:r w:rsidRPr="00042CE0">
        <w:t xml:space="preserve"> Thus, the GC electrode include</w:t>
      </w:r>
      <w:r>
        <w:t>d</w:t>
      </w:r>
      <w:r w:rsidRPr="00042CE0">
        <w:t xml:space="preserve"> NP-Cu with a fine </w:t>
      </w:r>
      <w:r w:rsidRPr="00042CE0">
        <w:rPr>
          <w:rFonts w:hint="eastAsia"/>
        </w:rPr>
        <w:t xml:space="preserve">palladium </w:t>
      </w:r>
      <w:r w:rsidRPr="00042CE0">
        <w:t xml:space="preserve">deposition; the bimodal </w:t>
      </w:r>
      <w:proofErr w:type="spellStart"/>
      <w:r w:rsidRPr="00042CE0">
        <w:t>nanoporous</w:t>
      </w:r>
      <w:proofErr w:type="spellEnd"/>
      <w:r w:rsidRPr="00042CE0">
        <w:t xml:space="preserve"> structure of palladium supported on NP-Cu </w:t>
      </w:r>
      <w:r>
        <w:t>was</w:t>
      </w:r>
      <w:r w:rsidRPr="00042CE0">
        <w:t xml:space="preserve"> expected to form already at this step (Fig. 1(a)). The GC electrode that include</w:t>
      </w:r>
      <w:r>
        <w:t>d</w:t>
      </w:r>
      <w:r w:rsidRPr="00042CE0">
        <w:t xml:space="preserve"> BNP-</w:t>
      </w:r>
      <w:proofErr w:type="spellStart"/>
      <w:r w:rsidRPr="00042CE0">
        <w:t>P</w:t>
      </w:r>
      <w:r w:rsidRPr="00042CE0">
        <w:rPr>
          <w:rFonts w:hint="eastAsia"/>
        </w:rPr>
        <w:t>d</w:t>
      </w:r>
      <w:r w:rsidRPr="00A33AB5">
        <w:rPr>
          <w:highlight w:val="yellow"/>
        </w:rPr>
        <w:t>Cu</w:t>
      </w:r>
      <w:proofErr w:type="spellEnd"/>
      <w:r w:rsidRPr="00042CE0">
        <w:t xml:space="preserve"> was immersed in 0.1 </w:t>
      </w:r>
      <w:proofErr w:type="spellStart"/>
      <w:r w:rsidRPr="00042CE0">
        <w:t>mol</w:t>
      </w:r>
      <w:proofErr w:type="spellEnd"/>
      <w:r w:rsidRPr="00042CE0">
        <w:t xml:space="preserve"> L</w:t>
      </w:r>
      <w:r w:rsidRPr="00042CE0">
        <w:rPr>
          <w:vertAlign w:val="superscript"/>
        </w:rPr>
        <w:t>−1</w:t>
      </w:r>
      <w:r w:rsidRPr="00042CE0">
        <w:t xml:space="preserve"> HNO</w:t>
      </w:r>
      <w:r w:rsidRPr="00042CE0">
        <w:rPr>
          <w:vertAlign w:val="subscript"/>
        </w:rPr>
        <w:t>3</w:t>
      </w:r>
      <w:r w:rsidRPr="00042CE0">
        <w:t xml:space="preserve"> for 18 h to dissolve </w:t>
      </w:r>
      <w:r>
        <w:t xml:space="preserve">the </w:t>
      </w:r>
      <w:r w:rsidRPr="00042CE0">
        <w:t>supporting copper.</w:t>
      </w:r>
    </w:p>
    <w:p w14:paraId="449392CA" w14:textId="10AB8E4D" w:rsidR="00B60311" w:rsidRPr="00042CE0" w:rsidRDefault="00B60311" w:rsidP="00B60311">
      <w:pPr>
        <w:spacing w:after="240"/>
        <w:rPr>
          <w:highlight w:val="yellow"/>
        </w:rPr>
      </w:pPr>
      <w:r w:rsidRPr="00042CE0">
        <w:t>We conducted cyclic voltammetry (CV) at room temperature by using the GC electrode load</w:t>
      </w:r>
      <w:r>
        <w:t>ed with</w:t>
      </w:r>
      <w:r w:rsidRPr="00042CE0">
        <w:t xml:space="preserve"> BNP-</w:t>
      </w:r>
      <w:proofErr w:type="spellStart"/>
      <w:r w:rsidRPr="00042CE0">
        <w:t>Pd</w:t>
      </w:r>
      <w:r w:rsidRPr="00A33AB5">
        <w:rPr>
          <w:highlight w:val="yellow"/>
        </w:rPr>
        <w:t>Cu</w:t>
      </w:r>
      <w:proofErr w:type="spellEnd"/>
      <w:r w:rsidRPr="00042CE0">
        <w:t xml:space="preserve"> as a working electrode. To evaluate the electrochemical surface area </w:t>
      </w:r>
      <w:r w:rsidRPr="00042CE0">
        <w:lastRenderedPageBreak/>
        <w:t>(ECSA) of the BNP-</w:t>
      </w:r>
      <w:proofErr w:type="spellStart"/>
      <w:r w:rsidRPr="00042CE0">
        <w:t>Pd</w:t>
      </w:r>
      <w:r w:rsidRPr="00A33AB5">
        <w:rPr>
          <w:highlight w:val="yellow"/>
        </w:rPr>
        <w:t>Cu</w:t>
      </w:r>
      <w:proofErr w:type="spellEnd"/>
      <w:r w:rsidRPr="00042CE0">
        <w:t xml:space="preserve"> samples, CV was conducted in degassed 0.1 </w:t>
      </w:r>
      <w:proofErr w:type="spellStart"/>
      <w:r w:rsidRPr="00042CE0">
        <w:t>mol</w:t>
      </w:r>
      <w:proofErr w:type="spellEnd"/>
      <w:r w:rsidRPr="00042CE0">
        <w:t xml:space="preserve"> L</w:t>
      </w:r>
      <w:r w:rsidRPr="00042CE0">
        <w:rPr>
          <w:vertAlign w:val="superscript"/>
        </w:rPr>
        <w:t>−1</w:t>
      </w:r>
      <w:r w:rsidRPr="00042CE0">
        <w:t xml:space="preserve"> H</w:t>
      </w:r>
      <w:r w:rsidRPr="00042CE0">
        <w:rPr>
          <w:vertAlign w:val="subscript"/>
        </w:rPr>
        <w:t>2</w:t>
      </w:r>
      <w:r w:rsidRPr="00042CE0">
        <w:t>SO</w:t>
      </w:r>
      <w:r w:rsidRPr="00042CE0">
        <w:rPr>
          <w:vertAlign w:val="subscript"/>
        </w:rPr>
        <w:t>4</w:t>
      </w:r>
      <w:r w:rsidRPr="00042CE0">
        <w:t xml:space="preserve"> with a scan rate of 10 mV s</w:t>
      </w:r>
      <w:r w:rsidRPr="00042CE0">
        <w:rPr>
          <w:vertAlign w:val="superscript"/>
        </w:rPr>
        <w:t>−1</w:t>
      </w:r>
      <w:r w:rsidRPr="00042CE0">
        <w:t xml:space="preserve">. A reversible hydrogen electrode (RHE) and Pt wire were used as a reference and counter electrode, respectively. For electrochemical cleaning, CV was repeated until a steady current-potential cyclic curve was attained. The charge </w:t>
      </w:r>
      <w:r w:rsidRPr="00042CE0">
        <w:rPr>
          <w:szCs w:val="24"/>
        </w:rPr>
        <w:t>(</w:t>
      </w:r>
      <m:oMath>
        <m:sSub>
          <m:sSubPr>
            <m:ctrlPr>
              <w:rPr>
                <w:rFonts w:ascii="Cambria Math" w:hAnsi="Cambria Math"/>
                <w:szCs w:val="24"/>
              </w:rPr>
            </m:ctrlPr>
          </m:sSubPr>
          <m:e>
            <m:r>
              <w:rPr>
                <w:rFonts w:ascii="Cambria Math" w:hAnsi="Cambria Math"/>
                <w:szCs w:val="24"/>
              </w:rPr>
              <m:t>Q</m:t>
            </m:r>
          </m:e>
          <m:sub>
            <m:r>
              <m:rPr>
                <m:sty m:val="p"/>
              </m:rPr>
              <w:rPr>
                <w:rFonts w:ascii="Cambria Math" w:hAnsi="Cambria Math" w:hint="eastAsia"/>
                <w:szCs w:val="24"/>
              </w:rPr>
              <m:t>O</m:t>
            </m:r>
          </m:sub>
        </m:sSub>
      </m:oMath>
      <w:r w:rsidRPr="00042CE0">
        <w:rPr>
          <w:szCs w:val="24"/>
        </w:rPr>
        <w:t xml:space="preserve">) </w:t>
      </w:r>
      <w:r w:rsidRPr="00042CE0">
        <w:t xml:space="preserve">associated with </w:t>
      </w:r>
      <w:r w:rsidRPr="00042CE0">
        <w:rPr>
          <w:szCs w:val="24"/>
        </w:rPr>
        <w:t xml:space="preserve">the reduction of oxidized monolayer </w:t>
      </w:r>
      <w:r w:rsidRPr="00042CE0">
        <w:t xml:space="preserve">was calculated by using the </w:t>
      </w:r>
      <w:proofErr w:type="spellStart"/>
      <w:r w:rsidRPr="00042CE0">
        <w:t>cathodic</w:t>
      </w:r>
      <w:proofErr w:type="spellEnd"/>
      <w:r w:rsidRPr="00042CE0">
        <w:t xml:space="preserve"> peak between 0.6 and 0.8 V (vs. RHE), which was then converted to the ECSA (</w:t>
      </w:r>
      <m:oMath>
        <m:r>
          <w:rPr>
            <w:rFonts w:ascii="Cambria Math" w:hAnsi="Cambria Math" w:hint="eastAsia"/>
          </w:rPr>
          <m:t>A</m:t>
        </m:r>
      </m:oMath>
      <w:r w:rsidRPr="00042CE0">
        <w:t>) of the sample:</w:t>
      </w:r>
      <w:r w:rsidRPr="00042CE0">
        <w:rPr>
          <w:vertAlign w:val="superscript"/>
        </w:rPr>
        <w:t>[</w:t>
      </w:r>
      <w:r w:rsidR="00053DC7">
        <w:rPr>
          <w:vertAlign w:val="superscript"/>
        </w:rPr>
        <w:t>42</w:t>
      </w:r>
      <w:r w:rsidRPr="00042CE0">
        <w:rPr>
          <w:vertAlign w:val="superscript"/>
        </w:rPr>
        <w:t>]</w:t>
      </w:r>
      <w:r w:rsidRPr="00042CE0">
        <w:br/>
      </w:r>
      <m:oMathPara>
        <m:oMath>
          <m:eqArr>
            <m:eqArrPr>
              <m:maxDist m:val="1"/>
              <m:ctrlPr>
                <w:rPr>
                  <w:rFonts w:ascii="Cambria Math" w:hAnsi="Cambria Math"/>
                </w:rPr>
              </m:ctrlPr>
            </m:eqArrPr>
            <m:e>
              <m:f>
                <m:fPr>
                  <m:type m:val="lin"/>
                  <m:ctrlPr>
                    <w:rPr>
                      <w:rFonts w:ascii="Cambria Math" w:hAnsi="Cambria Math"/>
                    </w:rPr>
                  </m:ctrlPr>
                </m:fPr>
                <m:num>
                  <m:sSub>
                    <m:sSubPr>
                      <m:ctrlPr>
                        <w:rPr>
                          <w:rFonts w:ascii="Cambria Math" w:hAnsi="Cambria Math"/>
                        </w:rPr>
                      </m:ctrlPr>
                    </m:sSubPr>
                    <m:e>
                      <m:r>
                        <w:rPr>
                          <w:rFonts w:ascii="Cambria Math" w:hAnsi="Cambria Math"/>
                        </w:rPr>
                        <m:t>A</m:t>
                      </m:r>
                    </m:e>
                    <m:sub>
                      <m:r>
                        <m:rPr>
                          <m:nor/>
                        </m:rPr>
                        <w:rPr>
                          <w:rFonts w:ascii="Cambria Math" w:hAnsi="Cambria Math"/>
                        </w:rPr>
                        <m:t>sample</m:t>
                      </m:r>
                    </m:sub>
                  </m:sSub>
                  <m:ctrlPr>
                    <w:rPr>
                      <w:rFonts w:ascii="Cambria Math" w:hAnsi="Cambria Math"/>
                      <w:i/>
                    </w:rPr>
                  </m:ctrlPr>
                </m:num>
                <m:den>
                  <m:sSub>
                    <m:sSubPr>
                      <m:ctrlPr>
                        <w:rPr>
                          <w:rFonts w:ascii="Cambria Math" w:hAnsi="Cambria Math"/>
                        </w:rPr>
                      </m:ctrlPr>
                    </m:sSubPr>
                    <m:e>
                      <m:r>
                        <w:rPr>
                          <w:rFonts w:ascii="Cambria Math" w:hAnsi="Cambria Math"/>
                        </w:rPr>
                        <m:t>A</m:t>
                      </m:r>
                    </m:e>
                    <m:sub>
                      <m:r>
                        <m:rPr>
                          <m:nor/>
                        </m:rPr>
                        <w:rPr>
                          <w:rFonts w:ascii="Cambria Math" w:hAnsi="Cambria Math"/>
                        </w:rPr>
                        <m:t>bulk</m:t>
                      </m:r>
                    </m:sub>
                  </m:sSub>
                </m:den>
              </m:f>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Q</m:t>
                      </m:r>
                    </m:e>
                    <m:sub>
                      <m:r>
                        <m:rPr>
                          <m:nor/>
                        </m:rPr>
                        <w:rPr>
                          <w:rFonts w:ascii="Cambria Math" w:hAnsi="Cambria Math"/>
                        </w:rPr>
                        <m:t>O,sample</m:t>
                      </m:r>
                    </m:sub>
                  </m:sSub>
                  <m:ctrlPr>
                    <w:rPr>
                      <w:rFonts w:ascii="Cambria Math" w:hAnsi="Cambria Math"/>
                      <w:i/>
                    </w:rPr>
                  </m:ctrlPr>
                </m:num>
                <m:den>
                  <m:sSub>
                    <m:sSubPr>
                      <m:ctrlPr>
                        <w:rPr>
                          <w:rFonts w:ascii="Cambria Math" w:hAnsi="Cambria Math"/>
                        </w:rPr>
                      </m:ctrlPr>
                    </m:sSubPr>
                    <m:e>
                      <m:r>
                        <w:rPr>
                          <w:rFonts w:ascii="Cambria Math" w:hAnsi="Cambria Math"/>
                        </w:rPr>
                        <m:t>Q</m:t>
                      </m:r>
                    </m:e>
                    <m:sub>
                      <m:r>
                        <m:rPr>
                          <m:nor/>
                        </m:rPr>
                        <w:rPr>
                          <w:rFonts w:ascii="Cambria Math" w:hAnsi="Cambria Math"/>
                        </w:rPr>
                        <m:t>O,bulk</m:t>
                      </m:r>
                    </m:sub>
                  </m:sSub>
                </m:den>
              </m:f>
              <m:r>
                <w:rPr>
                  <w:rFonts w:ascii="Cambria Math" w:hAnsi="Cambria Math"/>
                </w:rPr>
                <m:t>#</m:t>
              </m:r>
              <m:d>
                <m:dPr>
                  <m:ctrlPr>
                    <w:rPr>
                      <w:rFonts w:ascii="Cambria Math" w:hAnsi="Cambria Math"/>
                      <w:i/>
                    </w:rPr>
                  </m:ctrlPr>
                </m:dPr>
                <m:e>
                  <m:r>
                    <m:rPr>
                      <m:sty m:val="p"/>
                    </m:rPr>
                    <w:rPr>
                      <w:rFonts w:ascii="Cambria Math"/>
                    </w:rPr>
                    <w:fldChar w:fldCharType="begin"/>
                  </m:r>
                  <m:r>
                    <m:rPr>
                      <m:sty m:val="p"/>
                    </m:rPr>
                    <w:rPr>
                      <w:rFonts w:ascii="Cambria Math"/>
                    </w:rPr>
                    <m:t xml:space="preserve"> SEQ Equation \* ARABIC </m:t>
                  </m:r>
                  <m:r>
                    <m:rPr>
                      <m:sty m:val="p"/>
                    </m:rPr>
                    <w:rPr>
                      <w:rFonts w:ascii="Cambria Math"/>
                    </w:rPr>
                    <w:fldChar w:fldCharType="separate"/>
                  </m:r>
                  <m:r>
                    <m:rPr>
                      <m:sty m:val="p"/>
                    </m:rPr>
                    <w:rPr>
                      <w:rFonts w:ascii="Cambria Math"/>
                      <w:noProof/>
                    </w:rPr>
                    <m:t>1</m:t>
                  </m:r>
                  <m:r>
                    <m:rPr>
                      <m:sty m:val="p"/>
                    </m:rPr>
                    <w:rPr>
                      <w:rFonts w:ascii="Cambria Math"/>
                    </w:rPr>
                    <w:fldChar w:fldCharType="end"/>
                  </m:r>
                  <m:ctrlPr>
                    <w:rPr>
                      <w:rFonts w:ascii="Cambria Math" w:hAnsi="Cambria Math"/>
                    </w:rPr>
                  </m:ctrlPr>
                </m:e>
              </m:d>
            </m:e>
          </m:eqArr>
          <m:r>
            <m:rPr>
              <m:sty m:val="p"/>
            </m:rPr>
            <w:rPr>
              <w:rFonts w:ascii="Cambria Math" w:hAnsi="Cambria Math"/>
            </w:rPr>
            <w:br/>
          </m:r>
        </m:oMath>
      </m:oMathPara>
      <w:r w:rsidRPr="00042CE0">
        <w:t>where the subscripts “sample” and “bulk” represent the BNP-</w:t>
      </w:r>
      <w:proofErr w:type="spellStart"/>
      <w:r w:rsidRPr="00042CE0">
        <w:t>Pd</w:t>
      </w:r>
      <w:r w:rsidRPr="00A33AB5">
        <w:rPr>
          <w:highlight w:val="yellow"/>
        </w:rPr>
        <w:t>Cu</w:t>
      </w:r>
      <w:proofErr w:type="spellEnd"/>
      <w:r w:rsidRPr="00042CE0">
        <w:t xml:space="preserve"> and bulk palladium, respectively.</w:t>
      </w:r>
    </w:p>
    <w:p w14:paraId="6C7323F9" w14:textId="4E3C056E" w:rsidR="00B60311" w:rsidRPr="00042CE0" w:rsidRDefault="00B60311" w:rsidP="00B60311">
      <w:pPr>
        <w:spacing w:after="240"/>
      </w:pPr>
      <w:r w:rsidRPr="00042CE0">
        <w:t>The working GC-RDE-loaded BNP-</w:t>
      </w:r>
      <w:proofErr w:type="spellStart"/>
      <w:r w:rsidRPr="00042CE0">
        <w:t>Pd</w:t>
      </w:r>
      <w:r w:rsidRPr="00A33AB5">
        <w:rPr>
          <w:highlight w:val="yellow"/>
        </w:rPr>
        <w:t>Cu</w:t>
      </w:r>
      <w:proofErr w:type="spellEnd"/>
      <w:r w:rsidRPr="00042CE0">
        <w:t xml:space="preserve"> was rotated for ORR activity measurements during CV in an electrolyte of O</w:t>
      </w:r>
      <w:r w:rsidRPr="00042CE0">
        <w:rPr>
          <w:vertAlign w:val="subscript"/>
        </w:rPr>
        <w:t>2</w:t>
      </w:r>
      <w:r w:rsidRPr="00042CE0">
        <w:t xml:space="preserve">-saturated 0.1 </w:t>
      </w:r>
      <w:proofErr w:type="spellStart"/>
      <w:r w:rsidRPr="00042CE0">
        <w:t>mol</w:t>
      </w:r>
      <w:proofErr w:type="spellEnd"/>
      <w:r w:rsidRPr="00042CE0">
        <w:t xml:space="preserve"> L</w:t>
      </w:r>
      <w:r w:rsidRPr="00042CE0">
        <w:rPr>
          <w:vertAlign w:val="superscript"/>
        </w:rPr>
        <w:t>−1</w:t>
      </w:r>
      <w:r w:rsidRPr="00042CE0">
        <w:t xml:space="preserve"> H</w:t>
      </w:r>
      <w:r w:rsidRPr="00042CE0">
        <w:rPr>
          <w:vertAlign w:val="subscript"/>
        </w:rPr>
        <w:t>2</w:t>
      </w:r>
      <w:r w:rsidRPr="00042CE0">
        <w:t>SO</w:t>
      </w:r>
      <w:r w:rsidRPr="00042CE0">
        <w:rPr>
          <w:vertAlign w:val="subscript"/>
        </w:rPr>
        <w:t>4</w:t>
      </w:r>
      <w:r w:rsidRPr="00042CE0">
        <w:t xml:space="preserve"> with a scan rate of 10 mV s</w:t>
      </w:r>
      <w:r w:rsidRPr="00042CE0">
        <w:rPr>
          <w:vertAlign w:val="superscript"/>
        </w:rPr>
        <w:t>−1</w:t>
      </w:r>
      <w:r w:rsidRPr="00042CE0">
        <w:t xml:space="preserve">. The kinetically-controlled current </w:t>
      </w:r>
      <m:oMath>
        <m:sSub>
          <m:sSubPr>
            <m:ctrlPr>
              <w:rPr>
                <w:rFonts w:ascii="Cambria Math" w:hAnsi="Cambria Math"/>
              </w:rPr>
            </m:ctrlPr>
          </m:sSubPr>
          <m:e>
            <m:r>
              <w:rPr>
                <w:rFonts w:ascii="Cambria Math" w:hAnsi="Cambria Math"/>
              </w:rPr>
              <m:t>i</m:t>
            </m:r>
          </m:e>
          <m:sub>
            <m:r>
              <m:rPr>
                <m:sty m:val="p"/>
              </m:rPr>
              <w:rPr>
                <w:rFonts w:ascii="Cambria Math" w:hAnsi="Cambria Math"/>
              </w:rPr>
              <m:t>K</m:t>
            </m:r>
          </m:sub>
        </m:sSub>
      </m:oMath>
      <w:r w:rsidRPr="00042CE0">
        <w:t>, which is an index of the ORR activity of the BNP-</w:t>
      </w:r>
      <w:proofErr w:type="spellStart"/>
      <w:r w:rsidRPr="00A57B72">
        <w:rPr>
          <w:highlight w:val="yellow"/>
        </w:rPr>
        <w:t>P</w:t>
      </w:r>
      <w:r w:rsidR="00A57B72" w:rsidRPr="00A57B72">
        <w:rPr>
          <w:highlight w:val="yellow"/>
        </w:rPr>
        <w:t>dCu</w:t>
      </w:r>
      <w:proofErr w:type="spellEnd"/>
      <w:r w:rsidRPr="00042CE0">
        <w:t>, was calculated according to:</w:t>
      </w:r>
      <w:r w:rsidRPr="00042CE0">
        <w:br/>
      </w:r>
      <m:oMathPara>
        <m:oMath>
          <m:eqArr>
            <m:eqArrPr>
              <m:maxDist m:val="1"/>
              <m:ctrlPr>
                <w:rPr>
                  <w:rFonts w:ascii="Cambria Math" w:hAnsi="Cambria Math"/>
                  <w:i/>
                </w:rPr>
              </m:ctrlPr>
            </m:eqArrPr>
            <m:e>
              <m:f>
                <m:fPr>
                  <m:type m:val="lin"/>
                  <m:ctrlPr>
                    <w:rPr>
                      <w:rFonts w:ascii="Cambria Math" w:hAnsi="Cambria Math"/>
                    </w:rPr>
                  </m:ctrlPr>
                </m:fPr>
                <m:num>
                  <m:r>
                    <m:rPr>
                      <m:sty m:val="p"/>
                    </m:rPr>
                    <w:rPr>
                      <w:rFonts w:ascii="Cambria Math" w:hAnsi="Cambria Math"/>
                    </w:rPr>
                    <m:t>1</m:t>
                  </m:r>
                </m:num>
                <m:den>
                  <m:r>
                    <w:rPr>
                      <w:rFonts w:ascii="Cambria Math" w:hAnsi="Cambria Math"/>
                    </w:rPr>
                    <m:t>i</m:t>
                  </m:r>
                </m:den>
              </m:f>
              <m:r>
                <w:rPr>
                  <w:rFonts w:ascii="Cambria Math" w:hAnsi="Cambria Math"/>
                </w:rPr>
                <m:t>=</m:t>
              </m:r>
              <m:f>
                <m:fPr>
                  <m:type m:val="lin"/>
                  <m:ctrlPr>
                    <w:rPr>
                      <w:rFonts w:ascii="Cambria Math" w:hAnsi="Cambria Math"/>
                    </w:rPr>
                  </m:ctrlPr>
                </m:fPr>
                <m:num>
                  <m:r>
                    <w:rPr>
                      <w:rFonts w:ascii="Cambria Math" w:hAnsi="Cambria Math"/>
                    </w:rPr>
                    <m:t>1</m:t>
                  </m:r>
                </m:num>
                <m:den>
                  <m:sSub>
                    <m:sSubPr>
                      <m:ctrlPr>
                        <w:rPr>
                          <w:rFonts w:ascii="Cambria Math" w:hAnsi="Cambria Math"/>
                        </w:rPr>
                      </m:ctrlPr>
                    </m:sSubPr>
                    <m:e>
                      <m:r>
                        <w:rPr>
                          <w:rFonts w:ascii="Cambria Math" w:hAnsi="Cambria Math"/>
                        </w:rPr>
                        <m:t>i</m:t>
                      </m:r>
                    </m:e>
                    <m:sub>
                      <m:r>
                        <m:rPr>
                          <m:sty m:val="p"/>
                        </m:rPr>
                        <w:rPr>
                          <w:rFonts w:ascii="Cambria Math" w:hAnsi="Cambria Math"/>
                        </w:rPr>
                        <m:t>K</m:t>
                      </m:r>
                    </m:sub>
                  </m:sSub>
                </m:den>
              </m:f>
              <m:r>
                <w:rPr>
                  <w:rFonts w:ascii="Cambria Math" w:hAnsi="Cambria Math"/>
                </w:rPr>
                <m:t>+</m:t>
              </m:r>
              <m:f>
                <m:fPr>
                  <m:type m:val="lin"/>
                  <m:ctrlPr>
                    <w:rPr>
                      <w:rFonts w:ascii="Cambria Math" w:hAnsi="Cambria Math"/>
                    </w:rPr>
                  </m:ctrlPr>
                </m:fPr>
                <m:num>
                  <m:r>
                    <w:rPr>
                      <w:rFonts w:ascii="Cambria Math" w:hAnsi="Cambria Math"/>
                    </w:rPr>
                    <m:t>1</m:t>
                  </m:r>
                </m:num>
                <m:den>
                  <m:r>
                    <w:rPr>
                      <w:rFonts w:ascii="Cambria Math" w:hAnsi="Cambria Math"/>
                    </w:rPr>
                    <m:t>B</m:t>
                  </m:r>
                  <m:sSup>
                    <m:sSupPr>
                      <m:ctrlPr>
                        <w:rPr>
                          <w:rFonts w:ascii="Cambria Math" w:hAnsi="Cambria Math"/>
                        </w:rPr>
                      </m:ctrlPr>
                    </m:sSupPr>
                    <m:e>
                      <m:r>
                        <w:rPr>
                          <w:rFonts w:ascii="Cambria Math" w:hAnsi="Cambria Math"/>
                        </w:rPr>
                        <m:t>ω</m:t>
                      </m:r>
                    </m:e>
                    <m:sup>
                      <m:f>
                        <m:fPr>
                          <m:type m:val="lin"/>
                          <m:ctrlPr>
                            <w:rPr>
                              <w:rFonts w:ascii="Cambria Math" w:hAnsi="Cambria Math"/>
                            </w:rPr>
                          </m:ctrlPr>
                        </m:fPr>
                        <m:num>
                          <m:r>
                            <w:rPr>
                              <w:rFonts w:ascii="Cambria Math" w:hAnsi="Cambria Math"/>
                            </w:rPr>
                            <m:t>1</m:t>
                          </m:r>
                        </m:num>
                        <m:den>
                          <m:r>
                            <w:rPr>
                              <w:rFonts w:ascii="Cambria Math" w:hAnsi="Cambria Math"/>
                            </w:rPr>
                            <m:t>2</m:t>
                          </m:r>
                        </m:den>
                      </m:f>
                    </m:sup>
                  </m:sSup>
                </m:den>
              </m:f>
              <m:r>
                <w:rPr>
                  <w:rFonts w:ascii="Cambria Math" w:hAnsi="Cambria Math"/>
                </w:rPr>
                <m:t>#</m:t>
              </m:r>
              <m:d>
                <m:dPr>
                  <m:ctrlPr>
                    <w:rPr>
                      <w:rFonts w:ascii="Cambria Math" w:hAnsi="Cambria Math"/>
                    </w:rPr>
                  </m:ctrlPr>
                </m:dPr>
                <m:e>
                  <m:r>
                    <m:rPr>
                      <m:sty m:val="p"/>
                    </m:rPr>
                    <w:rPr>
                      <w:rFonts w:ascii="Cambria Math" w:hAnsi="Cambria Math"/>
                    </w:rPr>
                    <w:fldChar w:fldCharType="begin"/>
                  </m:r>
                  <m:r>
                    <m:rPr>
                      <m:sty m:val="p"/>
                    </m:rPr>
                    <w:rPr>
                      <w:rFonts w:ascii="Cambria Math" w:hAnsi="Cambria Math"/>
                    </w:rPr>
                    <m:t xml:space="preserve"> SEQ Equation \* ARABIC </m:t>
                  </m:r>
                  <m:r>
                    <m:rPr>
                      <m:sty m:val="p"/>
                    </m:rPr>
                    <w:rPr>
                      <w:rFonts w:ascii="Cambria Math" w:hAnsi="Cambria Math"/>
                    </w:rPr>
                    <w:fldChar w:fldCharType="separate"/>
                  </m:r>
                  <m:r>
                    <m:rPr>
                      <m:sty m:val="p"/>
                    </m:rPr>
                    <w:rPr>
                      <w:rFonts w:ascii="Cambria Math" w:hAnsi="Cambria Math"/>
                      <w:noProof/>
                    </w:rPr>
                    <m:t>2</m:t>
                  </m:r>
                  <m:r>
                    <m:rPr>
                      <m:sty m:val="p"/>
                    </m:rPr>
                    <w:rPr>
                      <w:rFonts w:ascii="Cambria Math" w:hAnsi="Cambria Math"/>
                    </w:rPr>
                    <w:fldChar w:fldCharType="end"/>
                  </m:r>
                </m:e>
              </m:d>
            </m:e>
          </m:eqArr>
        </m:oMath>
      </m:oMathPara>
    </w:p>
    <w:p w14:paraId="18380A6F" w14:textId="787CA2F5" w:rsidR="00B60311" w:rsidRPr="00042CE0" w:rsidRDefault="00B60311" w:rsidP="00B60311">
      <w:pPr>
        <w:spacing w:after="240"/>
      </w:pPr>
      <w:r w:rsidRPr="00042CE0">
        <w:t xml:space="preserve">where </w:t>
      </w:r>
      <m:oMath>
        <m:r>
          <w:rPr>
            <w:rFonts w:ascii="Cambria Math" w:hAnsi="Cambria Math"/>
          </w:rPr>
          <m:t>i</m:t>
        </m:r>
      </m:oMath>
      <w:r w:rsidRPr="00042CE0">
        <w:t xml:space="preserve"> is </w:t>
      </w:r>
      <w:r>
        <w:t>the</w:t>
      </w:r>
      <w:r w:rsidRPr="00042CE0">
        <w:t xml:space="preserve"> measured current; </w:t>
      </w:r>
      <m:oMath>
        <m:r>
          <w:rPr>
            <w:rFonts w:ascii="Cambria Math" w:hAnsi="Cambria Math" w:hint="eastAsia"/>
          </w:rPr>
          <m:t>B</m:t>
        </m:r>
      </m:oMath>
      <w:r w:rsidRPr="00042CE0">
        <w:t xml:space="preserve"> is a constant and </w:t>
      </w:r>
      <m:oMath>
        <m:r>
          <w:rPr>
            <w:rFonts w:ascii="Cambria Math" w:hAnsi="Cambria Math" w:hint="eastAsia"/>
          </w:rPr>
          <m:t>ω</m:t>
        </m:r>
      </m:oMath>
      <w:r w:rsidRPr="00042CE0">
        <w:t xml:space="preserve"> is the RDE rotation speed. </w:t>
      </w:r>
      <m:oMath>
        <m:sSub>
          <m:sSubPr>
            <m:ctrlPr>
              <w:rPr>
                <w:rFonts w:ascii="Cambria Math" w:hAnsi="Cambria Math"/>
              </w:rPr>
            </m:ctrlPr>
          </m:sSubPr>
          <m:e>
            <m:r>
              <w:rPr>
                <w:rFonts w:ascii="Cambria Math" w:hAnsi="Cambria Math"/>
              </w:rPr>
              <m:t>i</m:t>
            </m:r>
          </m:e>
          <m:sub>
            <m:r>
              <m:rPr>
                <m:sty m:val="p"/>
              </m:rPr>
              <w:rPr>
                <w:rFonts w:ascii="Cambria Math" w:hAnsi="Cambria Math"/>
              </w:rPr>
              <m:t>K</m:t>
            </m:r>
          </m:sub>
        </m:sSub>
      </m:oMath>
      <w:r w:rsidRPr="00042CE0">
        <w:t xml:space="preserve"> was derived from the intersection at </w:t>
      </w:r>
      <m:oMath>
        <m:sSup>
          <m:sSupPr>
            <m:ctrlPr>
              <w:rPr>
                <w:rFonts w:ascii="Cambria Math" w:hAnsi="Cambria Math"/>
              </w:rPr>
            </m:ctrlPr>
          </m:sSupPr>
          <m:e>
            <m:r>
              <w:rPr>
                <w:rFonts w:ascii="Cambria Math" w:hAnsi="Cambria Math"/>
              </w:rPr>
              <m:t>ω</m:t>
            </m:r>
          </m:e>
          <m:sup>
            <m:r>
              <m:rPr>
                <m:sty m:val="p"/>
              </m:rPr>
              <w:rPr>
                <w:rFonts w:ascii="Cambria Math" w:hAnsi="Cambria Math"/>
              </w:rPr>
              <m:t>-</m:t>
            </m:r>
            <m:f>
              <m:fPr>
                <m:type m:val="lin"/>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sup>
        </m:sSup>
        <m:r>
          <w:rPr>
            <w:rFonts w:ascii="Cambria Math" w:hAnsi="Cambria Math"/>
          </w:rPr>
          <m:t>=0</m:t>
        </m:r>
      </m:oMath>
      <w:r w:rsidRPr="00042CE0">
        <w:t xml:space="preserve"> by the Koutechy–Levich plot of </w:t>
      </w:r>
      <m:oMath>
        <m:sSup>
          <m:sSupPr>
            <m:ctrlPr>
              <w:rPr>
                <w:rFonts w:ascii="Cambria Math" w:hAnsi="Cambria Math"/>
              </w:rPr>
            </m:ctrlPr>
          </m:sSupPr>
          <m:e>
            <m:r>
              <w:rPr>
                <w:rFonts w:ascii="Cambria Math" w:hAnsi="Cambria Math"/>
              </w:rPr>
              <m:t>i</m:t>
            </m:r>
          </m:e>
          <m:sup>
            <m:r>
              <m:rPr>
                <m:sty m:val="p"/>
              </m:rPr>
              <w:rPr>
                <w:rFonts w:ascii="Cambria Math" w:hAnsi="Cambria Math"/>
              </w:rPr>
              <m:t>-1</m:t>
            </m:r>
          </m:sup>
        </m:sSup>
      </m:oMath>
      <w:r w:rsidRPr="00042CE0">
        <w:t xml:space="preserve"> (at 0.70 V vs. RHE) against </w:t>
      </w:r>
      <m:oMath>
        <m:sSup>
          <m:sSupPr>
            <m:ctrlPr>
              <w:rPr>
                <w:rFonts w:ascii="Cambria Math" w:hAnsi="Cambria Math"/>
              </w:rPr>
            </m:ctrlPr>
          </m:sSupPr>
          <m:e>
            <m:r>
              <w:rPr>
                <w:rFonts w:ascii="Cambria Math" w:hAnsi="Cambria Math"/>
              </w:rPr>
              <m:t>ω</m:t>
            </m:r>
          </m:e>
          <m:sup>
            <m:r>
              <m:rPr>
                <m:sty m:val="p"/>
              </m:rPr>
              <w:rPr>
                <w:rFonts w:ascii="Cambria Math" w:hAnsi="Cambria Math"/>
              </w:rPr>
              <m:t>-</m:t>
            </m:r>
            <m:f>
              <m:fPr>
                <m:type m:val="lin"/>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sup>
        </m:sSup>
      </m:oMath>
      <w:r w:rsidRPr="00042CE0">
        <w:t>.</w:t>
      </w:r>
      <w:r w:rsidRPr="00042CE0">
        <w:rPr>
          <w:vertAlign w:val="superscript"/>
        </w:rPr>
        <w:t>[</w:t>
      </w:r>
      <w:r w:rsidR="00053DC7">
        <w:rPr>
          <w:vertAlign w:val="superscript"/>
        </w:rPr>
        <w:t>43</w:t>
      </w:r>
      <w:r w:rsidRPr="00042CE0">
        <w:rPr>
          <w:vertAlign w:val="superscript"/>
        </w:rPr>
        <w:t>]</w:t>
      </w:r>
    </w:p>
    <w:p w14:paraId="38F50B48" w14:textId="77777777" w:rsidR="00B60311" w:rsidRPr="00042CE0" w:rsidRDefault="00B60311" w:rsidP="00B60311">
      <w:pPr>
        <w:spacing w:after="240"/>
      </w:pPr>
      <w:r w:rsidRPr="00042CE0">
        <w:t xml:space="preserve">Substances on the GC RDE were collected for SEM, scanning transmission electron microscopy (STEM) and high-resolution transmission electron microscopy (HR-TEM). Energy-dispersive X-ray spectroscopy (EDXS) was used for elemental analyses in the microscopic observations. X-ray diffraction (XRD) patterns of </w:t>
      </w:r>
      <w:r>
        <w:t xml:space="preserve">the </w:t>
      </w:r>
      <w:r w:rsidRPr="00042CE0">
        <w:t>samples were collected under a parallel-beam configuration. The concentration</w:t>
      </w:r>
      <w:r>
        <w:t>s</w:t>
      </w:r>
      <w:r w:rsidRPr="00042CE0">
        <w:t xml:space="preserve"> of palladium and other elements in </w:t>
      </w:r>
      <w:r>
        <w:lastRenderedPageBreak/>
        <w:t xml:space="preserve">the </w:t>
      </w:r>
      <w:r w:rsidRPr="00042CE0">
        <w:t xml:space="preserve">samples </w:t>
      </w:r>
      <w:r>
        <w:t>were</w:t>
      </w:r>
      <w:r w:rsidRPr="00042CE0">
        <w:t xml:space="preserve"> determined by inductively-coupled plasma atomic emission spectroscopy (ICP-AES) after dissolving the samples in 20 mL of </w:t>
      </w:r>
      <w:proofErr w:type="spellStart"/>
      <w:r w:rsidRPr="00042CE0">
        <w:t>nitrohydrochloric</w:t>
      </w:r>
      <w:proofErr w:type="spellEnd"/>
      <w:r w:rsidRPr="00042CE0">
        <w:t xml:space="preserve"> acid.</w:t>
      </w:r>
    </w:p>
    <w:p w14:paraId="2BBEA385" w14:textId="13DC97CF" w:rsidR="00B60311" w:rsidRPr="00042CE0" w:rsidRDefault="00B60311" w:rsidP="00B60311">
      <w:pPr>
        <w:pStyle w:val="1"/>
        <w:spacing w:after="240"/>
      </w:pPr>
      <w:r w:rsidRPr="00042CE0">
        <w:t>Calculation methods</w:t>
      </w:r>
    </w:p>
    <w:p w14:paraId="4B940167" w14:textId="782D9986" w:rsidR="00B60311" w:rsidRPr="00042CE0" w:rsidRDefault="00B60311" w:rsidP="00B60311">
      <w:pPr>
        <w:spacing w:after="240"/>
      </w:pPr>
      <w:r w:rsidRPr="00042CE0">
        <w:t xml:space="preserve">First-principles calculations on </w:t>
      </w:r>
      <w:r>
        <w:t xml:space="preserve">the </w:t>
      </w:r>
      <w:r w:rsidRPr="00042CE0">
        <w:t>adsorption of O and O</w:t>
      </w:r>
      <w:r w:rsidRPr="00042CE0">
        <w:rPr>
          <w:vertAlign w:val="subscript"/>
        </w:rPr>
        <w:t>2</w:t>
      </w:r>
      <w:r w:rsidRPr="00042CE0">
        <w:t xml:space="preserve"> on (111) </w:t>
      </w:r>
      <w:proofErr w:type="spellStart"/>
      <w:r w:rsidRPr="00042CE0">
        <w:t>Pd</w:t>
      </w:r>
      <w:proofErr w:type="spellEnd"/>
      <w:r w:rsidRPr="00042CE0">
        <w:t xml:space="preserve"> and </w:t>
      </w:r>
      <w:proofErr w:type="spellStart"/>
      <w:r w:rsidRPr="00042CE0">
        <w:t>PdCu</w:t>
      </w:r>
      <w:proofErr w:type="spellEnd"/>
      <w:r w:rsidRPr="00042CE0">
        <w:t xml:space="preserve"> surfaces were carried out to understand </w:t>
      </w:r>
      <w:r>
        <w:t xml:space="preserve">the </w:t>
      </w:r>
      <w:r w:rsidRPr="00042CE0">
        <w:t xml:space="preserve">origins for </w:t>
      </w:r>
      <w:r>
        <w:t xml:space="preserve">the </w:t>
      </w:r>
      <w:r w:rsidRPr="00042CE0">
        <w:t>catalytic activity of BNP-</w:t>
      </w:r>
      <w:proofErr w:type="spellStart"/>
      <w:r w:rsidRPr="00042CE0">
        <w:t>Pd</w:t>
      </w:r>
      <w:r w:rsidRPr="00A33AB5">
        <w:rPr>
          <w:highlight w:val="yellow"/>
        </w:rPr>
        <w:t>Cu</w:t>
      </w:r>
      <w:proofErr w:type="spellEnd"/>
      <w:r w:rsidRPr="00042CE0">
        <w:t xml:space="preserve">. </w:t>
      </w:r>
      <w:r w:rsidRPr="00042CE0">
        <w:rPr>
          <w:rFonts w:hint="eastAsia"/>
        </w:rPr>
        <w:t>T</w:t>
      </w:r>
      <w:r w:rsidRPr="00042CE0">
        <w:t xml:space="preserve">he first-principles calculations were performed within the framework of density functional </w:t>
      </w:r>
      <w:proofErr w:type="gramStart"/>
      <w:r w:rsidRPr="00042CE0">
        <w:t>theory</w:t>
      </w:r>
      <w:r w:rsidRPr="00042CE0">
        <w:rPr>
          <w:vertAlign w:val="superscript"/>
        </w:rPr>
        <w:t>[</w:t>
      </w:r>
      <w:proofErr w:type="gramEnd"/>
      <w:r w:rsidR="00053DC7">
        <w:rPr>
          <w:vertAlign w:val="superscript"/>
        </w:rPr>
        <w:t>44,45</w:t>
      </w:r>
      <w:r w:rsidRPr="00042CE0">
        <w:rPr>
          <w:vertAlign w:val="superscript"/>
        </w:rPr>
        <w:t>]</w:t>
      </w:r>
      <w:r w:rsidRPr="00042CE0">
        <w:t xml:space="preserve"> as implemented in the CASTEP code.</w:t>
      </w:r>
      <w:r w:rsidR="00053DC7">
        <w:rPr>
          <w:vertAlign w:val="superscript"/>
        </w:rPr>
        <w:t>[46]</w:t>
      </w:r>
      <w:r w:rsidRPr="00042CE0">
        <w:t xml:space="preserve"> The plane-wave basis set was used to calculate the electronic properties, and the generalized gradient approximation of the </w:t>
      </w:r>
      <w:proofErr w:type="spellStart"/>
      <w:r w:rsidRPr="00042CE0">
        <w:t>Perdew</w:t>
      </w:r>
      <w:proofErr w:type="spellEnd"/>
      <w:r w:rsidRPr="00042CE0">
        <w:t>-Burke-</w:t>
      </w:r>
      <w:proofErr w:type="spellStart"/>
      <w:r w:rsidRPr="00042CE0">
        <w:t>Ernzerhof</w:t>
      </w:r>
      <w:proofErr w:type="spellEnd"/>
      <w:r w:rsidR="00053DC7">
        <w:rPr>
          <w:vertAlign w:val="superscript"/>
        </w:rPr>
        <w:t>[47</w:t>
      </w:r>
      <w:r w:rsidRPr="00042CE0">
        <w:rPr>
          <w:vertAlign w:val="superscript"/>
        </w:rPr>
        <w:t>]</w:t>
      </w:r>
      <w:r w:rsidRPr="00042CE0">
        <w:t xml:space="preserve"> functional was used for the exchange-correlation potential for the structure optimizations. </w:t>
      </w:r>
      <w:proofErr w:type="spellStart"/>
      <w:r w:rsidRPr="00042CE0">
        <w:t>Ultrasoft</w:t>
      </w:r>
      <w:proofErr w:type="spellEnd"/>
      <w:r w:rsidRPr="00042CE0">
        <w:t xml:space="preserve"> </w:t>
      </w:r>
      <w:proofErr w:type="gramStart"/>
      <w:r w:rsidRPr="00042CE0">
        <w:t>pseudopotentials</w:t>
      </w:r>
      <w:r w:rsidRPr="00042CE0">
        <w:rPr>
          <w:vertAlign w:val="superscript"/>
        </w:rPr>
        <w:t>[</w:t>
      </w:r>
      <w:proofErr w:type="gramEnd"/>
      <w:r w:rsidR="00053DC7">
        <w:rPr>
          <w:vertAlign w:val="superscript"/>
        </w:rPr>
        <w:t>48</w:t>
      </w:r>
      <w:r w:rsidRPr="00042CE0">
        <w:rPr>
          <w:vertAlign w:val="superscript"/>
        </w:rPr>
        <w:t>]</w:t>
      </w:r>
      <w:r w:rsidRPr="00042CE0">
        <w:t xml:space="preserve"> were used for all the elements in the calculations. We applied cutoff energies of </w:t>
      </w:r>
      <w:r w:rsidRPr="00042CE0">
        <w:rPr>
          <w:rFonts w:hint="eastAsia"/>
        </w:rPr>
        <w:t>4</w:t>
      </w:r>
      <w:r w:rsidRPr="00042CE0">
        <w:t xml:space="preserve">00 eV. The Brillouin zone was sampled using </w:t>
      </w:r>
      <w:r w:rsidRPr="00042CE0">
        <w:rPr>
          <w:rFonts w:hint="eastAsia"/>
        </w:rPr>
        <w:t>5</w:t>
      </w:r>
      <w:r w:rsidRPr="00042CE0">
        <w:t>×</w:t>
      </w:r>
      <w:r w:rsidRPr="00042CE0">
        <w:rPr>
          <w:rFonts w:hint="eastAsia"/>
        </w:rPr>
        <w:t>5</w:t>
      </w:r>
      <w:r w:rsidRPr="00042CE0">
        <w:t>×</w:t>
      </w:r>
      <w:r w:rsidRPr="00042CE0">
        <w:rPr>
          <w:rFonts w:hint="eastAsia"/>
        </w:rPr>
        <w:t>1</w:t>
      </w:r>
      <w:r w:rsidRPr="00042CE0">
        <w:t xml:space="preserve"> </w:t>
      </w:r>
      <w:proofErr w:type="spellStart"/>
      <w:r w:rsidRPr="00042CE0">
        <w:t>Monkhorst</w:t>
      </w:r>
      <w:proofErr w:type="spellEnd"/>
      <w:r w:rsidRPr="00042CE0">
        <w:t>-</w:t>
      </w:r>
      <w:r w:rsidRPr="00042CE0">
        <w:rPr>
          <w:rFonts w:hint="eastAsia"/>
        </w:rPr>
        <w:t>P</w:t>
      </w:r>
      <w:r w:rsidRPr="00042CE0">
        <w:t>ack</w:t>
      </w:r>
      <w:r w:rsidRPr="00042CE0">
        <w:rPr>
          <w:i/>
        </w:rPr>
        <w:t xml:space="preserve"> k</w:t>
      </w:r>
      <w:r w:rsidRPr="00042CE0">
        <w:t xml:space="preserve">-point </w:t>
      </w:r>
      <w:proofErr w:type="gramStart"/>
      <w:r w:rsidRPr="00042CE0">
        <w:t>meshes.</w:t>
      </w:r>
      <w:r w:rsidRPr="00042CE0">
        <w:rPr>
          <w:vertAlign w:val="superscript"/>
        </w:rPr>
        <w:t>[</w:t>
      </w:r>
      <w:proofErr w:type="gramEnd"/>
      <w:r w:rsidR="00053DC7">
        <w:rPr>
          <w:vertAlign w:val="superscript"/>
        </w:rPr>
        <w:t>49</w:t>
      </w:r>
      <w:r w:rsidRPr="00042CE0">
        <w:rPr>
          <w:vertAlign w:val="superscript"/>
        </w:rPr>
        <w:t>]</w:t>
      </w:r>
      <w:r w:rsidRPr="00042CE0">
        <w:t xml:space="preserve"> Periodic boundary conditions were applied in the x, y and z directions.</w:t>
      </w:r>
    </w:p>
    <w:p w14:paraId="0806AF54" w14:textId="4FE81D24" w:rsidR="00B60311" w:rsidRPr="00042CE0" w:rsidRDefault="00B60311" w:rsidP="00B60311">
      <w:pPr>
        <w:spacing w:after="240"/>
      </w:pPr>
      <w:r>
        <w:t>Atomic models are shown in Fig. S</w:t>
      </w:r>
      <w:r w:rsidR="00A96FC0" w:rsidRPr="00A96FC0">
        <w:rPr>
          <w:highlight w:val="yellow"/>
        </w:rPr>
        <w:t>2</w:t>
      </w:r>
      <w:r>
        <w:t xml:space="preserve"> </w:t>
      </w:r>
      <w:r w:rsidRPr="00D46909">
        <w:rPr>
          <w:highlight w:val="yellow"/>
        </w:rPr>
        <w:t>in Supplementa</w:t>
      </w:r>
      <w:r w:rsidR="00D46909" w:rsidRPr="00D46909">
        <w:rPr>
          <w:highlight w:val="yellow"/>
        </w:rPr>
        <w:t>ry</w:t>
      </w:r>
      <w:r w:rsidRPr="00D46909">
        <w:rPr>
          <w:highlight w:val="yellow"/>
        </w:rPr>
        <w:t xml:space="preserve"> </w:t>
      </w:r>
      <w:r w:rsidR="004F4E0D">
        <w:rPr>
          <w:highlight w:val="yellow"/>
        </w:rPr>
        <w:t>M</w:t>
      </w:r>
      <w:r w:rsidR="00D46909" w:rsidRPr="00D46909">
        <w:rPr>
          <w:highlight w:val="yellow"/>
        </w:rPr>
        <w:t>aterial</w:t>
      </w:r>
      <w:r>
        <w:t xml:space="preserve">. </w:t>
      </w:r>
      <w:r w:rsidRPr="00042CE0">
        <w:t xml:space="preserve">The rectangular cell consisted of 4 layers of the (111) plane of </w:t>
      </w:r>
      <w:proofErr w:type="spellStart"/>
      <w:r w:rsidRPr="00042CE0">
        <w:t>Pd</w:t>
      </w:r>
      <w:proofErr w:type="spellEnd"/>
      <w:r w:rsidRPr="00042CE0">
        <w:t xml:space="preserve"> with a vacuum gap of 15</w:t>
      </w:r>
      <w:r>
        <w:t xml:space="preserve"> </w:t>
      </w:r>
      <w:r w:rsidRPr="00042CE0">
        <w:t xml:space="preserve">Å between repeated slabs (Fig. </w:t>
      </w:r>
      <w:r>
        <w:t>S</w:t>
      </w:r>
      <w:r w:rsidR="00A96FC0">
        <w:t>2</w:t>
      </w:r>
      <w:r w:rsidRPr="00042CE0">
        <w:t>(a)). The</w:t>
      </w:r>
      <w:r>
        <w:t xml:space="preserve"> </w:t>
      </w:r>
      <w:proofErr w:type="spellStart"/>
      <w:r>
        <w:t>Pd</w:t>
      </w:r>
      <w:r w:rsidRPr="00042CE0">
        <w:t>Cu</w:t>
      </w:r>
      <w:proofErr w:type="spellEnd"/>
      <w:r w:rsidRPr="00042CE0">
        <w:t xml:space="preserve"> model was constructed by substituting one </w:t>
      </w:r>
      <w:proofErr w:type="spellStart"/>
      <w:r w:rsidRPr="00042CE0">
        <w:t>Pd</w:t>
      </w:r>
      <w:proofErr w:type="spellEnd"/>
      <w:r w:rsidRPr="00042CE0">
        <w:t xml:space="preserve"> atom </w:t>
      </w:r>
      <w:r w:rsidRPr="00042CE0">
        <w:rPr>
          <w:rFonts w:hint="eastAsia"/>
        </w:rPr>
        <w:t>at</w:t>
      </w:r>
      <w:r w:rsidRPr="00042CE0">
        <w:t xml:space="preserve"> </w:t>
      </w:r>
      <w:r w:rsidRPr="00042CE0">
        <w:rPr>
          <w:rFonts w:hint="eastAsia"/>
        </w:rPr>
        <w:t>each</w:t>
      </w:r>
      <w:r w:rsidRPr="00042CE0">
        <w:t xml:space="preserve"> layer </w:t>
      </w:r>
      <w:r w:rsidRPr="00042CE0">
        <w:rPr>
          <w:rFonts w:hint="eastAsia"/>
        </w:rPr>
        <w:t xml:space="preserve">except the top lay with one Cu atom to </w:t>
      </w:r>
      <w:r w:rsidRPr="00042CE0">
        <w:t>avoid</w:t>
      </w:r>
      <w:r w:rsidRPr="00042CE0">
        <w:rPr>
          <w:rFonts w:hint="eastAsia"/>
        </w:rPr>
        <w:t xml:space="preserve"> direct reaction of a Cu atom with an oxygen atom </w:t>
      </w:r>
      <w:r w:rsidRPr="00042CE0">
        <w:t xml:space="preserve">(Fig. </w:t>
      </w:r>
      <w:r>
        <w:t>S</w:t>
      </w:r>
      <w:r w:rsidR="00A96FC0">
        <w:t>2</w:t>
      </w:r>
      <w:r w:rsidRPr="00042CE0">
        <w:t xml:space="preserve">(b)). A 2% tensile and compressive strain </w:t>
      </w:r>
      <w:r w:rsidRPr="00042CE0">
        <w:rPr>
          <w:rFonts w:hint="eastAsia"/>
        </w:rPr>
        <w:t>was</w:t>
      </w:r>
      <w:r w:rsidRPr="00042CE0">
        <w:t xml:space="preserve"> applied parallel to the exposed surface to identify </w:t>
      </w:r>
      <w:r>
        <w:t xml:space="preserve">the </w:t>
      </w:r>
      <w:r w:rsidRPr="00042CE0">
        <w:t xml:space="preserve">strain effects. All cells </w:t>
      </w:r>
      <w:r w:rsidRPr="00042CE0">
        <w:rPr>
          <w:rFonts w:hint="eastAsia"/>
        </w:rPr>
        <w:t>were</w:t>
      </w:r>
      <w:r w:rsidRPr="00042CE0">
        <w:t xml:space="preserve"> constructed from 2</w:t>
      </w:r>
      <w:r>
        <w:t xml:space="preserve"> </w:t>
      </w:r>
      <w:r w:rsidRPr="00042CE0">
        <w:t>×</w:t>
      </w:r>
      <w:r>
        <w:t xml:space="preserve"> </w:t>
      </w:r>
      <w:r w:rsidRPr="00042CE0">
        <w:t>2 surface unit cells. The top three layers were relaxed while the bottom layer was frozen during geometry optimization calculations.</w:t>
      </w:r>
      <w:r w:rsidRPr="00042CE0">
        <w:rPr>
          <w:rFonts w:hint="eastAsia"/>
        </w:rPr>
        <w:t xml:space="preserve"> </w:t>
      </w:r>
      <w:r w:rsidRPr="00042CE0">
        <w:t xml:space="preserve">The </w:t>
      </w:r>
      <w:r w:rsidRPr="00042CE0">
        <w:rPr>
          <w:szCs w:val="24"/>
        </w:rPr>
        <w:t>binding</w:t>
      </w:r>
      <w:r w:rsidRPr="00042CE0">
        <w:t xml:space="preserve"> energy of an oxygen species to a substrate (</w:t>
      </w:r>
      <m:oMath>
        <m:sSub>
          <m:sSubPr>
            <m:ctrlPr>
              <w:rPr>
                <w:rFonts w:ascii="Cambria Math" w:hAnsi="Cambria Math"/>
                <w:i/>
              </w:rPr>
            </m:ctrlPr>
          </m:sSubPr>
          <m:e>
            <m:r>
              <w:rPr>
                <w:rFonts w:ascii="Cambria Math" w:hAnsi="Cambria Math"/>
              </w:rPr>
              <m:t>E</m:t>
            </m:r>
          </m:e>
          <m:sub>
            <m:r>
              <m:rPr>
                <m:sty m:val="p"/>
              </m:rPr>
              <w:rPr>
                <w:rFonts w:ascii="Cambria Math" w:hAnsi="Cambria Math"/>
              </w:rPr>
              <m:t>b</m:t>
            </m:r>
          </m:sub>
        </m:sSub>
      </m:oMath>
      <w:r w:rsidRPr="00042CE0">
        <w:t>) can be given by:</w:t>
      </w:r>
      <w:r w:rsidRPr="00042CE0">
        <w:br/>
      </w: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E</m:t>
                  </m:r>
                </m:e>
                <m:sub>
                  <m:r>
                    <m:rPr>
                      <m:sty m:val="p"/>
                    </m:rP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E</m:t>
                  </m:r>
                </m:e>
                <m:sub>
                  <m:r>
                    <m:rPr>
                      <m:sty m:val="p"/>
                    </m:rPr>
                    <w:rPr>
                      <w:rFonts w:ascii="Cambria Math" w:hAnsi="Cambria Math"/>
                    </w:rPr>
                    <m:t>substrate+oxygen</m:t>
                  </m:r>
                </m:sub>
              </m:sSub>
              <m:r>
                <w:rPr>
                  <w:rFonts w:ascii="Cambria Math" w:hAnsi="Cambria Math"/>
                </w:rPr>
                <m:t xml:space="preserve"> - </m:t>
              </m:r>
              <m:sSub>
                <m:sSubPr>
                  <m:ctrlPr>
                    <w:rPr>
                      <w:rFonts w:ascii="Cambria Math" w:hAnsi="Cambria Math"/>
                      <w:i/>
                    </w:rPr>
                  </m:ctrlPr>
                </m:sSubPr>
                <m:e>
                  <m:r>
                    <w:rPr>
                      <w:rFonts w:ascii="Cambria Math" w:hAnsi="Cambria Math"/>
                    </w:rPr>
                    <m:t>E</m:t>
                  </m:r>
                </m:e>
                <m:sub>
                  <m:r>
                    <m:rPr>
                      <m:sty m:val="p"/>
                    </m:rPr>
                    <w:rPr>
                      <w:rFonts w:ascii="Cambria Math" w:hAnsi="Cambria Math"/>
                    </w:rPr>
                    <m:t>substrate</m:t>
                  </m:r>
                </m:sub>
              </m:sSub>
              <m:r>
                <w:rPr>
                  <w:rFonts w:ascii="Cambria Math" w:hAnsi="Cambria Math"/>
                </w:rPr>
                <m:t xml:space="preserve"> - </m:t>
              </m:r>
              <m:sSub>
                <m:sSubPr>
                  <m:ctrlPr>
                    <w:rPr>
                      <w:rFonts w:ascii="Cambria Math" w:hAnsi="Cambria Math"/>
                      <w:i/>
                    </w:rPr>
                  </m:ctrlPr>
                </m:sSubPr>
                <m:e>
                  <m:r>
                    <w:rPr>
                      <w:rFonts w:ascii="Cambria Math" w:hAnsi="Cambria Math"/>
                    </w:rPr>
                    <m:t>E</m:t>
                  </m:r>
                </m:e>
                <m:sub>
                  <m:r>
                    <m:rPr>
                      <m:sty m:val="p"/>
                    </m:rPr>
                    <w:rPr>
                      <w:rFonts w:ascii="Cambria Math" w:hAnsi="Cambria Math"/>
                    </w:rPr>
                    <m:t>oxygen</m:t>
                  </m:r>
                </m:sub>
              </m:sSub>
              <m:r>
                <w:rPr>
                  <w:rFonts w:ascii="Cambria Math" w:hAnsi="Cambria Math"/>
                </w:rPr>
                <m:t>#</m:t>
              </m:r>
              <m:d>
                <m:dPr>
                  <m:ctrlPr>
                    <w:rPr>
                      <w:rFonts w:ascii="Cambria Math" w:hAnsi="Cambria Math"/>
                    </w:rPr>
                  </m:ctrlPr>
                </m:dPr>
                <m:e>
                  <m:r>
                    <m:rPr>
                      <m:sty m:val="p"/>
                    </m:rPr>
                    <w:rPr>
                      <w:rFonts w:ascii="Cambria Math" w:hAnsi="Cambria Math"/>
                    </w:rPr>
                    <m:t>3</m:t>
                  </m:r>
                </m:e>
              </m:d>
            </m:e>
          </m:eqArr>
        </m:oMath>
      </m:oMathPara>
    </w:p>
    <w:p w14:paraId="0380D401" w14:textId="3078896E" w:rsidR="00B60311" w:rsidRPr="00042CE0" w:rsidRDefault="00B60311" w:rsidP="00B60311">
      <w:pPr>
        <w:spacing w:after="240"/>
      </w:pPr>
      <w:r w:rsidRPr="00042CE0">
        <w:lastRenderedPageBreak/>
        <w:t xml:space="preserve">where </w:t>
      </w:r>
      <m:oMath>
        <m:sSub>
          <m:sSubPr>
            <m:ctrlPr>
              <w:rPr>
                <w:rFonts w:ascii="Cambria Math" w:hAnsi="Cambria Math"/>
                <w:i/>
              </w:rPr>
            </m:ctrlPr>
          </m:sSubPr>
          <m:e>
            <m:r>
              <w:rPr>
                <w:rFonts w:ascii="Cambria Math" w:hAnsi="Cambria Math"/>
              </w:rPr>
              <m:t>E</m:t>
            </m:r>
          </m:e>
          <m:sub>
            <m:r>
              <m:rPr>
                <m:sty m:val="p"/>
              </m:rPr>
              <w:rPr>
                <w:rFonts w:ascii="Cambria Math" w:hAnsi="Cambria Math"/>
              </w:rPr>
              <m:t>substrate+oxygen</m:t>
            </m:r>
          </m:sub>
        </m:sSub>
      </m:oMath>
      <w:r w:rsidRPr="00042CE0">
        <w:t xml:space="preserve"> is the internal energy of an oxygen species-binding substrate, </w:t>
      </w:r>
      <m:oMath>
        <m:sSub>
          <m:sSubPr>
            <m:ctrlPr>
              <w:rPr>
                <w:rFonts w:ascii="Cambria Math" w:hAnsi="Cambria Math"/>
                <w:i/>
              </w:rPr>
            </m:ctrlPr>
          </m:sSubPr>
          <m:e>
            <m:r>
              <w:rPr>
                <w:rFonts w:ascii="Cambria Math" w:hAnsi="Cambria Math"/>
              </w:rPr>
              <m:t>E</m:t>
            </m:r>
          </m:e>
          <m:sub>
            <m:r>
              <m:rPr>
                <m:sty m:val="p"/>
              </m:rPr>
              <w:rPr>
                <w:rFonts w:ascii="Cambria Math" w:hAnsi="Cambria Math"/>
              </w:rPr>
              <m:t>substrate</m:t>
            </m:r>
          </m:sub>
        </m:sSub>
      </m:oMath>
      <w:r w:rsidRPr="00042CE0">
        <w:t xml:space="preserve"> is the internal energy of a substrate and </w:t>
      </w:r>
      <m:oMath>
        <m:sSub>
          <m:sSubPr>
            <m:ctrlPr>
              <w:rPr>
                <w:rFonts w:ascii="Cambria Math" w:hAnsi="Cambria Math"/>
                <w:i/>
              </w:rPr>
            </m:ctrlPr>
          </m:sSubPr>
          <m:e>
            <m:r>
              <w:rPr>
                <w:rFonts w:ascii="Cambria Math" w:hAnsi="Cambria Math"/>
              </w:rPr>
              <m:t>E</m:t>
            </m:r>
          </m:e>
          <m:sub>
            <m:r>
              <m:rPr>
                <m:sty m:val="p"/>
              </m:rPr>
              <w:rPr>
                <w:rFonts w:ascii="Cambria Math" w:hAnsi="Cambria Math"/>
              </w:rPr>
              <m:t>oxygen</m:t>
            </m:r>
          </m:sub>
        </m:sSub>
      </m:oMath>
      <w:r w:rsidRPr="00042CE0">
        <w:t xml:space="preserve"> is the internal energy of an oxygen species. </w:t>
      </w:r>
      <w:r w:rsidRPr="00042CE0">
        <w:rPr>
          <w:rFonts w:hint="eastAsia"/>
        </w:rPr>
        <w:t>T</w:t>
      </w:r>
      <w:r w:rsidRPr="00042CE0">
        <w:t xml:space="preserve">he most stable binding site of an oxygen species was defined as the site where the binding energy was the lowest among the various </w:t>
      </w:r>
      <w:r w:rsidRPr="00042CE0">
        <w:rPr>
          <w:rFonts w:hint="eastAsia"/>
        </w:rPr>
        <w:t>binding</w:t>
      </w:r>
      <w:r w:rsidRPr="00042CE0">
        <w:t xml:space="preserve"> sites shown in Fig. </w:t>
      </w:r>
      <w:r>
        <w:t>S</w:t>
      </w:r>
      <w:r w:rsidR="00512EFB" w:rsidRPr="00512EFB">
        <w:rPr>
          <w:highlight w:val="yellow"/>
        </w:rPr>
        <w:t>2</w:t>
      </w:r>
      <w:r w:rsidRPr="00042CE0">
        <w:t xml:space="preserve">, based on </w:t>
      </w:r>
      <w:r>
        <w:t>a</w:t>
      </w:r>
      <w:r w:rsidRPr="00042CE0">
        <w:t xml:space="preserve"> previous </w:t>
      </w:r>
      <w:proofErr w:type="gramStart"/>
      <w:r w:rsidRPr="00042CE0">
        <w:t>study.</w:t>
      </w:r>
      <w:r w:rsidRPr="00042CE0">
        <w:rPr>
          <w:vertAlign w:val="superscript"/>
        </w:rPr>
        <w:t>[</w:t>
      </w:r>
      <w:proofErr w:type="gramEnd"/>
      <w:r w:rsidR="00053DC7">
        <w:rPr>
          <w:vertAlign w:val="superscript"/>
        </w:rPr>
        <w:t>50</w:t>
      </w:r>
      <w:r w:rsidRPr="00042CE0">
        <w:rPr>
          <w:vertAlign w:val="superscript"/>
        </w:rPr>
        <w:t>]</w:t>
      </w:r>
    </w:p>
    <w:p w14:paraId="58AA4A0E" w14:textId="77777777" w:rsidR="00762486" w:rsidRPr="00042CE0" w:rsidRDefault="00762486" w:rsidP="00F311A1">
      <w:pPr>
        <w:pStyle w:val="1"/>
        <w:spacing w:after="240"/>
      </w:pPr>
      <w:r w:rsidRPr="00042CE0">
        <w:t>Acknowledgments</w:t>
      </w:r>
    </w:p>
    <w:p w14:paraId="591DC390" w14:textId="70ED5884" w:rsidR="002A4DFC" w:rsidRDefault="00762486" w:rsidP="002A4DFC">
      <w:pPr>
        <w:spacing w:after="240"/>
      </w:pPr>
      <w:r w:rsidRPr="00042CE0">
        <w:t xml:space="preserve">TEM and STEM observations were conducted </w:t>
      </w:r>
      <w:r w:rsidR="00B623E1" w:rsidRPr="00042CE0">
        <w:t xml:space="preserve">at the </w:t>
      </w:r>
      <w:r w:rsidRPr="00042CE0">
        <w:t>Kyoto University Nano Technology Hub in</w:t>
      </w:r>
      <w:r w:rsidR="00B623E1" w:rsidRPr="00042CE0">
        <w:t xml:space="preserve"> the</w:t>
      </w:r>
      <w:r w:rsidRPr="00042CE0">
        <w:t xml:space="preserve"> “Nanotechnology Platform Project” sponsored by the Ministry of Education, Culture, Sports, Science and Technology (MEXT), Japan.</w:t>
      </w:r>
      <w:r w:rsidR="002A4DFC" w:rsidRPr="00042CE0">
        <w:rPr>
          <w:rFonts w:ascii="Courier New" w:eastAsia="ＭＳ ゴシック" w:hAnsi="Courier New" w:cs="Courier New"/>
          <w:kern w:val="0"/>
          <w:sz w:val="18"/>
          <w:szCs w:val="18"/>
        </w:rPr>
        <w:t xml:space="preserve"> </w:t>
      </w:r>
      <w:r w:rsidR="002A4DFC" w:rsidRPr="00042CE0">
        <w:t xml:space="preserve">Computation time </w:t>
      </w:r>
      <w:r w:rsidR="002E4CCA" w:rsidRPr="00042CE0">
        <w:t xml:space="preserve">for first-principles calculations </w:t>
      </w:r>
      <w:r w:rsidR="002A4DFC" w:rsidRPr="00042CE0">
        <w:t xml:space="preserve">was provided by the </w:t>
      </w:r>
      <w:proofErr w:type="spellStart"/>
      <w:r w:rsidR="002A4DFC" w:rsidRPr="00042CE0">
        <w:t>SuperComputer</w:t>
      </w:r>
      <w:proofErr w:type="spellEnd"/>
      <w:r w:rsidR="002A4DFC" w:rsidRPr="00042CE0">
        <w:t xml:space="preserve"> System, Institute for Chemical Research, Kyoto University</w:t>
      </w:r>
      <w:r w:rsidR="000C6CA9" w:rsidRPr="00042CE0">
        <w:t xml:space="preserve">. </w:t>
      </w:r>
      <w:r w:rsidR="002A1EF3" w:rsidRPr="00042CE0">
        <w:t>M. H. acknowledges financial support by JGC-S Scholarship Foundation.</w:t>
      </w:r>
      <w:r w:rsidR="00FD75C4" w:rsidRPr="00042CE0">
        <w:t xml:space="preserve"> </w:t>
      </w:r>
    </w:p>
    <w:p w14:paraId="5C69A900" w14:textId="22D776B4" w:rsidR="00147764" w:rsidRPr="00147764" w:rsidRDefault="00147764" w:rsidP="00147764">
      <w:pPr>
        <w:pStyle w:val="1"/>
        <w:spacing w:after="240"/>
        <w:rPr>
          <w:highlight w:val="yellow"/>
        </w:rPr>
      </w:pPr>
      <w:r w:rsidRPr="00147764">
        <w:rPr>
          <w:highlight w:val="yellow"/>
        </w:rPr>
        <w:t xml:space="preserve">Supplementary </w:t>
      </w:r>
      <w:r w:rsidR="004F4E0D">
        <w:rPr>
          <w:highlight w:val="yellow"/>
        </w:rPr>
        <w:t>M</w:t>
      </w:r>
      <w:r w:rsidRPr="00147764">
        <w:rPr>
          <w:highlight w:val="yellow"/>
        </w:rPr>
        <w:t>aterial</w:t>
      </w:r>
    </w:p>
    <w:p w14:paraId="521F342C" w14:textId="3FA7151B" w:rsidR="00147764" w:rsidRPr="00042CE0" w:rsidRDefault="00147764" w:rsidP="002A4DFC">
      <w:pPr>
        <w:spacing w:after="240"/>
      </w:pPr>
      <w:r w:rsidRPr="00147764">
        <w:rPr>
          <w:highlight w:val="yellow"/>
        </w:rPr>
        <w:t xml:space="preserve">To view </w:t>
      </w:r>
      <w:bookmarkStart w:id="0" w:name="_GoBack"/>
      <w:r w:rsidRPr="00147764">
        <w:rPr>
          <w:highlight w:val="yellow"/>
        </w:rPr>
        <w:t>supplementary</w:t>
      </w:r>
      <w:bookmarkEnd w:id="0"/>
      <w:r w:rsidRPr="00147764">
        <w:rPr>
          <w:highlight w:val="yellow"/>
        </w:rPr>
        <w:t xml:space="preserve"> material for this article, please visit [URL to be provided].</w:t>
      </w:r>
    </w:p>
    <w:p w14:paraId="3B9C8F87" w14:textId="77777777" w:rsidR="000D6418" w:rsidRPr="00042CE0" w:rsidRDefault="000D6418" w:rsidP="00210419">
      <w:pPr>
        <w:pStyle w:val="1"/>
        <w:spacing w:after="240"/>
      </w:pPr>
      <w:r w:rsidRPr="00042CE0">
        <w:t>References</w:t>
      </w:r>
    </w:p>
    <w:p w14:paraId="003AF621" w14:textId="77777777" w:rsidR="000D6418" w:rsidRPr="00042CE0" w:rsidRDefault="000D6418" w:rsidP="000D6418">
      <w:pPr>
        <w:spacing w:after="240"/>
        <w:rPr>
          <w:highlight w:val="yellow"/>
        </w:rPr>
      </w:pPr>
      <w:r w:rsidRPr="00042CE0">
        <w:t xml:space="preserve">[1] I. E. L. Stephens, A. S. </w:t>
      </w:r>
      <w:proofErr w:type="spellStart"/>
      <w:r w:rsidRPr="00042CE0">
        <w:t>Bondarenko</w:t>
      </w:r>
      <w:proofErr w:type="spellEnd"/>
      <w:r w:rsidRPr="00042CE0">
        <w:t xml:space="preserve">, U. </w:t>
      </w:r>
      <w:proofErr w:type="spellStart"/>
      <w:r w:rsidRPr="00042CE0">
        <w:t>Grønbjerg</w:t>
      </w:r>
      <w:proofErr w:type="spellEnd"/>
      <w:r w:rsidRPr="00042CE0">
        <w:t xml:space="preserve">, J. </w:t>
      </w:r>
      <w:proofErr w:type="spellStart"/>
      <w:r w:rsidRPr="00042CE0">
        <w:t>Rossemeisl</w:t>
      </w:r>
      <w:proofErr w:type="spellEnd"/>
      <w:r w:rsidRPr="00042CE0">
        <w:t xml:space="preserve">, and I. </w:t>
      </w:r>
      <w:proofErr w:type="spellStart"/>
      <w:r w:rsidRPr="00042CE0">
        <w:t>Chorkendorff</w:t>
      </w:r>
      <w:proofErr w:type="spellEnd"/>
      <w:r w:rsidRPr="00042CE0">
        <w:t xml:space="preserve">: Understanding the </w:t>
      </w:r>
      <w:proofErr w:type="spellStart"/>
      <w:r w:rsidRPr="00042CE0">
        <w:t>electrocatalysis</w:t>
      </w:r>
      <w:proofErr w:type="spellEnd"/>
      <w:r w:rsidRPr="00042CE0">
        <w:t xml:space="preserve"> of oxygen reduction on platinum and its alloys.</w:t>
      </w:r>
      <w:r w:rsidRPr="00042CE0">
        <w:rPr>
          <w:rFonts w:hint="eastAsia"/>
        </w:rPr>
        <w:t xml:space="preserve"> </w:t>
      </w:r>
      <w:r w:rsidRPr="00042CE0">
        <w:rPr>
          <w:i/>
        </w:rPr>
        <w:t>Energy Environ. Sci.</w:t>
      </w:r>
      <w:r w:rsidRPr="00042CE0">
        <w:t xml:space="preserve"> </w:t>
      </w:r>
      <w:r w:rsidRPr="00042CE0">
        <w:rPr>
          <w:b/>
        </w:rPr>
        <w:t>5</w:t>
      </w:r>
      <w:r w:rsidRPr="00042CE0">
        <w:t>, 6744–6762 (2012).</w:t>
      </w:r>
    </w:p>
    <w:p w14:paraId="7100F96C" w14:textId="06E29966" w:rsidR="000D6418" w:rsidRPr="000B74C0" w:rsidRDefault="000D6418" w:rsidP="000D6418">
      <w:pPr>
        <w:spacing w:after="240"/>
        <w:rPr>
          <w:i/>
        </w:rPr>
      </w:pPr>
      <w:r w:rsidRPr="00042CE0">
        <w:t xml:space="preserve">[2] K. </w:t>
      </w:r>
      <w:proofErr w:type="spellStart"/>
      <w:r w:rsidRPr="00042CE0">
        <w:t>Wikander</w:t>
      </w:r>
      <w:proofErr w:type="spellEnd"/>
      <w:r w:rsidRPr="00042CE0">
        <w:t xml:space="preserve">, H. </w:t>
      </w:r>
      <w:proofErr w:type="spellStart"/>
      <w:r w:rsidRPr="00042CE0">
        <w:t>Ekström</w:t>
      </w:r>
      <w:proofErr w:type="spellEnd"/>
      <w:r w:rsidRPr="00042CE0">
        <w:t xml:space="preserve">, A. E. C. </w:t>
      </w:r>
      <w:proofErr w:type="spellStart"/>
      <w:r w:rsidRPr="00042CE0">
        <w:t>Palmqvist</w:t>
      </w:r>
      <w:proofErr w:type="spellEnd"/>
      <w:r w:rsidRPr="00042CE0">
        <w:t xml:space="preserve">, and G. Lindbergh: On the influence of Pt particle size on the PEMFC cathode performance. </w:t>
      </w:r>
      <w:proofErr w:type="spellStart"/>
      <w:r w:rsidRPr="00042CE0">
        <w:rPr>
          <w:i/>
        </w:rPr>
        <w:t>Electro</w:t>
      </w:r>
      <w:r w:rsidR="000B74C0">
        <w:rPr>
          <w:i/>
        </w:rPr>
        <w:t>che</w:t>
      </w:r>
      <w:r w:rsidRPr="00042CE0">
        <w:rPr>
          <w:i/>
        </w:rPr>
        <w:t>m</w:t>
      </w:r>
      <w:proofErr w:type="spellEnd"/>
      <w:r w:rsidRPr="00042CE0">
        <w:rPr>
          <w:i/>
        </w:rPr>
        <w:t xml:space="preserve">. </w:t>
      </w:r>
      <w:proofErr w:type="spellStart"/>
      <w:r w:rsidRPr="00042CE0">
        <w:rPr>
          <w:i/>
        </w:rPr>
        <w:t>Acta</w:t>
      </w:r>
      <w:proofErr w:type="spellEnd"/>
      <w:r w:rsidRPr="00042CE0">
        <w:t xml:space="preserve"> </w:t>
      </w:r>
      <w:r w:rsidRPr="00042CE0">
        <w:rPr>
          <w:b/>
        </w:rPr>
        <w:t>52</w:t>
      </w:r>
      <w:r w:rsidRPr="00042CE0">
        <w:t>, 6848–6855 (2007).</w:t>
      </w:r>
    </w:p>
    <w:p w14:paraId="4D6D8F3C" w14:textId="77777777" w:rsidR="000D6418" w:rsidRPr="00042CE0" w:rsidRDefault="000D6418" w:rsidP="000D6418">
      <w:pPr>
        <w:spacing w:after="240"/>
      </w:pPr>
      <w:r w:rsidRPr="00042CE0">
        <w:t xml:space="preserve">[3] R. </w:t>
      </w:r>
      <w:proofErr w:type="spellStart"/>
      <w:r w:rsidRPr="00042CE0">
        <w:t>Chattot</w:t>
      </w:r>
      <w:proofErr w:type="spellEnd"/>
      <w:r w:rsidRPr="00042CE0">
        <w:t xml:space="preserve">, O. L. </w:t>
      </w:r>
      <w:proofErr w:type="spellStart"/>
      <w:r w:rsidRPr="00042CE0">
        <w:t>Bacq</w:t>
      </w:r>
      <w:proofErr w:type="spellEnd"/>
      <w:r w:rsidRPr="00042CE0">
        <w:t xml:space="preserve">, V. </w:t>
      </w:r>
      <w:proofErr w:type="spellStart"/>
      <w:r w:rsidRPr="00042CE0">
        <w:t>Beermann</w:t>
      </w:r>
      <w:proofErr w:type="spellEnd"/>
      <w:r w:rsidRPr="00042CE0">
        <w:t xml:space="preserve">, S. </w:t>
      </w:r>
      <w:proofErr w:type="spellStart"/>
      <w:r w:rsidRPr="00042CE0">
        <w:t>Kühl</w:t>
      </w:r>
      <w:proofErr w:type="spellEnd"/>
      <w:r w:rsidRPr="00042CE0">
        <w:t xml:space="preserve">, J. </w:t>
      </w:r>
      <w:proofErr w:type="spellStart"/>
      <w:r w:rsidRPr="00042CE0">
        <w:t>Herranz</w:t>
      </w:r>
      <w:proofErr w:type="spellEnd"/>
      <w:r w:rsidRPr="00042CE0">
        <w:t xml:space="preserve">, S. Henning, L. </w:t>
      </w:r>
      <w:proofErr w:type="spellStart"/>
      <w:r w:rsidRPr="00042CE0">
        <w:t>Kühn</w:t>
      </w:r>
      <w:proofErr w:type="spellEnd"/>
      <w:r w:rsidRPr="00042CE0">
        <w:t xml:space="preserve">, T. Asset, </w:t>
      </w:r>
      <w:r w:rsidRPr="00042CE0">
        <w:lastRenderedPageBreak/>
        <w:t xml:space="preserve">L. </w:t>
      </w:r>
      <w:proofErr w:type="spellStart"/>
      <w:r w:rsidRPr="00042CE0">
        <w:t>Guétaz</w:t>
      </w:r>
      <w:proofErr w:type="spellEnd"/>
      <w:r w:rsidRPr="00042CE0">
        <w:t xml:space="preserve">, G. </w:t>
      </w:r>
      <w:proofErr w:type="spellStart"/>
      <w:r w:rsidRPr="00042CE0">
        <w:t>Renou</w:t>
      </w:r>
      <w:proofErr w:type="spellEnd"/>
      <w:r w:rsidRPr="00042CE0">
        <w:t xml:space="preserve">, J. </w:t>
      </w:r>
      <w:proofErr w:type="spellStart"/>
      <w:r w:rsidRPr="00042CE0">
        <w:t>Drnec</w:t>
      </w:r>
      <w:proofErr w:type="spellEnd"/>
      <w:r w:rsidRPr="00042CE0">
        <w:t xml:space="preserve">, P. Bordet, A. </w:t>
      </w:r>
      <w:proofErr w:type="spellStart"/>
      <w:r w:rsidRPr="00042CE0">
        <w:t>Pasturel</w:t>
      </w:r>
      <w:proofErr w:type="spellEnd"/>
      <w:r w:rsidRPr="00042CE0">
        <w:t xml:space="preserve">, A. </w:t>
      </w:r>
      <w:proofErr w:type="spellStart"/>
      <w:r w:rsidRPr="00042CE0">
        <w:t>Eychmüller</w:t>
      </w:r>
      <w:proofErr w:type="spellEnd"/>
      <w:r w:rsidRPr="00042CE0">
        <w:t xml:space="preserve">, T. J. Schmidt, P. </w:t>
      </w:r>
      <w:proofErr w:type="spellStart"/>
      <w:r w:rsidRPr="00042CE0">
        <w:t>Strasser</w:t>
      </w:r>
      <w:proofErr w:type="spellEnd"/>
      <w:r w:rsidRPr="00042CE0">
        <w:t xml:space="preserve">, L. </w:t>
      </w:r>
      <w:proofErr w:type="spellStart"/>
      <w:r w:rsidRPr="00042CE0">
        <w:t>Dubau</w:t>
      </w:r>
      <w:proofErr w:type="spellEnd"/>
      <w:r w:rsidRPr="00042CE0">
        <w:t xml:space="preserve">, and F. </w:t>
      </w:r>
      <w:proofErr w:type="spellStart"/>
      <w:r w:rsidRPr="00042CE0">
        <w:t>Maillard</w:t>
      </w:r>
      <w:proofErr w:type="spellEnd"/>
      <w:r w:rsidRPr="00042CE0">
        <w:t xml:space="preserve">: Surface distortion as a unifying concept and descriptor in oxygen reduction reaction </w:t>
      </w:r>
      <w:proofErr w:type="spellStart"/>
      <w:r w:rsidRPr="00042CE0">
        <w:t>electrocatalysis</w:t>
      </w:r>
      <w:proofErr w:type="spellEnd"/>
      <w:r w:rsidRPr="00042CE0">
        <w:t xml:space="preserve">. </w:t>
      </w:r>
      <w:r w:rsidRPr="00042CE0">
        <w:rPr>
          <w:i/>
        </w:rPr>
        <w:t>Nat. Mater.</w:t>
      </w:r>
      <w:r w:rsidRPr="00042CE0">
        <w:t xml:space="preserve"> </w:t>
      </w:r>
      <w:r w:rsidRPr="00042CE0">
        <w:rPr>
          <w:b/>
        </w:rPr>
        <w:t>17</w:t>
      </w:r>
      <w:r w:rsidRPr="00042CE0">
        <w:t>, 827–833 (2018).</w:t>
      </w:r>
    </w:p>
    <w:p w14:paraId="7F1CC157" w14:textId="77777777" w:rsidR="000D6418" w:rsidRPr="00042CE0" w:rsidRDefault="000D6418" w:rsidP="000D6418">
      <w:pPr>
        <w:spacing w:after="240"/>
      </w:pPr>
      <w:r w:rsidRPr="00042CE0">
        <w:t xml:space="preserve">[4] D. Jung, S. Beak, K. S. </w:t>
      </w:r>
      <w:proofErr w:type="spellStart"/>
      <w:r w:rsidRPr="00042CE0">
        <w:t>Nahm</w:t>
      </w:r>
      <w:proofErr w:type="spellEnd"/>
      <w:r w:rsidRPr="00042CE0">
        <w:t xml:space="preserve">, and P. Kim: Enhancement of oxygen reduction activity by sequential impregnation of Pt and </w:t>
      </w:r>
      <w:proofErr w:type="spellStart"/>
      <w:r w:rsidRPr="00042CE0">
        <w:t>Pd</w:t>
      </w:r>
      <w:proofErr w:type="spellEnd"/>
      <w:r w:rsidRPr="00042CE0">
        <w:t xml:space="preserve"> on carbon support. </w:t>
      </w:r>
      <w:r w:rsidRPr="00042CE0">
        <w:rPr>
          <w:i/>
        </w:rPr>
        <w:t>Korean J. Chem. Eng.</w:t>
      </w:r>
      <w:r w:rsidRPr="00042CE0">
        <w:t xml:space="preserve"> </w:t>
      </w:r>
      <w:r w:rsidRPr="00042CE0">
        <w:rPr>
          <w:b/>
        </w:rPr>
        <w:t>27</w:t>
      </w:r>
      <w:r w:rsidRPr="00042CE0">
        <w:t>, 1689–1694 (2010).</w:t>
      </w:r>
    </w:p>
    <w:p w14:paraId="0D3230ED" w14:textId="77777777" w:rsidR="000D6418" w:rsidRPr="00042CE0" w:rsidRDefault="000D6418" w:rsidP="000D6418">
      <w:pPr>
        <w:spacing w:after="240"/>
      </w:pPr>
      <w:r w:rsidRPr="00042CE0">
        <w:t xml:space="preserve">[5] S. Liu, X. Mu, H. </w:t>
      </w:r>
      <w:proofErr w:type="spellStart"/>
      <w:r w:rsidRPr="00042CE0">
        <w:t>Duan</w:t>
      </w:r>
      <w:proofErr w:type="spellEnd"/>
      <w:r w:rsidRPr="00042CE0">
        <w:t xml:space="preserve">, C. Chen, and H. Zhang: </w:t>
      </w:r>
      <w:proofErr w:type="spellStart"/>
      <w:r w:rsidRPr="00042CE0">
        <w:t>Pd</w:t>
      </w:r>
      <w:proofErr w:type="spellEnd"/>
      <w:r w:rsidRPr="00042CE0">
        <w:t xml:space="preserve"> nanoparticle assemblies as efficient catalysts for the hydrogen evolution and oxygen reduction reactions. </w:t>
      </w:r>
      <w:r w:rsidRPr="00042CE0">
        <w:rPr>
          <w:i/>
        </w:rPr>
        <w:t xml:space="preserve">Eur. J. </w:t>
      </w:r>
      <w:proofErr w:type="spellStart"/>
      <w:r w:rsidRPr="00042CE0">
        <w:rPr>
          <w:i/>
        </w:rPr>
        <w:t>Inorg</w:t>
      </w:r>
      <w:proofErr w:type="spellEnd"/>
      <w:r w:rsidRPr="00042CE0">
        <w:rPr>
          <w:i/>
        </w:rPr>
        <w:t>. Chem.</w:t>
      </w:r>
      <w:r w:rsidRPr="00042CE0">
        <w:t xml:space="preserve"> </w:t>
      </w:r>
      <w:r w:rsidRPr="00042CE0">
        <w:rPr>
          <w:b/>
        </w:rPr>
        <w:t>2017</w:t>
      </w:r>
      <w:r w:rsidRPr="00042CE0">
        <w:t>, 535–539 (2017).</w:t>
      </w:r>
    </w:p>
    <w:p w14:paraId="598BB390" w14:textId="77777777" w:rsidR="000D6418" w:rsidRPr="00042CE0" w:rsidRDefault="000D6418" w:rsidP="000D6418">
      <w:pPr>
        <w:spacing w:after="240"/>
      </w:pPr>
      <w:r w:rsidRPr="00042CE0">
        <w:t xml:space="preserve">[6] M. </w:t>
      </w:r>
      <w:proofErr w:type="spellStart"/>
      <w:r w:rsidRPr="00042CE0">
        <w:t>Neergat</w:t>
      </w:r>
      <w:proofErr w:type="spellEnd"/>
      <w:r w:rsidRPr="00042CE0">
        <w:t xml:space="preserve">, V. </w:t>
      </w:r>
      <w:proofErr w:type="spellStart"/>
      <w:r w:rsidRPr="00042CE0">
        <w:t>Gunasekar</w:t>
      </w:r>
      <w:proofErr w:type="spellEnd"/>
      <w:r w:rsidRPr="00042CE0">
        <w:t xml:space="preserve">, and R. Rahul: Carbon-supported </w:t>
      </w:r>
      <w:proofErr w:type="spellStart"/>
      <w:r w:rsidRPr="00042CE0">
        <w:t>Pd</w:t>
      </w:r>
      <w:proofErr w:type="spellEnd"/>
      <w:r w:rsidRPr="00042CE0">
        <w:t xml:space="preserve">–Fe </w:t>
      </w:r>
      <w:proofErr w:type="spellStart"/>
      <w:r w:rsidRPr="00042CE0">
        <w:t>electrocatalysts</w:t>
      </w:r>
      <w:proofErr w:type="spellEnd"/>
      <w:r w:rsidRPr="00042CE0">
        <w:t xml:space="preserve"> for oxygen reduction reaction (ORR) and their methanol tolerance. </w:t>
      </w:r>
      <w:r w:rsidRPr="000B74C0">
        <w:rPr>
          <w:i/>
        </w:rPr>
        <w:t xml:space="preserve">J. </w:t>
      </w:r>
      <w:proofErr w:type="spellStart"/>
      <w:r w:rsidRPr="000B74C0">
        <w:rPr>
          <w:i/>
        </w:rPr>
        <w:t>Electroanal</w:t>
      </w:r>
      <w:proofErr w:type="spellEnd"/>
      <w:r w:rsidRPr="000B74C0">
        <w:rPr>
          <w:i/>
        </w:rPr>
        <w:t>. Chem</w:t>
      </w:r>
      <w:r w:rsidRPr="00042CE0">
        <w:t xml:space="preserve">. </w:t>
      </w:r>
      <w:r w:rsidRPr="00042CE0">
        <w:rPr>
          <w:b/>
        </w:rPr>
        <w:t>658</w:t>
      </w:r>
      <w:r w:rsidRPr="00042CE0">
        <w:t>, 25–32 (2011).</w:t>
      </w:r>
    </w:p>
    <w:p w14:paraId="5F746F61" w14:textId="77777777" w:rsidR="000D6418" w:rsidRPr="00042CE0" w:rsidRDefault="000D6418" w:rsidP="000D6418">
      <w:pPr>
        <w:spacing w:after="240"/>
      </w:pPr>
      <w:r w:rsidRPr="00042CE0">
        <w:t xml:space="preserve">[7] J. </w:t>
      </w:r>
      <w:proofErr w:type="spellStart"/>
      <w:r w:rsidRPr="00042CE0">
        <w:t>Erlebacher</w:t>
      </w:r>
      <w:proofErr w:type="spellEnd"/>
      <w:r w:rsidRPr="00042CE0">
        <w:t xml:space="preserve">, M. J. Aziz, A. Karma, N. </w:t>
      </w:r>
      <w:proofErr w:type="spellStart"/>
      <w:r w:rsidRPr="00042CE0">
        <w:t>Dimitrov</w:t>
      </w:r>
      <w:proofErr w:type="spellEnd"/>
      <w:r w:rsidRPr="00042CE0">
        <w:t xml:space="preserve">, and K. </w:t>
      </w:r>
      <w:proofErr w:type="spellStart"/>
      <w:r w:rsidRPr="00042CE0">
        <w:t>Sieradzki</w:t>
      </w:r>
      <w:proofErr w:type="spellEnd"/>
      <w:r w:rsidRPr="00042CE0">
        <w:t xml:space="preserve">: Evolution of </w:t>
      </w:r>
      <w:proofErr w:type="spellStart"/>
      <w:r w:rsidRPr="00042CE0">
        <w:t>nanoporosity</w:t>
      </w:r>
      <w:proofErr w:type="spellEnd"/>
      <w:r w:rsidRPr="00042CE0">
        <w:t xml:space="preserve"> in </w:t>
      </w:r>
      <w:proofErr w:type="spellStart"/>
      <w:r w:rsidRPr="00042CE0">
        <w:t>dealloying</w:t>
      </w:r>
      <w:proofErr w:type="spellEnd"/>
      <w:r w:rsidRPr="00042CE0">
        <w:t xml:space="preserve">. </w:t>
      </w:r>
      <w:r w:rsidRPr="000B74C0">
        <w:rPr>
          <w:i/>
        </w:rPr>
        <w:t>Nature</w:t>
      </w:r>
      <w:r w:rsidRPr="00042CE0">
        <w:t xml:space="preserve"> 410, 450–453 </w:t>
      </w:r>
      <w:r w:rsidRPr="00042CE0">
        <w:rPr>
          <w:rFonts w:hint="eastAsia"/>
        </w:rPr>
        <w:t>(</w:t>
      </w:r>
      <w:r w:rsidRPr="00042CE0">
        <w:t>2001).</w:t>
      </w:r>
    </w:p>
    <w:p w14:paraId="10E1D4CD" w14:textId="77777777" w:rsidR="000D6418" w:rsidRPr="00042CE0" w:rsidRDefault="000D6418" w:rsidP="000D6418">
      <w:pPr>
        <w:spacing w:after="240"/>
      </w:pPr>
      <w:r w:rsidRPr="00042CE0">
        <w:t>[8]</w:t>
      </w:r>
      <w:r w:rsidRPr="00042CE0">
        <w:rPr>
          <w:rFonts w:eastAsia="ＭＳ Ｐゴシック" w:hAnsi="Segoe UI"/>
          <w:kern w:val="24"/>
          <w:sz w:val="28"/>
          <w:szCs w:val="28"/>
        </w:rPr>
        <w:t xml:space="preserve"> A. J. </w:t>
      </w:r>
      <w:r w:rsidRPr="00042CE0">
        <w:t xml:space="preserve">Forty: Corrosion micromorphology of noble metal alloys and depletion gilding. </w:t>
      </w:r>
      <w:r w:rsidRPr="00042CE0">
        <w:rPr>
          <w:i/>
          <w:iCs/>
        </w:rPr>
        <w:t xml:space="preserve">Nature </w:t>
      </w:r>
      <w:r w:rsidRPr="00042CE0">
        <w:rPr>
          <w:b/>
          <w:bCs/>
        </w:rPr>
        <w:t>282</w:t>
      </w:r>
      <w:r w:rsidRPr="00042CE0">
        <w:rPr>
          <w:bCs/>
        </w:rPr>
        <w:t>,</w:t>
      </w:r>
      <w:r w:rsidRPr="00042CE0">
        <w:t xml:space="preserve"> 597–598 (1979).</w:t>
      </w:r>
    </w:p>
    <w:p w14:paraId="42AD79EA" w14:textId="77777777" w:rsidR="000D6418" w:rsidRPr="00042CE0" w:rsidRDefault="000D6418" w:rsidP="000D6418">
      <w:pPr>
        <w:spacing w:after="240"/>
      </w:pPr>
      <w:r w:rsidRPr="00042CE0">
        <w:t xml:space="preserve">[9] D. V. Pugh, A. </w:t>
      </w:r>
      <w:proofErr w:type="spellStart"/>
      <w:r w:rsidRPr="00042CE0">
        <w:t>Dursun</w:t>
      </w:r>
      <w:proofErr w:type="spellEnd"/>
      <w:r w:rsidRPr="00042CE0">
        <w:t xml:space="preserve">, and S. G. Corcoran: Formation of </w:t>
      </w:r>
      <w:proofErr w:type="spellStart"/>
      <w:r w:rsidRPr="00042CE0">
        <w:t>nanoporous</w:t>
      </w:r>
      <w:proofErr w:type="spellEnd"/>
      <w:r w:rsidRPr="00042CE0">
        <w:t xml:space="preserve"> platinum by selective dissolution of Cu from Cu</w:t>
      </w:r>
      <w:r w:rsidRPr="00042CE0">
        <w:rPr>
          <w:vertAlign w:val="subscript"/>
        </w:rPr>
        <w:t>0.75</w:t>
      </w:r>
      <w:r w:rsidRPr="00042CE0">
        <w:t>Pt</w:t>
      </w:r>
      <w:r w:rsidRPr="00042CE0">
        <w:rPr>
          <w:vertAlign w:val="subscript"/>
        </w:rPr>
        <w:t>0.25</w:t>
      </w:r>
      <w:r w:rsidRPr="00042CE0">
        <w:t xml:space="preserve">. </w:t>
      </w:r>
      <w:r w:rsidRPr="00042CE0">
        <w:rPr>
          <w:i/>
        </w:rPr>
        <w:t>J. Mater. Res.</w:t>
      </w:r>
      <w:r w:rsidRPr="00042CE0">
        <w:t xml:space="preserve"> </w:t>
      </w:r>
      <w:r w:rsidRPr="00042CE0">
        <w:rPr>
          <w:b/>
        </w:rPr>
        <w:t>18</w:t>
      </w:r>
      <w:r w:rsidRPr="00042CE0">
        <w:t>, 216–221 (2003).</w:t>
      </w:r>
    </w:p>
    <w:p w14:paraId="142ADDC0" w14:textId="77777777" w:rsidR="000D6418" w:rsidRPr="00042CE0" w:rsidRDefault="000D6418" w:rsidP="000D6418">
      <w:pPr>
        <w:spacing w:after="240"/>
      </w:pPr>
      <w:r w:rsidRPr="00042CE0">
        <w:t xml:space="preserve">[10] X. Kong, C. Ma, J. Zhang, J. Sun, J. Chen, and K. Liu: Effect of leaching temperature on structure and performance of Raney Cu catalysts for hydrogenation of dimethyl oxalate, </w:t>
      </w:r>
      <w:r w:rsidRPr="00042CE0">
        <w:rPr>
          <w:i/>
        </w:rPr>
        <w:t xml:space="preserve">Appl. </w:t>
      </w:r>
      <w:proofErr w:type="spellStart"/>
      <w:r w:rsidRPr="00042CE0">
        <w:rPr>
          <w:i/>
        </w:rPr>
        <w:t>Catal</w:t>
      </w:r>
      <w:proofErr w:type="spellEnd"/>
      <w:r w:rsidRPr="00042CE0">
        <w:rPr>
          <w:i/>
        </w:rPr>
        <w:t>. A-Gen.</w:t>
      </w:r>
      <w:r w:rsidRPr="00042CE0">
        <w:t xml:space="preserve"> </w:t>
      </w:r>
      <w:r w:rsidRPr="00042CE0">
        <w:rPr>
          <w:b/>
        </w:rPr>
        <w:t>509</w:t>
      </w:r>
      <w:r w:rsidRPr="00042CE0">
        <w:t>, 153–160 (2016).</w:t>
      </w:r>
    </w:p>
    <w:p w14:paraId="4B89DD20" w14:textId="77777777" w:rsidR="000D6418" w:rsidRPr="00042CE0" w:rsidRDefault="000D6418" w:rsidP="000D6418">
      <w:pPr>
        <w:spacing w:after="240"/>
      </w:pPr>
      <w:r w:rsidRPr="00042CE0">
        <w:lastRenderedPageBreak/>
        <w:t xml:space="preserve">[11] D. S. Keir and M. J. Pryor: </w:t>
      </w:r>
      <w:r w:rsidRPr="00042CE0">
        <w:rPr>
          <w:rFonts w:hint="eastAsia"/>
        </w:rPr>
        <w:t xml:space="preserve">The </w:t>
      </w:r>
      <w:proofErr w:type="spellStart"/>
      <w:r w:rsidRPr="00042CE0">
        <w:t>d</w:t>
      </w:r>
      <w:r w:rsidRPr="00042CE0">
        <w:rPr>
          <w:rFonts w:hint="eastAsia"/>
        </w:rPr>
        <w:t>ealloying</w:t>
      </w:r>
      <w:proofErr w:type="spellEnd"/>
      <w:r w:rsidRPr="00042CE0">
        <w:rPr>
          <w:rFonts w:hint="eastAsia"/>
        </w:rPr>
        <w:t xml:space="preserve"> of copper</w:t>
      </w:r>
      <w:r w:rsidRPr="00042CE0">
        <w:t>-</w:t>
      </w:r>
      <w:r w:rsidRPr="00042CE0">
        <w:rPr>
          <w:rFonts w:hint="eastAsia"/>
        </w:rPr>
        <w:t xml:space="preserve">manganese </w:t>
      </w:r>
      <w:r w:rsidRPr="00042CE0">
        <w:t>a</w:t>
      </w:r>
      <w:r w:rsidRPr="00042CE0">
        <w:rPr>
          <w:rFonts w:hint="eastAsia"/>
        </w:rPr>
        <w:t>lloys</w:t>
      </w:r>
      <w:r w:rsidRPr="00042CE0">
        <w:t xml:space="preserve">. </w:t>
      </w:r>
      <w:r w:rsidRPr="00042CE0">
        <w:rPr>
          <w:i/>
        </w:rPr>
        <w:t xml:space="preserve">J. </w:t>
      </w:r>
      <w:proofErr w:type="spellStart"/>
      <w:r w:rsidRPr="00042CE0">
        <w:rPr>
          <w:i/>
        </w:rPr>
        <w:t>Electrochem</w:t>
      </w:r>
      <w:proofErr w:type="spellEnd"/>
      <w:r w:rsidRPr="00042CE0">
        <w:rPr>
          <w:i/>
        </w:rPr>
        <w:t>. Soc.</w:t>
      </w:r>
      <w:r w:rsidRPr="00042CE0">
        <w:t xml:space="preserve"> </w:t>
      </w:r>
      <w:r w:rsidRPr="00042CE0">
        <w:rPr>
          <w:b/>
        </w:rPr>
        <w:t>127</w:t>
      </w:r>
      <w:r w:rsidRPr="00042CE0">
        <w:t>, 2138–2144 (1980).</w:t>
      </w:r>
    </w:p>
    <w:p w14:paraId="02F4EE51" w14:textId="77777777" w:rsidR="000D6418" w:rsidRPr="00042CE0" w:rsidRDefault="000D6418" w:rsidP="000D6418">
      <w:pPr>
        <w:spacing w:after="240"/>
      </w:pPr>
      <w:r w:rsidRPr="00042CE0">
        <w:t xml:space="preserve">[12] U.-S. Min and J. C. M. Li: The microstructure and </w:t>
      </w:r>
      <w:proofErr w:type="spellStart"/>
      <w:r w:rsidRPr="00042CE0">
        <w:t>dealloying</w:t>
      </w:r>
      <w:proofErr w:type="spellEnd"/>
      <w:r w:rsidRPr="00042CE0">
        <w:t xml:space="preserve"> kinetics of a Cu-</w:t>
      </w:r>
      <w:proofErr w:type="spellStart"/>
      <w:r w:rsidRPr="00042CE0">
        <w:t>Mn</w:t>
      </w:r>
      <w:proofErr w:type="spellEnd"/>
      <w:r w:rsidRPr="00042CE0">
        <w:t xml:space="preserve"> alloy. </w:t>
      </w:r>
      <w:r w:rsidRPr="00042CE0">
        <w:rPr>
          <w:i/>
        </w:rPr>
        <w:t>J. Mater. Res.</w:t>
      </w:r>
      <w:r w:rsidRPr="00042CE0">
        <w:t xml:space="preserve"> </w:t>
      </w:r>
      <w:r w:rsidRPr="00042CE0">
        <w:rPr>
          <w:b/>
        </w:rPr>
        <w:t>9</w:t>
      </w:r>
      <w:r w:rsidRPr="00042CE0">
        <w:t>, 2878–2883 (1994).</w:t>
      </w:r>
    </w:p>
    <w:p w14:paraId="09675D2A" w14:textId="77777777" w:rsidR="000D6418" w:rsidRPr="00042CE0" w:rsidRDefault="000D6418" w:rsidP="000D6418">
      <w:pPr>
        <w:spacing w:after="240"/>
      </w:pPr>
      <w:r w:rsidRPr="00042CE0">
        <w:t xml:space="preserve">[13] J. R. Hayes, A. M. Hodge, J. </w:t>
      </w:r>
      <w:proofErr w:type="spellStart"/>
      <w:r w:rsidRPr="00042CE0">
        <w:t>Biener</w:t>
      </w:r>
      <w:proofErr w:type="spellEnd"/>
      <w:r w:rsidRPr="00042CE0">
        <w:t xml:space="preserve">, A. V. Hamza, and K. </w:t>
      </w:r>
      <w:proofErr w:type="spellStart"/>
      <w:r w:rsidRPr="00042CE0">
        <w:t>Sieradzki</w:t>
      </w:r>
      <w:proofErr w:type="spellEnd"/>
      <w:r w:rsidRPr="00042CE0">
        <w:t xml:space="preserve">: Monolithic </w:t>
      </w:r>
      <w:proofErr w:type="spellStart"/>
      <w:r w:rsidRPr="00042CE0">
        <w:t>nanoporous</w:t>
      </w:r>
      <w:proofErr w:type="spellEnd"/>
      <w:r w:rsidRPr="00042CE0">
        <w:t xml:space="preserve"> copper by </w:t>
      </w:r>
      <w:proofErr w:type="spellStart"/>
      <w:r w:rsidRPr="00042CE0">
        <w:t>dealloying</w:t>
      </w:r>
      <w:proofErr w:type="spellEnd"/>
      <w:r w:rsidRPr="00042CE0">
        <w:t xml:space="preserve"> </w:t>
      </w:r>
      <w:proofErr w:type="spellStart"/>
      <w:r w:rsidRPr="00042CE0">
        <w:t>Mn</w:t>
      </w:r>
      <w:proofErr w:type="spellEnd"/>
      <w:r w:rsidRPr="00042CE0">
        <w:t xml:space="preserve">–Cu. </w:t>
      </w:r>
      <w:r w:rsidRPr="00042CE0">
        <w:rPr>
          <w:i/>
        </w:rPr>
        <w:t>J. Mater. Res.</w:t>
      </w:r>
      <w:r w:rsidRPr="00042CE0">
        <w:t xml:space="preserve"> </w:t>
      </w:r>
      <w:r w:rsidRPr="00042CE0">
        <w:rPr>
          <w:b/>
        </w:rPr>
        <w:t>21</w:t>
      </w:r>
      <w:r w:rsidRPr="00042CE0">
        <w:t>, 2611– 2616 (2006).</w:t>
      </w:r>
    </w:p>
    <w:p w14:paraId="5D6DCF87" w14:textId="77777777" w:rsidR="000D6418" w:rsidRPr="00042CE0" w:rsidRDefault="000D6418" w:rsidP="000D6418">
      <w:pPr>
        <w:spacing w:after="240"/>
      </w:pPr>
      <w:r w:rsidRPr="00042CE0">
        <w:t xml:space="preserve">[14] M. Hakamada and M. Mabuchi: Preparation of </w:t>
      </w:r>
      <w:proofErr w:type="spellStart"/>
      <w:r w:rsidRPr="00042CE0">
        <w:t>nanoporous</w:t>
      </w:r>
      <w:proofErr w:type="spellEnd"/>
      <w:r w:rsidRPr="00042CE0">
        <w:t xml:space="preserve"> Ni and Ni-Cu by </w:t>
      </w:r>
      <w:proofErr w:type="spellStart"/>
      <w:r w:rsidRPr="00042CE0">
        <w:t>dealloying</w:t>
      </w:r>
      <w:proofErr w:type="spellEnd"/>
      <w:r w:rsidRPr="00042CE0">
        <w:t xml:space="preserve"> of rolled Ni-</w:t>
      </w:r>
      <w:proofErr w:type="spellStart"/>
      <w:r w:rsidRPr="00042CE0">
        <w:t>Mn</w:t>
      </w:r>
      <w:proofErr w:type="spellEnd"/>
      <w:r w:rsidRPr="00042CE0">
        <w:t xml:space="preserve"> and Ni-Cu-</w:t>
      </w:r>
      <w:proofErr w:type="spellStart"/>
      <w:r w:rsidRPr="00042CE0">
        <w:t>Mn</w:t>
      </w:r>
      <w:proofErr w:type="spellEnd"/>
      <w:r w:rsidRPr="00042CE0">
        <w:t xml:space="preserve"> alloys.</w:t>
      </w:r>
      <w:r w:rsidRPr="00042CE0">
        <w:rPr>
          <w:rFonts w:hint="eastAsia"/>
        </w:rPr>
        <w:t xml:space="preserve"> </w:t>
      </w:r>
      <w:r w:rsidRPr="00042CE0">
        <w:rPr>
          <w:rFonts w:hint="eastAsia"/>
          <w:i/>
        </w:rPr>
        <w:t>J</w:t>
      </w:r>
      <w:r w:rsidRPr="00042CE0">
        <w:rPr>
          <w:i/>
        </w:rPr>
        <w:t>.</w:t>
      </w:r>
      <w:r w:rsidRPr="00042CE0">
        <w:rPr>
          <w:rFonts w:hint="eastAsia"/>
          <w:i/>
        </w:rPr>
        <w:t xml:space="preserve"> Alloy</w:t>
      </w:r>
      <w:r w:rsidRPr="00042CE0">
        <w:rPr>
          <w:i/>
        </w:rPr>
        <w:t>.</w:t>
      </w:r>
      <w:r w:rsidRPr="00042CE0">
        <w:rPr>
          <w:rFonts w:hint="eastAsia"/>
          <w:i/>
        </w:rPr>
        <w:t xml:space="preserve"> Comp</w:t>
      </w:r>
      <w:r w:rsidRPr="00042CE0">
        <w:rPr>
          <w:i/>
        </w:rPr>
        <w:t>d.</w:t>
      </w:r>
      <w:r w:rsidRPr="00042CE0">
        <w:rPr>
          <w:rFonts w:hint="eastAsia"/>
        </w:rPr>
        <w:t xml:space="preserve"> </w:t>
      </w:r>
      <w:r w:rsidRPr="00042CE0">
        <w:rPr>
          <w:rFonts w:hint="eastAsia"/>
          <w:b/>
        </w:rPr>
        <w:t>485</w:t>
      </w:r>
      <w:r w:rsidRPr="00042CE0">
        <w:rPr>
          <w:rFonts w:hint="eastAsia"/>
        </w:rPr>
        <w:t>, 583</w:t>
      </w:r>
      <w:r w:rsidRPr="00042CE0">
        <w:t>–</w:t>
      </w:r>
      <w:r w:rsidRPr="00042CE0">
        <w:rPr>
          <w:rFonts w:hint="eastAsia"/>
        </w:rPr>
        <w:t>587</w:t>
      </w:r>
      <w:r w:rsidRPr="00042CE0">
        <w:t xml:space="preserve"> (</w:t>
      </w:r>
      <w:r w:rsidRPr="00042CE0">
        <w:rPr>
          <w:rFonts w:hint="eastAsia"/>
        </w:rPr>
        <w:t>2009</w:t>
      </w:r>
      <w:r w:rsidRPr="00042CE0">
        <w:t>)</w:t>
      </w:r>
      <w:r w:rsidRPr="00042CE0">
        <w:rPr>
          <w:rFonts w:hint="eastAsia"/>
        </w:rPr>
        <w:t>.</w:t>
      </w:r>
    </w:p>
    <w:p w14:paraId="58BF5283" w14:textId="7605DAE7" w:rsidR="000D6418" w:rsidRPr="00042CE0" w:rsidRDefault="000D6418" w:rsidP="000D6418">
      <w:pPr>
        <w:spacing w:after="240"/>
      </w:pPr>
      <w:r w:rsidRPr="00042CE0">
        <w:rPr>
          <w:rFonts w:hint="eastAsia"/>
        </w:rPr>
        <w:t>[</w:t>
      </w:r>
      <w:r w:rsidRPr="00042CE0">
        <w:t>15</w:t>
      </w:r>
      <w:r w:rsidRPr="00042CE0">
        <w:rPr>
          <w:rFonts w:hint="eastAsia"/>
        </w:rPr>
        <w:t xml:space="preserve">] </w:t>
      </w:r>
      <w:r w:rsidRPr="00042CE0">
        <w:t xml:space="preserve">A. Liu, H. </w:t>
      </w:r>
      <w:proofErr w:type="spellStart"/>
      <w:r w:rsidRPr="00042CE0">
        <w:t>Geng</w:t>
      </w:r>
      <w:proofErr w:type="spellEnd"/>
      <w:r w:rsidRPr="00042CE0">
        <w:t xml:space="preserve">, C. Xu, and H. </w:t>
      </w:r>
      <w:proofErr w:type="spellStart"/>
      <w:r w:rsidRPr="00042CE0">
        <w:t>Qiu</w:t>
      </w:r>
      <w:proofErr w:type="spellEnd"/>
      <w:r w:rsidRPr="00042CE0">
        <w:t xml:space="preserve">: A three-dimensional hierarchical </w:t>
      </w:r>
      <w:proofErr w:type="spellStart"/>
      <w:r w:rsidRPr="00042CE0">
        <w:t>nanoporous</w:t>
      </w:r>
      <w:proofErr w:type="spellEnd"/>
      <w:r w:rsidRPr="00042CE0">
        <w:t xml:space="preserve"> </w:t>
      </w:r>
      <w:proofErr w:type="spellStart"/>
      <w:r w:rsidRPr="00042CE0">
        <w:t>PdCu</w:t>
      </w:r>
      <w:proofErr w:type="spellEnd"/>
      <w:r w:rsidRPr="00042CE0">
        <w:t xml:space="preserve"> alloy for enhanced </w:t>
      </w:r>
      <w:proofErr w:type="spellStart"/>
      <w:r w:rsidRPr="00042CE0">
        <w:t>electrocatalysis</w:t>
      </w:r>
      <w:proofErr w:type="spellEnd"/>
      <w:r w:rsidRPr="00042CE0">
        <w:t xml:space="preserve"> and </w:t>
      </w:r>
      <w:proofErr w:type="spellStart"/>
      <w:r w:rsidRPr="00042CE0">
        <w:t>biosensing</w:t>
      </w:r>
      <w:proofErr w:type="spellEnd"/>
      <w:r w:rsidRPr="00042CE0">
        <w:t xml:space="preserve">. </w:t>
      </w:r>
      <w:r w:rsidRPr="00042CE0">
        <w:rPr>
          <w:i/>
        </w:rPr>
        <w:t>Anal. Ch</w:t>
      </w:r>
      <w:r w:rsidR="000B74C0">
        <w:rPr>
          <w:i/>
        </w:rPr>
        <w:t>e</w:t>
      </w:r>
      <w:r w:rsidRPr="00042CE0">
        <w:rPr>
          <w:i/>
        </w:rPr>
        <w:t xml:space="preserve">m. </w:t>
      </w:r>
      <w:proofErr w:type="spellStart"/>
      <w:r w:rsidRPr="00042CE0">
        <w:rPr>
          <w:i/>
        </w:rPr>
        <w:t>Acta</w:t>
      </w:r>
      <w:proofErr w:type="spellEnd"/>
      <w:r w:rsidRPr="00042CE0">
        <w:t xml:space="preserve"> </w:t>
      </w:r>
      <w:r w:rsidRPr="00042CE0">
        <w:rPr>
          <w:b/>
        </w:rPr>
        <w:t>703</w:t>
      </w:r>
      <w:r w:rsidRPr="00042CE0">
        <w:t>, 172–178 (2011).</w:t>
      </w:r>
    </w:p>
    <w:p w14:paraId="3ECD4C66" w14:textId="2D95DB72" w:rsidR="000D6418" w:rsidRPr="00042CE0" w:rsidRDefault="000D6418" w:rsidP="000D6418">
      <w:pPr>
        <w:spacing w:after="240"/>
      </w:pPr>
      <w:r w:rsidRPr="00042CE0">
        <w:t xml:space="preserve">[16] B. </w:t>
      </w:r>
      <w:proofErr w:type="spellStart"/>
      <w:r w:rsidRPr="00042CE0">
        <w:t>Rezaei</w:t>
      </w:r>
      <w:proofErr w:type="spellEnd"/>
      <w:r w:rsidRPr="00042CE0">
        <w:t xml:space="preserve">, E. </w:t>
      </w:r>
      <w:proofErr w:type="spellStart"/>
      <w:r w:rsidRPr="00042CE0">
        <w:t>Havakeshian</w:t>
      </w:r>
      <w:proofErr w:type="spellEnd"/>
      <w:r w:rsidRPr="00042CE0">
        <w:t xml:space="preserve">, and A. A. </w:t>
      </w:r>
      <w:proofErr w:type="spellStart"/>
      <w:r w:rsidRPr="00042CE0">
        <w:t>Ensafi</w:t>
      </w:r>
      <w:proofErr w:type="spellEnd"/>
      <w:r w:rsidRPr="00042CE0">
        <w:t xml:space="preserve">: Fabrication of a porous </w:t>
      </w:r>
      <w:proofErr w:type="spellStart"/>
      <w:r w:rsidRPr="00042CE0">
        <w:t>Pd</w:t>
      </w:r>
      <w:proofErr w:type="spellEnd"/>
      <w:r w:rsidRPr="00042CE0">
        <w:t xml:space="preserve"> film on </w:t>
      </w:r>
      <w:proofErr w:type="spellStart"/>
      <w:r w:rsidRPr="00042CE0">
        <w:t>nanoporous</w:t>
      </w:r>
      <w:proofErr w:type="spellEnd"/>
      <w:r w:rsidRPr="00042CE0">
        <w:t xml:space="preserve"> stainless </w:t>
      </w:r>
      <w:proofErr w:type="spellStart"/>
      <w:r w:rsidRPr="00042CE0">
        <w:t>steelusing</w:t>
      </w:r>
      <w:proofErr w:type="spellEnd"/>
      <w:r w:rsidRPr="00042CE0">
        <w:t xml:space="preserve"> galvanic replacement as a novel </w:t>
      </w:r>
      <w:proofErr w:type="spellStart"/>
      <w:r w:rsidRPr="00042CE0">
        <w:t>electrocatalyst</w:t>
      </w:r>
      <w:proofErr w:type="spellEnd"/>
      <w:r w:rsidRPr="00042CE0">
        <w:t xml:space="preserve">/electrode design for glycerol oxidation. </w:t>
      </w:r>
      <w:proofErr w:type="spellStart"/>
      <w:r w:rsidRPr="00042CE0">
        <w:rPr>
          <w:i/>
        </w:rPr>
        <w:t>Electroch</w:t>
      </w:r>
      <w:r w:rsidR="000B74C0">
        <w:rPr>
          <w:i/>
        </w:rPr>
        <w:t>e</w:t>
      </w:r>
      <w:r w:rsidRPr="00042CE0">
        <w:rPr>
          <w:i/>
        </w:rPr>
        <w:t>m</w:t>
      </w:r>
      <w:proofErr w:type="spellEnd"/>
      <w:r w:rsidRPr="00042CE0">
        <w:rPr>
          <w:i/>
        </w:rPr>
        <w:t xml:space="preserve">. </w:t>
      </w:r>
      <w:proofErr w:type="spellStart"/>
      <w:r w:rsidRPr="00042CE0">
        <w:rPr>
          <w:i/>
        </w:rPr>
        <w:t>Acta</w:t>
      </w:r>
      <w:proofErr w:type="spellEnd"/>
      <w:r w:rsidRPr="00042CE0">
        <w:t xml:space="preserve"> </w:t>
      </w:r>
      <w:r w:rsidRPr="00042CE0">
        <w:rPr>
          <w:b/>
        </w:rPr>
        <w:t>136</w:t>
      </w:r>
      <w:r w:rsidRPr="00042CE0">
        <w:t>, 89–96 (2014).</w:t>
      </w:r>
    </w:p>
    <w:p w14:paraId="64F8B29B" w14:textId="77777777" w:rsidR="000D6418" w:rsidRPr="00042CE0" w:rsidRDefault="000D6418" w:rsidP="000D6418">
      <w:pPr>
        <w:spacing w:after="240"/>
      </w:pPr>
      <w:r w:rsidRPr="00042CE0">
        <w:t xml:space="preserve">[17] J.-B. </w:t>
      </w:r>
      <w:proofErr w:type="spellStart"/>
      <w:r w:rsidRPr="00042CE0">
        <w:t>Raoof</w:t>
      </w:r>
      <w:proofErr w:type="spellEnd"/>
      <w:r w:rsidRPr="00042CE0">
        <w:t xml:space="preserve">, S. R. Hosseini, R. </w:t>
      </w:r>
      <w:proofErr w:type="spellStart"/>
      <w:r w:rsidRPr="00042CE0">
        <w:t>Ojani</w:t>
      </w:r>
      <w:proofErr w:type="spellEnd"/>
      <w:r w:rsidRPr="00042CE0">
        <w:t xml:space="preserve">, and S. </w:t>
      </w:r>
      <w:proofErr w:type="spellStart"/>
      <w:r w:rsidRPr="00042CE0">
        <w:t>Aghajani</w:t>
      </w:r>
      <w:proofErr w:type="spellEnd"/>
      <w:r w:rsidRPr="00042CE0">
        <w:t>: Fabrication of bimetallic Cu/</w:t>
      </w:r>
      <w:proofErr w:type="spellStart"/>
      <w:r w:rsidRPr="00042CE0">
        <w:t>Pd</w:t>
      </w:r>
      <w:proofErr w:type="spellEnd"/>
      <w:r w:rsidRPr="00042CE0">
        <w:t xml:space="preserve"> </w:t>
      </w:r>
      <w:proofErr w:type="spellStart"/>
      <w:r w:rsidRPr="00042CE0">
        <w:t>particlesmodified</w:t>
      </w:r>
      <w:proofErr w:type="spellEnd"/>
      <w:r w:rsidRPr="00042CE0">
        <w:t xml:space="preserve"> carbon nanotube paste electrode and its use towards formaldehyde </w:t>
      </w:r>
      <w:proofErr w:type="spellStart"/>
      <w:r w:rsidRPr="00042CE0">
        <w:t>electrooxidation</w:t>
      </w:r>
      <w:proofErr w:type="spellEnd"/>
      <w:r w:rsidRPr="00042CE0">
        <w:t xml:space="preserve">. </w:t>
      </w:r>
      <w:r w:rsidRPr="00042CE0">
        <w:rPr>
          <w:i/>
        </w:rPr>
        <w:t>J. Mol. Liq.</w:t>
      </w:r>
      <w:r w:rsidRPr="00042CE0">
        <w:t xml:space="preserve"> </w:t>
      </w:r>
      <w:r w:rsidRPr="00042CE0">
        <w:rPr>
          <w:b/>
        </w:rPr>
        <w:t>204</w:t>
      </w:r>
      <w:r w:rsidRPr="00042CE0">
        <w:t>, 106–111 (2015).</w:t>
      </w:r>
    </w:p>
    <w:p w14:paraId="0387A8FE" w14:textId="0FE46391" w:rsidR="008F2ACE" w:rsidRPr="00042CE0" w:rsidRDefault="008F2ACE" w:rsidP="008F2ACE">
      <w:pPr>
        <w:spacing w:after="240"/>
        <w:rPr>
          <w:szCs w:val="24"/>
        </w:rPr>
      </w:pPr>
      <w:r w:rsidRPr="00053DC7">
        <w:rPr>
          <w:szCs w:val="24"/>
          <w:highlight w:val="yellow"/>
        </w:rPr>
        <w:t>[18]</w:t>
      </w:r>
      <w:r w:rsidRPr="00042CE0">
        <w:rPr>
          <w:szCs w:val="24"/>
        </w:rPr>
        <w:t xml:space="preserve"> M. Hakamada, H. Nakano, T. Furukawa, M. Takahashi, and M. Mabuchi: </w:t>
      </w:r>
      <w:r w:rsidRPr="00042CE0">
        <w:rPr>
          <w:rFonts w:hint="eastAsia"/>
        </w:rPr>
        <w:t xml:space="preserve">Hydrogen storage properties of </w:t>
      </w:r>
      <w:proofErr w:type="spellStart"/>
      <w:r w:rsidRPr="00042CE0">
        <w:rPr>
          <w:rFonts w:hint="eastAsia"/>
        </w:rPr>
        <w:t>nanoporous</w:t>
      </w:r>
      <w:proofErr w:type="spellEnd"/>
      <w:r w:rsidRPr="00042CE0">
        <w:rPr>
          <w:rFonts w:hint="eastAsia"/>
        </w:rPr>
        <w:t xml:space="preserve"> palladium fabricated by </w:t>
      </w:r>
      <w:proofErr w:type="spellStart"/>
      <w:r w:rsidRPr="00042CE0">
        <w:rPr>
          <w:rFonts w:hint="eastAsia"/>
        </w:rPr>
        <w:t>dealloying</w:t>
      </w:r>
      <w:proofErr w:type="spellEnd"/>
      <w:r w:rsidRPr="00042CE0">
        <w:t>.</w:t>
      </w:r>
      <w:r w:rsidRPr="00042CE0">
        <w:rPr>
          <w:szCs w:val="24"/>
        </w:rPr>
        <w:t xml:space="preserve"> </w:t>
      </w:r>
      <w:r w:rsidRPr="00042CE0">
        <w:rPr>
          <w:i/>
          <w:szCs w:val="24"/>
        </w:rPr>
        <w:t>J. Phys. Chem. C</w:t>
      </w:r>
      <w:r w:rsidRPr="00042CE0">
        <w:rPr>
          <w:szCs w:val="24"/>
        </w:rPr>
        <w:t xml:space="preserve"> </w:t>
      </w:r>
      <w:r w:rsidRPr="00042CE0">
        <w:rPr>
          <w:b/>
          <w:szCs w:val="24"/>
        </w:rPr>
        <w:t>114</w:t>
      </w:r>
      <w:r w:rsidRPr="00042CE0">
        <w:rPr>
          <w:szCs w:val="24"/>
        </w:rPr>
        <w:t>, 868–873 (2010).</w:t>
      </w:r>
    </w:p>
    <w:p w14:paraId="585F3272" w14:textId="74998C0C" w:rsidR="008F2ACE" w:rsidRPr="00E12043" w:rsidRDefault="008F2ACE" w:rsidP="008F2ACE">
      <w:pPr>
        <w:spacing w:after="240"/>
        <w:rPr>
          <w:highlight w:val="yellow"/>
        </w:rPr>
      </w:pPr>
      <w:r w:rsidRPr="00053DC7">
        <w:rPr>
          <w:highlight w:val="yellow"/>
        </w:rPr>
        <w:t>[19]</w:t>
      </w:r>
      <w:r w:rsidRPr="00E12043">
        <w:rPr>
          <w:highlight w:val="yellow"/>
        </w:rPr>
        <w:t xml:space="preserve"> C. </w:t>
      </w:r>
      <w:proofErr w:type="spellStart"/>
      <w:r w:rsidRPr="00E12043">
        <w:rPr>
          <w:highlight w:val="yellow"/>
        </w:rPr>
        <w:t>Mahr</w:t>
      </w:r>
      <w:proofErr w:type="spellEnd"/>
      <w:r w:rsidRPr="00E12043">
        <w:rPr>
          <w:highlight w:val="yellow"/>
        </w:rPr>
        <w:t>, K. Müller-</w:t>
      </w:r>
      <w:proofErr w:type="spellStart"/>
      <w:r w:rsidRPr="00E12043">
        <w:rPr>
          <w:highlight w:val="yellow"/>
        </w:rPr>
        <w:t>Caspary</w:t>
      </w:r>
      <w:proofErr w:type="spellEnd"/>
      <w:r w:rsidRPr="00E12043">
        <w:rPr>
          <w:highlight w:val="yellow"/>
        </w:rPr>
        <w:t xml:space="preserve">, M. Graf, A. </w:t>
      </w:r>
      <w:proofErr w:type="spellStart"/>
      <w:r w:rsidRPr="00E12043">
        <w:rPr>
          <w:highlight w:val="yellow"/>
        </w:rPr>
        <w:t>Lackmann</w:t>
      </w:r>
      <w:proofErr w:type="spellEnd"/>
      <w:r w:rsidRPr="00E12043">
        <w:rPr>
          <w:highlight w:val="yellow"/>
        </w:rPr>
        <w:t xml:space="preserve">, T. </w:t>
      </w:r>
      <w:proofErr w:type="spellStart"/>
      <w:r w:rsidRPr="00E12043">
        <w:rPr>
          <w:highlight w:val="yellow"/>
        </w:rPr>
        <w:t>Grieb</w:t>
      </w:r>
      <w:proofErr w:type="spellEnd"/>
      <w:r w:rsidRPr="00E12043">
        <w:rPr>
          <w:highlight w:val="yellow"/>
        </w:rPr>
        <w:t xml:space="preserve">, M. </w:t>
      </w:r>
      <w:proofErr w:type="spellStart"/>
      <w:r w:rsidRPr="00E12043">
        <w:rPr>
          <w:highlight w:val="yellow"/>
        </w:rPr>
        <w:t>Schowalter</w:t>
      </w:r>
      <w:proofErr w:type="spellEnd"/>
      <w:r w:rsidRPr="00E12043">
        <w:rPr>
          <w:highlight w:val="yellow"/>
        </w:rPr>
        <w:t xml:space="preserve">, F. F. Krause, T. </w:t>
      </w:r>
      <w:proofErr w:type="spellStart"/>
      <w:r w:rsidRPr="00E12043">
        <w:rPr>
          <w:highlight w:val="yellow"/>
        </w:rPr>
        <w:t>Mehrtens</w:t>
      </w:r>
      <w:proofErr w:type="spellEnd"/>
      <w:r w:rsidRPr="00E12043">
        <w:rPr>
          <w:highlight w:val="yellow"/>
        </w:rPr>
        <w:t xml:space="preserve">, A. </w:t>
      </w:r>
      <w:proofErr w:type="spellStart"/>
      <w:r w:rsidRPr="00E12043">
        <w:rPr>
          <w:highlight w:val="yellow"/>
        </w:rPr>
        <w:t>Wittstock</w:t>
      </w:r>
      <w:proofErr w:type="spellEnd"/>
      <w:r w:rsidRPr="00E12043">
        <w:rPr>
          <w:highlight w:val="yellow"/>
        </w:rPr>
        <w:t xml:space="preserve">, J. </w:t>
      </w:r>
      <w:proofErr w:type="spellStart"/>
      <w:r w:rsidRPr="00E12043">
        <w:rPr>
          <w:highlight w:val="yellow"/>
        </w:rPr>
        <w:t>Weissmüller</w:t>
      </w:r>
      <w:proofErr w:type="spellEnd"/>
      <w:r w:rsidRPr="00E12043">
        <w:rPr>
          <w:highlight w:val="yellow"/>
        </w:rPr>
        <w:t xml:space="preserve">, and A. </w:t>
      </w:r>
      <w:proofErr w:type="spellStart"/>
      <w:r w:rsidRPr="00E12043">
        <w:rPr>
          <w:highlight w:val="yellow"/>
        </w:rPr>
        <w:t>Rosenauer</w:t>
      </w:r>
      <w:proofErr w:type="spellEnd"/>
      <w:r w:rsidRPr="00E12043">
        <w:rPr>
          <w:highlight w:val="yellow"/>
        </w:rPr>
        <w:t xml:space="preserve">: Measurement of local crystal </w:t>
      </w:r>
      <w:r w:rsidRPr="00E12043">
        <w:rPr>
          <w:highlight w:val="yellow"/>
        </w:rPr>
        <w:lastRenderedPageBreak/>
        <w:t xml:space="preserve">lattice strain variations in </w:t>
      </w:r>
      <w:proofErr w:type="spellStart"/>
      <w:r w:rsidRPr="00E12043">
        <w:rPr>
          <w:highlight w:val="yellow"/>
        </w:rPr>
        <w:t>dealloyed</w:t>
      </w:r>
      <w:proofErr w:type="spellEnd"/>
      <w:r w:rsidRPr="00E12043">
        <w:rPr>
          <w:highlight w:val="yellow"/>
        </w:rPr>
        <w:t xml:space="preserve"> </w:t>
      </w:r>
      <w:proofErr w:type="spellStart"/>
      <w:r w:rsidRPr="00E12043">
        <w:rPr>
          <w:highlight w:val="yellow"/>
        </w:rPr>
        <w:t>nanoporous</w:t>
      </w:r>
      <w:proofErr w:type="spellEnd"/>
      <w:r w:rsidRPr="00E12043">
        <w:rPr>
          <w:highlight w:val="yellow"/>
        </w:rPr>
        <w:t xml:space="preserve"> gold. </w:t>
      </w:r>
      <w:r w:rsidRPr="00E12043">
        <w:rPr>
          <w:i/>
          <w:highlight w:val="yellow"/>
        </w:rPr>
        <w:t>Mater. Res. Lett.</w:t>
      </w:r>
      <w:r w:rsidRPr="00E12043">
        <w:rPr>
          <w:highlight w:val="yellow"/>
        </w:rPr>
        <w:t xml:space="preserve"> </w:t>
      </w:r>
      <w:r w:rsidRPr="00E12043">
        <w:rPr>
          <w:b/>
          <w:highlight w:val="yellow"/>
        </w:rPr>
        <w:t>6</w:t>
      </w:r>
      <w:r w:rsidRPr="00E12043">
        <w:rPr>
          <w:highlight w:val="yellow"/>
        </w:rPr>
        <w:t>, 84–92 (2018).</w:t>
      </w:r>
    </w:p>
    <w:p w14:paraId="4CEE4279" w14:textId="7143D4C0" w:rsidR="008F2ACE" w:rsidRPr="00E12043" w:rsidRDefault="008F2ACE" w:rsidP="008F2ACE">
      <w:pPr>
        <w:spacing w:after="240"/>
        <w:rPr>
          <w:highlight w:val="yellow"/>
        </w:rPr>
      </w:pPr>
      <w:r w:rsidRPr="00053DC7">
        <w:rPr>
          <w:highlight w:val="yellow"/>
        </w:rPr>
        <w:t>[20]</w:t>
      </w:r>
      <w:r w:rsidRPr="00E12043">
        <w:rPr>
          <w:highlight w:val="yellow"/>
        </w:rPr>
        <w:t xml:space="preserve"> M. Hakamada, F. </w:t>
      </w:r>
      <w:proofErr w:type="spellStart"/>
      <w:r w:rsidRPr="00E12043">
        <w:rPr>
          <w:highlight w:val="yellow"/>
        </w:rPr>
        <w:t>Hirashima</w:t>
      </w:r>
      <w:proofErr w:type="spellEnd"/>
      <w:r w:rsidRPr="00E12043">
        <w:rPr>
          <w:highlight w:val="yellow"/>
        </w:rPr>
        <w:t xml:space="preserve">, and M. Mabuchi: </w:t>
      </w:r>
      <w:r w:rsidRPr="00E12043">
        <w:rPr>
          <w:rFonts w:hint="eastAsia"/>
          <w:highlight w:val="yellow"/>
        </w:rPr>
        <w:t xml:space="preserve">Catalytic </w:t>
      </w:r>
      <w:proofErr w:type="spellStart"/>
      <w:r w:rsidRPr="00E12043">
        <w:rPr>
          <w:rFonts w:hint="eastAsia"/>
          <w:highlight w:val="yellow"/>
        </w:rPr>
        <w:t>decoloration</w:t>
      </w:r>
      <w:proofErr w:type="spellEnd"/>
      <w:r w:rsidRPr="00E12043">
        <w:rPr>
          <w:rFonts w:hint="eastAsia"/>
          <w:highlight w:val="yellow"/>
        </w:rPr>
        <w:t xml:space="preserve"> of methyl orange solution by </w:t>
      </w:r>
      <w:proofErr w:type="spellStart"/>
      <w:r w:rsidRPr="00E12043">
        <w:rPr>
          <w:rFonts w:hint="eastAsia"/>
          <w:highlight w:val="yellow"/>
        </w:rPr>
        <w:t>nanoporous</w:t>
      </w:r>
      <w:proofErr w:type="spellEnd"/>
      <w:r w:rsidRPr="00E12043">
        <w:rPr>
          <w:rFonts w:hint="eastAsia"/>
          <w:highlight w:val="yellow"/>
        </w:rPr>
        <w:t xml:space="preserve"> metals</w:t>
      </w:r>
      <w:r w:rsidRPr="00E12043">
        <w:rPr>
          <w:highlight w:val="yellow"/>
        </w:rPr>
        <w:t xml:space="preserve">. </w:t>
      </w:r>
      <w:proofErr w:type="spellStart"/>
      <w:r w:rsidRPr="00E12043">
        <w:rPr>
          <w:i/>
          <w:highlight w:val="yellow"/>
        </w:rPr>
        <w:t>Catal</w:t>
      </w:r>
      <w:proofErr w:type="spellEnd"/>
      <w:r w:rsidRPr="00E12043">
        <w:rPr>
          <w:i/>
          <w:highlight w:val="yellow"/>
        </w:rPr>
        <w:t>. Sci. Technol.</w:t>
      </w:r>
      <w:r w:rsidRPr="00E12043">
        <w:rPr>
          <w:highlight w:val="yellow"/>
        </w:rPr>
        <w:t xml:space="preserve"> </w:t>
      </w:r>
      <w:r w:rsidRPr="00E12043">
        <w:rPr>
          <w:b/>
          <w:highlight w:val="yellow"/>
        </w:rPr>
        <w:t>2</w:t>
      </w:r>
      <w:r w:rsidRPr="00E12043">
        <w:rPr>
          <w:highlight w:val="yellow"/>
        </w:rPr>
        <w:t>, 1814–1817 (2012).</w:t>
      </w:r>
    </w:p>
    <w:p w14:paraId="6B790C33" w14:textId="541CC3E6" w:rsidR="008F2ACE" w:rsidRDefault="008F2ACE" w:rsidP="008F2ACE">
      <w:pPr>
        <w:spacing w:after="240"/>
      </w:pPr>
      <w:r w:rsidRPr="00053DC7">
        <w:rPr>
          <w:highlight w:val="yellow"/>
        </w:rPr>
        <w:t>[21]</w:t>
      </w:r>
      <w:r w:rsidRPr="00E12043">
        <w:rPr>
          <w:highlight w:val="yellow"/>
        </w:rPr>
        <w:t xml:space="preserve"> M. Miyazawa, M. Hakamada, and M. Mabuchi: Antimicrobial mechanisms due to hyperpolarization induced by </w:t>
      </w:r>
      <w:proofErr w:type="spellStart"/>
      <w:r w:rsidRPr="00E12043">
        <w:rPr>
          <w:highlight w:val="yellow"/>
        </w:rPr>
        <w:t>nanoporous</w:t>
      </w:r>
      <w:proofErr w:type="spellEnd"/>
      <w:r w:rsidRPr="00E12043">
        <w:rPr>
          <w:highlight w:val="yellow"/>
        </w:rPr>
        <w:t xml:space="preserve"> Au. </w:t>
      </w:r>
      <w:r w:rsidRPr="00E12043">
        <w:rPr>
          <w:i/>
          <w:highlight w:val="yellow"/>
        </w:rPr>
        <w:t>Sci. Rep.</w:t>
      </w:r>
      <w:r w:rsidRPr="00E12043">
        <w:rPr>
          <w:highlight w:val="yellow"/>
        </w:rPr>
        <w:t xml:space="preserve"> </w:t>
      </w:r>
      <w:r w:rsidRPr="00E12043">
        <w:rPr>
          <w:b/>
          <w:highlight w:val="yellow"/>
        </w:rPr>
        <w:t>8</w:t>
      </w:r>
      <w:r w:rsidRPr="00E12043">
        <w:rPr>
          <w:highlight w:val="yellow"/>
        </w:rPr>
        <w:t>, 3870 (2018).</w:t>
      </w:r>
    </w:p>
    <w:p w14:paraId="5FC8B379" w14:textId="14F0AA34" w:rsidR="008F2ACE" w:rsidRPr="00042CE0" w:rsidRDefault="008F2ACE" w:rsidP="008F2ACE">
      <w:pPr>
        <w:spacing w:after="240"/>
      </w:pPr>
      <w:r w:rsidRPr="00053DC7">
        <w:rPr>
          <w:highlight w:val="yellow"/>
        </w:rPr>
        <w:t>[22]</w:t>
      </w:r>
      <w:r w:rsidRPr="00042CE0">
        <w:t xml:space="preserve"> T. Fujita, P. Guan, K. </w:t>
      </w:r>
      <w:proofErr w:type="spellStart"/>
      <w:r w:rsidRPr="00042CE0">
        <w:t>McKeena</w:t>
      </w:r>
      <w:proofErr w:type="spellEnd"/>
      <w:r w:rsidRPr="00042CE0">
        <w:t xml:space="preserve">, X. Y. Lang, A. Hirata, L. Zhang, T. Tokunaga, S. Arai, Y. Yamamoto, N. Tanaka, Y. Ishikawa, N. Asao, Y. Yamamoto, J. </w:t>
      </w:r>
      <w:proofErr w:type="spellStart"/>
      <w:r w:rsidRPr="00042CE0">
        <w:t>Erlebacher</w:t>
      </w:r>
      <w:proofErr w:type="spellEnd"/>
      <w:r w:rsidRPr="00042CE0">
        <w:t xml:space="preserve">, and M. W. Chen: Atomic origins of the high catalytic activity of </w:t>
      </w:r>
      <w:proofErr w:type="spellStart"/>
      <w:r w:rsidRPr="00042CE0">
        <w:t>nanoporous</w:t>
      </w:r>
      <w:proofErr w:type="spellEnd"/>
      <w:r w:rsidRPr="00042CE0">
        <w:t xml:space="preserve"> gold. </w:t>
      </w:r>
      <w:r w:rsidRPr="00042CE0">
        <w:rPr>
          <w:i/>
        </w:rPr>
        <w:t>Nat. Mater.</w:t>
      </w:r>
      <w:r w:rsidRPr="00042CE0">
        <w:t xml:space="preserve"> </w:t>
      </w:r>
      <w:r w:rsidRPr="00042CE0">
        <w:rPr>
          <w:b/>
        </w:rPr>
        <w:t>11</w:t>
      </w:r>
      <w:r w:rsidRPr="00042CE0">
        <w:t>, 775–780 (2012).</w:t>
      </w:r>
    </w:p>
    <w:p w14:paraId="4A9CFB26" w14:textId="28F096F8" w:rsidR="008F2ACE" w:rsidRPr="00042CE0" w:rsidRDefault="008F2ACE" w:rsidP="008F2ACE">
      <w:pPr>
        <w:spacing w:after="240"/>
      </w:pPr>
      <w:r w:rsidRPr="00053DC7">
        <w:rPr>
          <w:highlight w:val="yellow"/>
        </w:rPr>
        <w:t>[23]</w:t>
      </w:r>
      <w:r w:rsidRPr="00042CE0">
        <w:t xml:space="preserve"> M. Hakamada, Y. Sato, and M. Mabuchi: Bimodal </w:t>
      </w:r>
      <w:proofErr w:type="spellStart"/>
      <w:r w:rsidRPr="00042CE0">
        <w:t>nanoporous</w:t>
      </w:r>
      <w:proofErr w:type="spellEnd"/>
      <w:r w:rsidRPr="00042CE0">
        <w:t xml:space="preserve"> platinum on sacrificial </w:t>
      </w:r>
      <w:proofErr w:type="spellStart"/>
      <w:r w:rsidRPr="00042CE0">
        <w:t>nanoporous</w:t>
      </w:r>
      <w:proofErr w:type="spellEnd"/>
      <w:r w:rsidRPr="00042CE0">
        <w:t xml:space="preserve"> copper for catalysis of the oxygen-reduction reaction. </w:t>
      </w:r>
      <w:r w:rsidRPr="00042CE0">
        <w:rPr>
          <w:i/>
        </w:rPr>
        <w:t xml:space="preserve">MRS </w:t>
      </w:r>
      <w:proofErr w:type="spellStart"/>
      <w:r w:rsidRPr="00042CE0">
        <w:rPr>
          <w:i/>
        </w:rPr>
        <w:t>Commun</w:t>
      </w:r>
      <w:proofErr w:type="spellEnd"/>
      <w:r w:rsidRPr="00042CE0">
        <w:rPr>
          <w:i/>
        </w:rPr>
        <w:t>.</w:t>
      </w:r>
      <w:r w:rsidRPr="00293F4D">
        <w:t xml:space="preserve"> </w:t>
      </w:r>
      <w:r w:rsidRPr="009B50CE">
        <w:rPr>
          <w:b/>
          <w:highlight w:val="yellow"/>
        </w:rPr>
        <w:t>9</w:t>
      </w:r>
      <w:r w:rsidRPr="009B50CE">
        <w:rPr>
          <w:highlight w:val="yellow"/>
        </w:rPr>
        <w:t>, 292–297 (2019)</w:t>
      </w:r>
      <w:r w:rsidRPr="00042CE0">
        <w:t>.</w:t>
      </w:r>
    </w:p>
    <w:p w14:paraId="337C9A50" w14:textId="791D9A7F" w:rsidR="008F2ACE" w:rsidRPr="00042CE0" w:rsidRDefault="008F2ACE" w:rsidP="008F2ACE">
      <w:pPr>
        <w:spacing w:after="240"/>
      </w:pPr>
      <w:r w:rsidRPr="00053DC7">
        <w:rPr>
          <w:szCs w:val="24"/>
          <w:highlight w:val="yellow"/>
        </w:rPr>
        <w:t>[24]</w:t>
      </w:r>
      <w:r w:rsidRPr="00042CE0">
        <w:rPr>
          <w:rFonts w:hint="eastAsia"/>
          <w:szCs w:val="24"/>
        </w:rPr>
        <w:t xml:space="preserve"> </w:t>
      </w:r>
      <w:r w:rsidRPr="00042CE0">
        <w:t xml:space="preserve">W. Xiao, M. A. L. </w:t>
      </w:r>
      <w:proofErr w:type="spellStart"/>
      <w:r w:rsidRPr="00042CE0">
        <w:t>Cordeiro</w:t>
      </w:r>
      <w:proofErr w:type="spellEnd"/>
      <w:r w:rsidRPr="00042CE0">
        <w:t xml:space="preserve">, M. Gong, L. Han, J. Wang, C. </w:t>
      </w:r>
      <w:proofErr w:type="spellStart"/>
      <w:r w:rsidRPr="00042CE0">
        <w:t>Bian</w:t>
      </w:r>
      <w:proofErr w:type="spellEnd"/>
      <w:r w:rsidRPr="00042CE0">
        <w:t xml:space="preserve">, J. Zhu, H. L. Xin, and D. Wang: Optimizing the ORR activity of </w:t>
      </w:r>
      <w:proofErr w:type="spellStart"/>
      <w:r w:rsidRPr="00042CE0">
        <w:t>Pd</w:t>
      </w:r>
      <w:proofErr w:type="spellEnd"/>
      <w:r w:rsidRPr="00042CE0">
        <w:t xml:space="preserve"> based </w:t>
      </w:r>
      <w:proofErr w:type="spellStart"/>
      <w:r w:rsidRPr="00042CE0">
        <w:t>nanocatalysts</w:t>
      </w:r>
      <w:proofErr w:type="spellEnd"/>
      <w:r w:rsidRPr="00042CE0">
        <w:t xml:space="preserve"> by tuning their strain and particle size. </w:t>
      </w:r>
      <w:r w:rsidRPr="00042CE0">
        <w:rPr>
          <w:i/>
        </w:rPr>
        <w:t>J. Mater. Chem. A</w:t>
      </w:r>
      <w:r w:rsidRPr="00042CE0">
        <w:t xml:space="preserve"> </w:t>
      </w:r>
      <w:r w:rsidRPr="00042CE0">
        <w:rPr>
          <w:b/>
        </w:rPr>
        <w:t>5</w:t>
      </w:r>
      <w:r w:rsidRPr="00042CE0">
        <w:t>, 9867–9872 (2017).</w:t>
      </w:r>
    </w:p>
    <w:p w14:paraId="4E38CB99" w14:textId="23936B13" w:rsidR="008F2ACE" w:rsidRPr="00042CE0" w:rsidRDefault="008F2ACE" w:rsidP="008F2ACE">
      <w:pPr>
        <w:spacing w:after="240"/>
      </w:pPr>
      <w:r w:rsidRPr="00053DC7">
        <w:rPr>
          <w:highlight w:val="yellow"/>
        </w:rPr>
        <w:t>[25]</w:t>
      </w:r>
      <w:r w:rsidRPr="00042CE0">
        <w:t xml:space="preserve"> R. Rahul, R. K. Singh, B. </w:t>
      </w:r>
      <w:proofErr w:type="spellStart"/>
      <w:r w:rsidRPr="00042CE0">
        <w:t>Bera</w:t>
      </w:r>
      <w:proofErr w:type="spellEnd"/>
      <w:r w:rsidRPr="00042CE0">
        <w:t xml:space="preserve">, R. </w:t>
      </w:r>
      <w:proofErr w:type="spellStart"/>
      <w:r w:rsidRPr="00042CE0">
        <w:t>Devivaraprasad</w:t>
      </w:r>
      <w:proofErr w:type="spellEnd"/>
      <w:r w:rsidRPr="00042CE0">
        <w:t xml:space="preserve">, and M. </w:t>
      </w:r>
      <w:proofErr w:type="spellStart"/>
      <w:r w:rsidRPr="00042CE0">
        <w:t>Neergat</w:t>
      </w:r>
      <w:proofErr w:type="spellEnd"/>
      <w:r w:rsidRPr="00042CE0">
        <w:t xml:space="preserve">: The role of surface oxygenated-species and adsorbed hydrogen in the oxygen reduction reaction (ORR) mechanism and product selectivity on </w:t>
      </w:r>
      <w:proofErr w:type="spellStart"/>
      <w:r w:rsidRPr="00042CE0">
        <w:t>Pd</w:t>
      </w:r>
      <w:proofErr w:type="spellEnd"/>
      <w:r w:rsidRPr="00042CE0">
        <w:t xml:space="preserve">-based catalysts in acid media. </w:t>
      </w:r>
      <w:r w:rsidRPr="00042CE0">
        <w:rPr>
          <w:i/>
        </w:rPr>
        <w:t>Phys. Chem. Chem. Phys.</w:t>
      </w:r>
      <w:r w:rsidRPr="00042CE0">
        <w:t xml:space="preserve"> </w:t>
      </w:r>
      <w:r w:rsidRPr="00042CE0">
        <w:rPr>
          <w:b/>
        </w:rPr>
        <w:t>17</w:t>
      </w:r>
      <w:r w:rsidRPr="00042CE0">
        <w:t>, 15146–15155 (2015).</w:t>
      </w:r>
    </w:p>
    <w:p w14:paraId="73E792EE" w14:textId="4C1C4AE0" w:rsidR="008F2ACE" w:rsidRPr="00042CE0" w:rsidRDefault="008F2ACE" w:rsidP="008F2ACE">
      <w:pPr>
        <w:spacing w:after="240"/>
      </w:pPr>
      <w:r w:rsidRPr="00053DC7">
        <w:rPr>
          <w:highlight w:val="yellow"/>
        </w:rPr>
        <w:t>[26]</w:t>
      </w:r>
      <w:r w:rsidRPr="00042CE0">
        <w:t xml:space="preserve"> Y. H. </w:t>
      </w:r>
      <w:proofErr w:type="spellStart"/>
      <w:r w:rsidRPr="00042CE0">
        <w:t>Xue</w:t>
      </w:r>
      <w:proofErr w:type="spellEnd"/>
      <w:r w:rsidRPr="00042CE0">
        <w:t xml:space="preserve">, L. Zhang, W. J. Zhou and S. H. Chan. </w:t>
      </w:r>
      <w:r w:rsidRPr="00042CE0">
        <w:rPr>
          <w:i/>
        </w:rPr>
        <w:t>Int. J. Hydrogen Energy</w:t>
      </w:r>
      <w:r w:rsidRPr="00042CE0">
        <w:t xml:space="preserve"> </w:t>
      </w:r>
      <w:r w:rsidRPr="00042CE0">
        <w:rPr>
          <w:b/>
        </w:rPr>
        <w:t>39</w:t>
      </w:r>
      <w:r w:rsidRPr="00042CE0">
        <w:t>, 8449–8456 (2014).</w:t>
      </w:r>
    </w:p>
    <w:p w14:paraId="7FD347C5" w14:textId="17D690B3" w:rsidR="008F2ACE" w:rsidRPr="00042CE0" w:rsidRDefault="008F2ACE" w:rsidP="008F2ACE">
      <w:pPr>
        <w:spacing w:after="240"/>
      </w:pPr>
      <w:r w:rsidRPr="00053DC7">
        <w:rPr>
          <w:highlight w:val="yellow"/>
        </w:rPr>
        <w:lastRenderedPageBreak/>
        <w:t>[27]</w:t>
      </w:r>
      <w:r w:rsidRPr="00042CE0">
        <w:t xml:space="preserve"> M. Wang, X. Qin, K. Jiang, Y. Dong, M. Shao, and W.-B. </w:t>
      </w:r>
      <w:proofErr w:type="spellStart"/>
      <w:r w:rsidRPr="00042CE0">
        <w:t>Cai</w:t>
      </w:r>
      <w:proofErr w:type="spellEnd"/>
      <w:r w:rsidRPr="00042CE0">
        <w:t xml:space="preserve">: </w:t>
      </w:r>
      <w:proofErr w:type="spellStart"/>
      <w:r w:rsidRPr="00042CE0">
        <w:t>Electrocatalytic</w:t>
      </w:r>
      <w:proofErr w:type="spellEnd"/>
      <w:r w:rsidRPr="00042CE0">
        <w:t xml:space="preserve"> activities of oxygen reduction reaction on </w:t>
      </w:r>
      <w:proofErr w:type="spellStart"/>
      <w:r w:rsidRPr="00042CE0">
        <w:t>Pd</w:t>
      </w:r>
      <w:proofErr w:type="spellEnd"/>
      <w:r w:rsidRPr="00042CE0">
        <w:t xml:space="preserve">/C and </w:t>
      </w:r>
      <w:proofErr w:type="spellStart"/>
      <w:r w:rsidRPr="00042CE0">
        <w:t>Pd</w:t>
      </w:r>
      <w:proofErr w:type="spellEnd"/>
      <w:r w:rsidRPr="00042CE0">
        <w:t>–B/C catalysts</w:t>
      </w:r>
      <w:r w:rsidRPr="00042CE0">
        <w:rPr>
          <w:i/>
        </w:rPr>
        <w:t>. J. Phys. Chem. C</w:t>
      </w:r>
      <w:r w:rsidRPr="00042CE0">
        <w:t xml:space="preserve"> </w:t>
      </w:r>
      <w:r w:rsidRPr="00042CE0">
        <w:rPr>
          <w:b/>
        </w:rPr>
        <w:t>121</w:t>
      </w:r>
      <w:r w:rsidRPr="00042CE0">
        <w:t>, 3416–3423 (2017).</w:t>
      </w:r>
    </w:p>
    <w:p w14:paraId="67754514" w14:textId="5F5CF9DD" w:rsidR="008F2ACE" w:rsidRPr="00042CE0" w:rsidRDefault="008F2ACE" w:rsidP="008F2ACE">
      <w:pPr>
        <w:spacing w:after="240"/>
      </w:pPr>
      <w:r w:rsidRPr="00053DC7">
        <w:rPr>
          <w:highlight w:val="yellow"/>
        </w:rPr>
        <w:t>[28]</w:t>
      </w:r>
      <w:r w:rsidRPr="00042CE0">
        <w:t xml:space="preserve"> D. Park, M. S. Ahmed, and S. Jeon: Covalent functionalization of graphene with 1,5-diaminonaphthalene and </w:t>
      </w:r>
      <w:proofErr w:type="spellStart"/>
      <w:r w:rsidRPr="00042CE0">
        <w:t>ultrasmall</w:t>
      </w:r>
      <w:proofErr w:type="spellEnd"/>
      <w:r w:rsidRPr="00042CE0">
        <w:t xml:space="preserve"> palladium nanoparticles for </w:t>
      </w:r>
      <w:proofErr w:type="spellStart"/>
      <w:r w:rsidRPr="00042CE0">
        <w:t>electrocatalytic</w:t>
      </w:r>
      <w:proofErr w:type="spellEnd"/>
      <w:r w:rsidRPr="00042CE0">
        <w:t xml:space="preserve"> oxygen reduction. </w:t>
      </w:r>
      <w:r w:rsidRPr="00042CE0">
        <w:rPr>
          <w:i/>
        </w:rPr>
        <w:t>Int. J. Hydrogen Energy</w:t>
      </w:r>
      <w:r w:rsidRPr="00042CE0">
        <w:t xml:space="preserve"> </w:t>
      </w:r>
      <w:r w:rsidRPr="00042CE0">
        <w:rPr>
          <w:b/>
        </w:rPr>
        <w:t>42</w:t>
      </w:r>
      <w:r w:rsidRPr="00042CE0">
        <w:t>, 2061–2070 (2017).</w:t>
      </w:r>
    </w:p>
    <w:p w14:paraId="18E7FB7E" w14:textId="3E113335" w:rsidR="008F2ACE" w:rsidRPr="00042CE0" w:rsidRDefault="008F2ACE" w:rsidP="008F2ACE">
      <w:pPr>
        <w:spacing w:after="240"/>
      </w:pPr>
      <w:r w:rsidRPr="00053DC7">
        <w:rPr>
          <w:highlight w:val="yellow"/>
        </w:rPr>
        <w:t>[29]</w:t>
      </w:r>
      <w:r w:rsidRPr="00042CE0">
        <w:t xml:space="preserve"> S. Salomé, A. M. </w:t>
      </w:r>
      <w:proofErr w:type="spellStart"/>
      <w:r w:rsidRPr="00042CE0">
        <w:t>Ferraria</w:t>
      </w:r>
      <w:proofErr w:type="spellEnd"/>
      <w:r w:rsidRPr="00042CE0">
        <w:t xml:space="preserve">, A. M. </w:t>
      </w:r>
      <w:proofErr w:type="spellStart"/>
      <w:r w:rsidRPr="00042CE0">
        <w:t>Botelho</w:t>
      </w:r>
      <w:proofErr w:type="spellEnd"/>
      <w:r w:rsidRPr="00042CE0">
        <w:t xml:space="preserve"> do </w:t>
      </w:r>
      <w:proofErr w:type="spellStart"/>
      <w:r w:rsidRPr="00042CE0">
        <w:t>Rego</w:t>
      </w:r>
      <w:proofErr w:type="spellEnd"/>
      <w:r w:rsidRPr="00042CE0">
        <w:t xml:space="preserve">, F. </w:t>
      </w:r>
      <w:proofErr w:type="spellStart"/>
      <w:r w:rsidRPr="00042CE0">
        <w:t>Alcaide</w:t>
      </w:r>
      <w:proofErr w:type="spellEnd"/>
      <w:r w:rsidRPr="00042CE0">
        <w:t xml:space="preserve">, O. </w:t>
      </w:r>
      <w:proofErr w:type="spellStart"/>
      <w:r w:rsidRPr="00042CE0">
        <w:t>Savadogo</w:t>
      </w:r>
      <w:proofErr w:type="spellEnd"/>
      <w:r w:rsidRPr="00042CE0">
        <w:t xml:space="preserve">, and R. </w:t>
      </w:r>
      <w:proofErr w:type="spellStart"/>
      <w:r w:rsidRPr="00042CE0">
        <w:t>Rego</w:t>
      </w:r>
      <w:proofErr w:type="spellEnd"/>
      <w:r w:rsidRPr="00042CE0">
        <w:t xml:space="preserve">: Enhanced activity and durability of novel activated carbon-supported </w:t>
      </w:r>
      <w:proofErr w:type="spellStart"/>
      <w:r w:rsidRPr="00042CE0">
        <w:t>PdSn</w:t>
      </w:r>
      <w:proofErr w:type="spellEnd"/>
      <w:r w:rsidRPr="00042CE0">
        <w:t xml:space="preserve"> heat-treated cathode catalyst for polymer electrolyte fuel cells. </w:t>
      </w:r>
      <w:proofErr w:type="spellStart"/>
      <w:r w:rsidRPr="00042CE0">
        <w:rPr>
          <w:i/>
        </w:rPr>
        <w:t>Electroch</w:t>
      </w:r>
      <w:r>
        <w:rPr>
          <w:i/>
        </w:rPr>
        <w:t>e</w:t>
      </w:r>
      <w:r w:rsidRPr="00042CE0">
        <w:rPr>
          <w:i/>
        </w:rPr>
        <w:t>m</w:t>
      </w:r>
      <w:proofErr w:type="spellEnd"/>
      <w:r w:rsidRPr="00042CE0">
        <w:rPr>
          <w:i/>
        </w:rPr>
        <w:t xml:space="preserve">. </w:t>
      </w:r>
      <w:proofErr w:type="spellStart"/>
      <w:r w:rsidRPr="00042CE0">
        <w:rPr>
          <w:i/>
        </w:rPr>
        <w:t>Acta</w:t>
      </w:r>
      <w:proofErr w:type="spellEnd"/>
      <w:r w:rsidRPr="00042CE0">
        <w:t xml:space="preserve"> </w:t>
      </w:r>
      <w:r w:rsidRPr="00042CE0">
        <w:rPr>
          <w:b/>
        </w:rPr>
        <w:t>192</w:t>
      </w:r>
      <w:r w:rsidRPr="00042CE0">
        <w:t>, 268–282 (2016)</w:t>
      </w:r>
    </w:p>
    <w:p w14:paraId="16A7C17B" w14:textId="132CCE8B" w:rsidR="008F2ACE" w:rsidRPr="00042CE0" w:rsidRDefault="008F2ACE" w:rsidP="008F2ACE">
      <w:pPr>
        <w:spacing w:after="240"/>
      </w:pPr>
      <w:r w:rsidRPr="00053DC7">
        <w:rPr>
          <w:highlight w:val="yellow"/>
        </w:rPr>
        <w:t>[30]</w:t>
      </w:r>
      <w:r w:rsidRPr="00042CE0">
        <w:t xml:space="preserve"> Y. </w:t>
      </w:r>
      <w:proofErr w:type="spellStart"/>
      <w:r w:rsidRPr="00042CE0">
        <w:t>Holade</w:t>
      </w:r>
      <w:proofErr w:type="spellEnd"/>
      <w:r w:rsidRPr="00042CE0">
        <w:t xml:space="preserve">, C. </w:t>
      </w:r>
      <w:proofErr w:type="spellStart"/>
      <w:r w:rsidRPr="00042CE0">
        <w:t>Canaff</w:t>
      </w:r>
      <w:proofErr w:type="spellEnd"/>
      <w:r w:rsidRPr="00042CE0">
        <w:t xml:space="preserve">, S. </w:t>
      </w:r>
      <w:proofErr w:type="spellStart"/>
      <w:r w:rsidRPr="00042CE0">
        <w:t>Poulin</w:t>
      </w:r>
      <w:proofErr w:type="spellEnd"/>
      <w:r w:rsidRPr="00042CE0">
        <w:t xml:space="preserve">, T. W. </w:t>
      </w:r>
      <w:proofErr w:type="spellStart"/>
      <w:r w:rsidRPr="00042CE0">
        <w:t>Napporn</w:t>
      </w:r>
      <w:proofErr w:type="spellEnd"/>
      <w:r w:rsidRPr="00042CE0">
        <w:t xml:space="preserve">, K. </w:t>
      </w:r>
      <w:proofErr w:type="spellStart"/>
      <w:r w:rsidRPr="00042CE0">
        <w:t>Servat</w:t>
      </w:r>
      <w:proofErr w:type="spellEnd"/>
      <w:r w:rsidRPr="00042CE0">
        <w:t xml:space="preserve">, and K. B. </w:t>
      </w:r>
      <w:proofErr w:type="spellStart"/>
      <w:r w:rsidRPr="00042CE0">
        <w:t>Kokoh</w:t>
      </w:r>
      <w:proofErr w:type="spellEnd"/>
      <w:r w:rsidRPr="00042CE0">
        <w:t xml:space="preserve">: High impact of the reducing agent on palladium nanomaterials: new insights from X-ray photoelectron spectroscopy and oxygen reduction reaction. </w:t>
      </w:r>
      <w:r w:rsidRPr="00042CE0">
        <w:rPr>
          <w:i/>
        </w:rPr>
        <w:t>RSC Adv.</w:t>
      </w:r>
      <w:r w:rsidRPr="00042CE0">
        <w:t xml:space="preserve"> </w:t>
      </w:r>
      <w:r w:rsidRPr="00042CE0">
        <w:rPr>
          <w:b/>
        </w:rPr>
        <w:t>6</w:t>
      </w:r>
      <w:r w:rsidRPr="00042CE0">
        <w:t>, 12627–12637 (2016).</w:t>
      </w:r>
    </w:p>
    <w:p w14:paraId="3CB641B5" w14:textId="32E081F1" w:rsidR="008F2ACE" w:rsidRPr="00042CE0" w:rsidRDefault="008F2ACE" w:rsidP="008F2ACE">
      <w:pPr>
        <w:spacing w:after="240"/>
      </w:pPr>
      <w:r w:rsidRPr="00053DC7">
        <w:rPr>
          <w:highlight w:val="yellow"/>
        </w:rPr>
        <w:t>[31]</w:t>
      </w:r>
      <w:r w:rsidRPr="00042CE0">
        <w:t xml:space="preserve"> J. Begum, M. S. Ahmed, S. Cho, and S. Jeon: Freestanding palladium </w:t>
      </w:r>
      <w:proofErr w:type="spellStart"/>
      <w:r w:rsidRPr="00042CE0">
        <w:t>nanonetworks</w:t>
      </w:r>
      <w:proofErr w:type="spellEnd"/>
      <w:r w:rsidRPr="00042CE0">
        <w:t xml:space="preserve"> </w:t>
      </w:r>
      <w:proofErr w:type="spellStart"/>
      <w:r w:rsidRPr="00042CE0">
        <w:t>electrocatalyst</w:t>
      </w:r>
      <w:proofErr w:type="spellEnd"/>
      <w:r w:rsidRPr="00042CE0">
        <w:t xml:space="preserve"> for oxygen reduction reaction in fuel cells. </w:t>
      </w:r>
      <w:r w:rsidRPr="00042CE0">
        <w:rPr>
          <w:i/>
        </w:rPr>
        <w:t>Int. J. Hydrogen Energy</w:t>
      </w:r>
      <w:r w:rsidRPr="00042CE0">
        <w:t xml:space="preserve"> </w:t>
      </w:r>
      <w:r w:rsidRPr="00042CE0">
        <w:rPr>
          <w:b/>
        </w:rPr>
        <w:t>43</w:t>
      </w:r>
      <w:r w:rsidRPr="00042CE0">
        <w:t>, 229–238 (2018).</w:t>
      </w:r>
    </w:p>
    <w:p w14:paraId="15E6326D" w14:textId="6E4D6902" w:rsidR="008F2ACE" w:rsidRPr="00042CE0" w:rsidRDefault="008F2ACE" w:rsidP="008F2ACE">
      <w:pPr>
        <w:spacing w:after="240"/>
      </w:pPr>
      <w:r w:rsidRPr="00053DC7">
        <w:rPr>
          <w:highlight w:val="yellow"/>
        </w:rPr>
        <w:t>[32]</w:t>
      </w:r>
      <w:r w:rsidRPr="00042CE0">
        <w:t xml:space="preserve"> P. </w:t>
      </w:r>
      <w:proofErr w:type="spellStart"/>
      <w:r w:rsidRPr="00042CE0">
        <w:t>Strasser</w:t>
      </w:r>
      <w:proofErr w:type="spellEnd"/>
      <w:r w:rsidRPr="00042CE0">
        <w:t xml:space="preserve">, S. </w:t>
      </w:r>
      <w:proofErr w:type="spellStart"/>
      <w:r w:rsidRPr="00042CE0">
        <w:t>Koh</w:t>
      </w:r>
      <w:proofErr w:type="spellEnd"/>
      <w:r w:rsidRPr="00042CE0">
        <w:t xml:space="preserve">, T. </w:t>
      </w:r>
      <w:proofErr w:type="spellStart"/>
      <w:r w:rsidRPr="00042CE0">
        <w:t>Anniyev</w:t>
      </w:r>
      <w:proofErr w:type="spellEnd"/>
      <w:r w:rsidRPr="00042CE0">
        <w:t xml:space="preserve">, J. Greeley, K. More, G. Yu, Z. Liu, S. Kaya, D. </w:t>
      </w:r>
      <w:proofErr w:type="spellStart"/>
      <w:r w:rsidRPr="00042CE0">
        <w:t>Nordlund</w:t>
      </w:r>
      <w:proofErr w:type="spellEnd"/>
      <w:r w:rsidRPr="00042CE0">
        <w:t xml:space="preserve">, H. Ogasawara, M. F. Toney, and A. Nilsson: Lattice-strain control of the activity in </w:t>
      </w:r>
      <w:proofErr w:type="spellStart"/>
      <w:r w:rsidRPr="00042CE0">
        <w:t>dealloyed</w:t>
      </w:r>
      <w:proofErr w:type="spellEnd"/>
      <w:r w:rsidRPr="00042CE0">
        <w:t xml:space="preserve"> core-shell fuel cell catalysts. </w:t>
      </w:r>
      <w:r w:rsidRPr="00042CE0">
        <w:rPr>
          <w:i/>
        </w:rPr>
        <w:t>Nat. Chem.</w:t>
      </w:r>
      <w:r w:rsidRPr="00042CE0">
        <w:t xml:space="preserve"> </w:t>
      </w:r>
      <w:r w:rsidRPr="00042CE0">
        <w:rPr>
          <w:b/>
        </w:rPr>
        <w:t>2</w:t>
      </w:r>
      <w:r w:rsidRPr="00042CE0">
        <w:t>, 454–460 (2010).</w:t>
      </w:r>
    </w:p>
    <w:p w14:paraId="3B293360" w14:textId="317B71C1" w:rsidR="008F2ACE" w:rsidRPr="00042CE0" w:rsidRDefault="008F2ACE" w:rsidP="008F2ACE">
      <w:pPr>
        <w:spacing w:after="240"/>
      </w:pPr>
      <w:r w:rsidRPr="00053DC7">
        <w:rPr>
          <w:highlight w:val="yellow"/>
        </w:rPr>
        <w:t>[33]</w:t>
      </w:r>
      <w:r w:rsidRPr="00042CE0">
        <w:t xml:space="preserve"> F. M. F. </w:t>
      </w:r>
      <w:proofErr w:type="spellStart"/>
      <w:r w:rsidRPr="00042CE0">
        <w:t>Rhen</w:t>
      </w:r>
      <w:proofErr w:type="spellEnd"/>
      <w:r w:rsidRPr="00042CE0">
        <w:t xml:space="preserve"> and C. </w:t>
      </w:r>
      <w:proofErr w:type="spellStart"/>
      <w:r w:rsidRPr="00042CE0">
        <w:t>McKeown</w:t>
      </w:r>
      <w:proofErr w:type="spellEnd"/>
      <w:r w:rsidRPr="00042CE0">
        <w:t xml:space="preserve">: Enhanced methanol oxidation on strained Pt films. </w:t>
      </w:r>
      <w:r w:rsidRPr="00042CE0">
        <w:rPr>
          <w:i/>
        </w:rPr>
        <w:t>J. Phys. Chem. C</w:t>
      </w:r>
      <w:r w:rsidRPr="00042CE0">
        <w:t xml:space="preserve"> </w:t>
      </w:r>
      <w:r w:rsidRPr="00042CE0">
        <w:rPr>
          <w:b/>
        </w:rPr>
        <w:t>121</w:t>
      </w:r>
      <w:r w:rsidRPr="00042CE0">
        <w:t>, 2556–2562 (2017).</w:t>
      </w:r>
    </w:p>
    <w:p w14:paraId="36A4B10F" w14:textId="46F34E4B" w:rsidR="008F2ACE" w:rsidRPr="00042CE0" w:rsidRDefault="008F2ACE" w:rsidP="008F2ACE">
      <w:pPr>
        <w:spacing w:after="240"/>
      </w:pPr>
      <w:r w:rsidRPr="00053DC7">
        <w:rPr>
          <w:highlight w:val="yellow"/>
        </w:rPr>
        <w:t>[34]</w:t>
      </w:r>
      <w:r w:rsidR="00053DC7">
        <w:t xml:space="preserve"> </w:t>
      </w:r>
      <w:r w:rsidRPr="00042CE0">
        <w:t xml:space="preserve">H. A. </w:t>
      </w:r>
      <w:proofErr w:type="spellStart"/>
      <w:r w:rsidRPr="00042CE0">
        <w:t>Gasteiger</w:t>
      </w:r>
      <w:proofErr w:type="spellEnd"/>
      <w:r w:rsidRPr="00042CE0">
        <w:t xml:space="preserve">, S. S. </w:t>
      </w:r>
      <w:proofErr w:type="spellStart"/>
      <w:r w:rsidRPr="00042CE0">
        <w:t>Kocha</w:t>
      </w:r>
      <w:proofErr w:type="spellEnd"/>
      <w:r w:rsidRPr="00042CE0">
        <w:t xml:space="preserve">, B. </w:t>
      </w:r>
      <w:proofErr w:type="spellStart"/>
      <w:r w:rsidRPr="00042CE0">
        <w:t>Sompalli</w:t>
      </w:r>
      <w:proofErr w:type="spellEnd"/>
      <w:r w:rsidRPr="00042CE0">
        <w:t xml:space="preserve">, and F. T. Wagner: Activity benchmarks and </w:t>
      </w:r>
      <w:r w:rsidRPr="00042CE0">
        <w:lastRenderedPageBreak/>
        <w:t xml:space="preserve">requirements for Pt, Pt-alloy, and non-Pt oxygen reduction catalysts for PEMFCs. </w:t>
      </w:r>
      <w:r w:rsidRPr="00042CE0">
        <w:rPr>
          <w:i/>
        </w:rPr>
        <w:t xml:space="preserve">Appl. </w:t>
      </w:r>
      <w:proofErr w:type="spellStart"/>
      <w:r w:rsidRPr="00042CE0">
        <w:rPr>
          <w:i/>
        </w:rPr>
        <w:t>Catal</w:t>
      </w:r>
      <w:proofErr w:type="spellEnd"/>
      <w:r w:rsidRPr="00042CE0">
        <w:rPr>
          <w:i/>
        </w:rPr>
        <w:t>. B-Environ.</w:t>
      </w:r>
      <w:r w:rsidRPr="00042CE0">
        <w:t xml:space="preserve"> </w:t>
      </w:r>
      <w:r w:rsidRPr="00042CE0">
        <w:rPr>
          <w:b/>
        </w:rPr>
        <w:t>56</w:t>
      </w:r>
      <w:r w:rsidRPr="00042CE0">
        <w:t>, 9–35 (2005).</w:t>
      </w:r>
    </w:p>
    <w:p w14:paraId="6FC962C0" w14:textId="2F5B71F7" w:rsidR="008F2ACE" w:rsidRPr="00042CE0" w:rsidRDefault="008F2ACE" w:rsidP="008F2ACE">
      <w:pPr>
        <w:spacing w:after="240"/>
        <w:rPr>
          <w:szCs w:val="24"/>
        </w:rPr>
      </w:pPr>
      <w:r w:rsidRPr="00053DC7">
        <w:rPr>
          <w:szCs w:val="24"/>
          <w:highlight w:val="yellow"/>
        </w:rPr>
        <w:t>[35]</w:t>
      </w:r>
      <w:r w:rsidRPr="00042CE0">
        <w:rPr>
          <w:szCs w:val="24"/>
        </w:rPr>
        <w:t xml:space="preserve"> G. Jiang, H. Zhu, X. Zhang, B. Shen, L. Wu, S. Zhang, G. Lu, Z. Wu, and S. Sun: Core/shell face-centered tetragonal </w:t>
      </w:r>
      <w:proofErr w:type="spellStart"/>
      <w:r w:rsidRPr="00042CE0">
        <w:rPr>
          <w:szCs w:val="24"/>
        </w:rPr>
        <w:t>FePd</w:t>
      </w:r>
      <w:proofErr w:type="spellEnd"/>
      <w:r w:rsidRPr="00042CE0">
        <w:rPr>
          <w:szCs w:val="24"/>
        </w:rPr>
        <w:t>/</w:t>
      </w:r>
      <w:proofErr w:type="spellStart"/>
      <w:r w:rsidRPr="00042CE0">
        <w:rPr>
          <w:szCs w:val="24"/>
        </w:rPr>
        <w:t>Pd</w:t>
      </w:r>
      <w:proofErr w:type="spellEnd"/>
      <w:r w:rsidRPr="00042CE0">
        <w:rPr>
          <w:szCs w:val="24"/>
        </w:rPr>
        <w:t xml:space="preserve"> nanoparticles as an efficient non-Pt catalyst for the oxygen reduction reaction. </w:t>
      </w:r>
      <w:r w:rsidRPr="00042CE0">
        <w:rPr>
          <w:i/>
          <w:szCs w:val="24"/>
        </w:rPr>
        <w:t>ACS Nano</w:t>
      </w:r>
      <w:r w:rsidRPr="00042CE0">
        <w:rPr>
          <w:szCs w:val="24"/>
        </w:rPr>
        <w:t xml:space="preserve"> </w:t>
      </w:r>
      <w:r w:rsidRPr="00042CE0">
        <w:rPr>
          <w:b/>
          <w:szCs w:val="24"/>
        </w:rPr>
        <w:t>9</w:t>
      </w:r>
      <w:r w:rsidRPr="00042CE0">
        <w:rPr>
          <w:szCs w:val="24"/>
        </w:rPr>
        <w:t>, 11014–11022 (2015).</w:t>
      </w:r>
    </w:p>
    <w:p w14:paraId="1BDE5EC2" w14:textId="36FD7288" w:rsidR="008F2ACE" w:rsidRPr="00042CE0" w:rsidRDefault="008F2ACE" w:rsidP="008F2ACE">
      <w:pPr>
        <w:spacing w:after="240"/>
        <w:rPr>
          <w:szCs w:val="24"/>
        </w:rPr>
      </w:pPr>
      <w:r w:rsidRPr="00053DC7">
        <w:rPr>
          <w:szCs w:val="24"/>
          <w:highlight w:val="yellow"/>
        </w:rPr>
        <w:t>[36]</w:t>
      </w:r>
      <w:r w:rsidRPr="00042CE0">
        <w:rPr>
          <w:szCs w:val="24"/>
        </w:rPr>
        <w:t xml:space="preserve"> H. Zhang, Q. </w:t>
      </w:r>
      <w:proofErr w:type="spellStart"/>
      <w:r w:rsidRPr="00042CE0">
        <w:rPr>
          <w:szCs w:val="24"/>
        </w:rPr>
        <w:t>Hao</w:t>
      </w:r>
      <w:proofErr w:type="spellEnd"/>
      <w:r w:rsidRPr="00042CE0">
        <w:rPr>
          <w:szCs w:val="24"/>
        </w:rPr>
        <w:t xml:space="preserve">, H. </w:t>
      </w:r>
      <w:proofErr w:type="spellStart"/>
      <w:r w:rsidRPr="00042CE0">
        <w:rPr>
          <w:szCs w:val="24"/>
        </w:rPr>
        <w:t>Geng</w:t>
      </w:r>
      <w:proofErr w:type="spellEnd"/>
      <w:r w:rsidRPr="00042CE0">
        <w:rPr>
          <w:szCs w:val="24"/>
        </w:rPr>
        <w:t xml:space="preserve">, and C. Xu: </w:t>
      </w:r>
      <w:proofErr w:type="spellStart"/>
      <w:r w:rsidRPr="00042CE0">
        <w:rPr>
          <w:szCs w:val="24"/>
        </w:rPr>
        <w:t>Nanoporous</w:t>
      </w:r>
      <w:proofErr w:type="spellEnd"/>
      <w:r w:rsidRPr="00042CE0">
        <w:rPr>
          <w:szCs w:val="24"/>
        </w:rPr>
        <w:t xml:space="preserve"> </w:t>
      </w:r>
      <w:proofErr w:type="spellStart"/>
      <w:r w:rsidRPr="00042CE0">
        <w:rPr>
          <w:szCs w:val="24"/>
        </w:rPr>
        <w:t>PdCu</w:t>
      </w:r>
      <w:proofErr w:type="spellEnd"/>
      <w:r w:rsidRPr="00042CE0">
        <w:rPr>
          <w:szCs w:val="24"/>
        </w:rPr>
        <w:t xml:space="preserve"> alloys as highly active and methanol-tolerant oxygen reduction </w:t>
      </w:r>
      <w:proofErr w:type="spellStart"/>
      <w:r w:rsidRPr="00042CE0">
        <w:rPr>
          <w:szCs w:val="24"/>
        </w:rPr>
        <w:t>electrocatalysts</w:t>
      </w:r>
      <w:proofErr w:type="spellEnd"/>
      <w:r w:rsidRPr="00042CE0">
        <w:rPr>
          <w:szCs w:val="24"/>
        </w:rPr>
        <w:t xml:space="preserve">. </w:t>
      </w:r>
      <w:r w:rsidRPr="00042CE0">
        <w:rPr>
          <w:i/>
          <w:szCs w:val="24"/>
        </w:rPr>
        <w:t>Int. J. Hydrogen Energy</w:t>
      </w:r>
      <w:r w:rsidRPr="00042CE0">
        <w:rPr>
          <w:szCs w:val="24"/>
        </w:rPr>
        <w:t xml:space="preserve"> </w:t>
      </w:r>
      <w:r w:rsidRPr="00042CE0">
        <w:rPr>
          <w:b/>
          <w:szCs w:val="24"/>
        </w:rPr>
        <w:t>38</w:t>
      </w:r>
      <w:r w:rsidRPr="00042CE0">
        <w:rPr>
          <w:szCs w:val="24"/>
        </w:rPr>
        <w:t>, 10029–10038 (2013).</w:t>
      </w:r>
    </w:p>
    <w:p w14:paraId="3CE5E775" w14:textId="7FE5E991" w:rsidR="008F2ACE" w:rsidRPr="00042CE0" w:rsidRDefault="008F2ACE" w:rsidP="008F2ACE">
      <w:pPr>
        <w:spacing w:after="240"/>
        <w:rPr>
          <w:szCs w:val="24"/>
        </w:rPr>
      </w:pPr>
      <w:r w:rsidRPr="00053DC7">
        <w:rPr>
          <w:szCs w:val="24"/>
          <w:highlight w:val="yellow"/>
        </w:rPr>
        <w:t>[37]</w:t>
      </w:r>
      <w:r w:rsidRPr="00042CE0">
        <w:rPr>
          <w:szCs w:val="24"/>
        </w:rPr>
        <w:t xml:space="preserve"> L. Liu, G. </w:t>
      </w:r>
      <w:proofErr w:type="spellStart"/>
      <w:r w:rsidRPr="00042CE0">
        <w:rPr>
          <w:szCs w:val="24"/>
        </w:rPr>
        <w:t>Samjeske</w:t>
      </w:r>
      <w:proofErr w:type="spellEnd"/>
      <w:r w:rsidRPr="00042CE0">
        <w:rPr>
          <w:szCs w:val="24"/>
        </w:rPr>
        <w:t xml:space="preserve">, S. </w:t>
      </w:r>
      <w:proofErr w:type="spellStart"/>
      <w:r w:rsidRPr="00042CE0">
        <w:rPr>
          <w:szCs w:val="24"/>
        </w:rPr>
        <w:t>Nagamatsu</w:t>
      </w:r>
      <w:proofErr w:type="spellEnd"/>
      <w:r w:rsidRPr="00042CE0">
        <w:rPr>
          <w:szCs w:val="24"/>
        </w:rPr>
        <w:t xml:space="preserve">, O. </w:t>
      </w:r>
      <w:proofErr w:type="spellStart"/>
      <w:r w:rsidRPr="00042CE0">
        <w:rPr>
          <w:szCs w:val="24"/>
        </w:rPr>
        <w:t>Sekizawa</w:t>
      </w:r>
      <w:proofErr w:type="spellEnd"/>
      <w:r w:rsidRPr="00042CE0">
        <w:rPr>
          <w:szCs w:val="24"/>
        </w:rPr>
        <w:t xml:space="preserve">, K. </w:t>
      </w:r>
      <w:proofErr w:type="spellStart"/>
      <w:r w:rsidRPr="00042CE0">
        <w:rPr>
          <w:szCs w:val="24"/>
        </w:rPr>
        <w:t>Nagasawa</w:t>
      </w:r>
      <w:proofErr w:type="spellEnd"/>
      <w:r w:rsidRPr="00042CE0">
        <w:rPr>
          <w:szCs w:val="24"/>
        </w:rPr>
        <w:t xml:space="preserve">, S. Takao, Y. </w:t>
      </w:r>
      <w:proofErr w:type="spellStart"/>
      <w:r w:rsidRPr="00042CE0">
        <w:rPr>
          <w:szCs w:val="24"/>
        </w:rPr>
        <w:t>Imaizumi</w:t>
      </w:r>
      <w:proofErr w:type="spellEnd"/>
      <w:r w:rsidRPr="00042CE0">
        <w:rPr>
          <w:szCs w:val="24"/>
        </w:rPr>
        <w:t xml:space="preserve">, T. Yamamoto, T. </w:t>
      </w:r>
      <w:proofErr w:type="spellStart"/>
      <w:r w:rsidRPr="00042CE0">
        <w:rPr>
          <w:szCs w:val="24"/>
        </w:rPr>
        <w:t>Uruga</w:t>
      </w:r>
      <w:proofErr w:type="spellEnd"/>
      <w:r w:rsidRPr="00042CE0">
        <w:rPr>
          <w:szCs w:val="24"/>
        </w:rPr>
        <w:t xml:space="preserve">, and Y. </w:t>
      </w:r>
      <w:proofErr w:type="spellStart"/>
      <w:r w:rsidRPr="00042CE0">
        <w:rPr>
          <w:szCs w:val="24"/>
        </w:rPr>
        <w:t>Iwasawa</w:t>
      </w:r>
      <w:proofErr w:type="spellEnd"/>
      <w:r w:rsidRPr="00042CE0">
        <w:rPr>
          <w:szCs w:val="24"/>
        </w:rPr>
        <w:t xml:space="preserve">. Dependences of the oxygen reduction reaction activity of </w:t>
      </w:r>
      <w:proofErr w:type="spellStart"/>
      <w:r w:rsidRPr="00042CE0">
        <w:rPr>
          <w:szCs w:val="24"/>
        </w:rPr>
        <w:t>Pd</w:t>
      </w:r>
      <w:proofErr w:type="spellEnd"/>
      <w:r w:rsidRPr="00042CE0">
        <w:rPr>
          <w:szCs w:val="24"/>
        </w:rPr>
        <w:t xml:space="preserve">–Co/C and </w:t>
      </w:r>
      <w:proofErr w:type="spellStart"/>
      <w:r w:rsidRPr="00042CE0">
        <w:rPr>
          <w:szCs w:val="24"/>
        </w:rPr>
        <w:t>Pd</w:t>
      </w:r>
      <w:proofErr w:type="spellEnd"/>
      <w:r w:rsidRPr="00042CE0">
        <w:rPr>
          <w:szCs w:val="24"/>
        </w:rPr>
        <w:t xml:space="preserve">–Ni/C alloy </w:t>
      </w:r>
      <w:proofErr w:type="spellStart"/>
      <w:r w:rsidRPr="00042CE0">
        <w:rPr>
          <w:szCs w:val="24"/>
        </w:rPr>
        <w:t>electrocatalysts</w:t>
      </w:r>
      <w:proofErr w:type="spellEnd"/>
      <w:r w:rsidRPr="00042CE0">
        <w:rPr>
          <w:szCs w:val="24"/>
        </w:rPr>
        <w:t xml:space="preserve"> on the nanoparticle size and lattice constant. </w:t>
      </w:r>
      <w:r w:rsidRPr="00042CE0">
        <w:rPr>
          <w:i/>
          <w:szCs w:val="24"/>
        </w:rPr>
        <w:t xml:space="preserve">Top. </w:t>
      </w:r>
      <w:proofErr w:type="spellStart"/>
      <w:r w:rsidRPr="00042CE0">
        <w:rPr>
          <w:i/>
          <w:szCs w:val="24"/>
        </w:rPr>
        <w:t>Catal</w:t>
      </w:r>
      <w:proofErr w:type="spellEnd"/>
      <w:r w:rsidRPr="00042CE0">
        <w:rPr>
          <w:i/>
          <w:szCs w:val="24"/>
        </w:rPr>
        <w:t>.</w:t>
      </w:r>
      <w:r w:rsidRPr="00042CE0">
        <w:rPr>
          <w:szCs w:val="24"/>
        </w:rPr>
        <w:t xml:space="preserve"> </w:t>
      </w:r>
      <w:r w:rsidRPr="00042CE0">
        <w:rPr>
          <w:b/>
          <w:szCs w:val="24"/>
        </w:rPr>
        <w:t>57</w:t>
      </w:r>
      <w:r w:rsidRPr="00042CE0">
        <w:rPr>
          <w:szCs w:val="24"/>
        </w:rPr>
        <w:t>, 595–606 (2014).</w:t>
      </w:r>
    </w:p>
    <w:p w14:paraId="4499EDF3" w14:textId="3AB99CE1" w:rsidR="008F2ACE" w:rsidRPr="00042CE0" w:rsidRDefault="008F2ACE" w:rsidP="008F2ACE">
      <w:pPr>
        <w:spacing w:after="240"/>
      </w:pPr>
      <w:r w:rsidRPr="00053DC7">
        <w:rPr>
          <w:highlight w:val="yellow"/>
        </w:rPr>
        <w:t>[38]</w:t>
      </w:r>
      <w:r w:rsidRPr="00042CE0">
        <w:t xml:space="preserve"> M. Shao: Palladium-based </w:t>
      </w:r>
      <w:proofErr w:type="spellStart"/>
      <w:r w:rsidRPr="00042CE0">
        <w:t>electrocatalysts</w:t>
      </w:r>
      <w:proofErr w:type="spellEnd"/>
      <w:r w:rsidRPr="00042CE0">
        <w:t xml:space="preserve"> for hydrogen oxidation and oxygen reduction reactions. </w:t>
      </w:r>
      <w:r w:rsidRPr="00042CE0">
        <w:rPr>
          <w:i/>
        </w:rPr>
        <w:t>J. Power Sources</w:t>
      </w:r>
      <w:r w:rsidRPr="00042CE0">
        <w:t xml:space="preserve"> </w:t>
      </w:r>
      <w:r w:rsidRPr="00042CE0">
        <w:rPr>
          <w:b/>
        </w:rPr>
        <w:t>196</w:t>
      </w:r>
      <w:r w:rsidRPr="00042CE0">
        <w:t>, 2433−2444 (2011).</w:t>
      </w:r>
    </w:p>
    <w:p w14:paraId="604A5E8A" w14:textId="2AB3F39F" w:rsidR="008F2ACE" w:rsidRPr="00042CE0" w:rsidRDefault="008F2ACE" w:rsidP="008F2ACE">
      <w:pPr>
        <w:spacing w:after="240"/>
      </w:pPr>
      <w:r w:rsidRPr="00053DC7">
        <w:rPr>
          <w:highlight w:val="yellow"/>
        </w:rPr>
        <w:t>[39]</w:t>
      </w:r>
      <w:r w:rsidRPr="00042CE0">
        <w:t xml:space="preserve"> M. H. Shao, T. Huang, P. Liu, J. Zhang, K. Sasaki, M. B. </w:t>
      </w:r>
      <w:proofErr w:type="spellStart"/>
      <w:r w:rsidRPr="00042CE0">
        <w:t>Vukmirovic</w:t>
      </w:r>
      <w:proofErr w:type="spellEnd"/>
      <w:r w:rsidRPr="00042CE0">
        <w:t xml:space="preserve">, and R. R. </w:t>
      </w:r>
      <w:proofErr w:type="spellStart"/>
      <w:r w:rsidRPr="00042CE0">
        <w:t>Adzic</w:t>
      </w:r>
      <w:proofErr w:type="spellEnd"/>
      <w:r w:rsidRPr="00042CE0">
        <w:t xml:space="preserve">: Palladium monolayer and palladium alloy </w:t>
      </w:r>
      <w:proofErr w:type="spellStart"/>
      <w:r w:rsidRPr="00042CE0">
        <w:t>electrocatalysts</w:t>
      </w:r>
      <w:proofErr w:type="spellEnd"/>
      <w:r w:rsidRPr="00042CE0">
        <w:t xml:space="preserve"> for oxygen reduction. </w:t>
      </w:r>
      <w:r w:rsidRPr="00042CE0">
        <w:rPr>
          <w:i/>
        </w:rPr>
        <w:t>Langmuir</w:t>
      </w:r>
      <w:r w:rsidRPr="00042CE0">
        <w:t xml:space="preserve"> </w:t>
      </w:r>
      <w:r w:rsidRPr="00042CE0">
        <w:rPr>
          <w:b/>
        </w:rPr>
        <w:t>22</w:t>
      </w:r>
      <w:r w:rsidRPr="00042CE0">
        <w:t>, 10409−10415 (2006).</w:t>
      </w:r>
    </w:p>
    <w:p w14:paraId="33E8BE13" w14:textId="3B70DFE2" w:rsidR="000D6418" w:rsidRPr="00042CE0" w:rsidRDefault="00053DC7" w:rsidP="008F2ACE">
      <w:pPr>
        <w:spacing w:after="240"/>
      </w:pPr>
      <w:r w:rsidRPr="00053DC7">
        <w:rPr>
          <w:highlight w:val="yellow"/>
        </w:rPr>
        <w:t>[40]</w:t>
      </w:r>
      <w:r w:rsidR="000D6418" w:rsidRPr="00042CE0">
        <w:t xml:space="preserve"> H. Okamoto: Cu-</w:t>
      </w:r>
      <w:proofErr w:type="spellStart"/>
      <w:r w:rsidR="000D6418" w:rsidRPr="00042CE0">
        <w:t>Mn</w:t>
      </w:r>
      <w:proofErr w:type="spellEnd"/>
      <w:r w:rsidR="000D6418" w:rsidRPr="00042CE0">
        <w:t xml:space="preserve"> (Copper-Manganese). </w:t>
      </w:r>
      <w:r w:rsidR="000D6418" w:rsidRPr="00042CE0">
        <w:rPr>
          <w:i/>
        </w:rPr>
        <w:t xml:space="preserve">J. Phase </w:t>
      </w:r>
      <w:proofErr w:type="spellStart"/>
      <w:r w:rsidR="000D6418" w:rsidRPr="00042CE0">
        <w:rPr>
          <w:i/>
        </w:rPr>
        <w:t>Equilib</w:t>
      </w:r>
      <w:proofErr w:type="spellEnd"/>
      <w:r w:rsidR="000D6418" w:rsidRPr="00042CE0">
        <w:rPr>
          <w:i/>
        </w:rPr>
        <w:t>.</w:t>
      </w:r>
      <w:r w:rsidR="000D6418" w:rsidRPr="00042CE0">
        <w:t xml:space="preserve"> </w:t>
      </w:r>
      <w:r w:rsidR="000D6418" w:rsidRPr="00042CE0">
        <w:rPr>
          <w:b/>
        </w:rPr>
        <w:t>19</w:t>
      </w:r>
      <w:r w:rsidR="000D6418" w:rsidRPr="00042CE0">
        <w:t>, 180 (1998).</w:t>
      </w:r>
    </w:p>
    <w:p w14:paraId="02D0A99C" w14:textId="5F0FAFE0" w:rsidR="000D6418" w:rsidRPr="00042CE0" w:rsidRDefault="00053DC7" w:rsidP="000D6418">
      <w:pPr>
        <w:spacing w:after="240"/>
      </w:pPr>
      <w:r w:rsidRPr="00053DC7">
        <w:rPr>
          <w:highlight w:val="yellow"/>
        </w:rPr>
        <w:t>[41]</w:t>
      </w:r>
      <w:r w:rsidR="000D6418" w:rsidRPr="00042CE0">
        <w:t xml:space="preserve"> E. J. Coleman and A. C. Co: Galvanic displacement of Pt on </w:t>
      </w:r>
      <w:proofErr w:type="spellStart"/>
      <w:r w:rsidR="000D6418" w:rsidRPr="00042CE0">
        <w:t>nanoporous</w:t>
      </w:r>
      <w:proofErr w:type="spellEnd"/>
      <w:r w:rsidR="000D6418" w:rsidRPr="00042CE0">
        <w:t xml:space="preserve"> copper: An alternative synthetic route for obtaining robust and reliable oxygen reduction activity. </w:t>
      </w:r>
      <w:r w:rsidR="000D6418" w:rsidRPr="00042CE0">
        <w:rPr>
          <w:i/>
        </w:rPr>
        <w:t xml:space="preserve">J. </w:t>
      </w:r>
      <w:proofErr w:type="spellStart"/>
      <w:r w:rsidR="000D6418" w:rsidRPr="00042CE0">
        <w:rPr>
          <w:i/>
        </w:rPr>
        <w:t>Catal</w:t>
      </w:r>
      <w:proofErr w:type="spellEnd"/>
      <w:r w:rsidR="000D6418" w:rsidRPr="00042CE0">
        <w:rPr>
          <w:i/>
        </w:rPr>
        <w:t>.</w:t>
      </w:r>
      <w:r w:rsidR="000D6418" w:rsidRPr="00042CE0">
        <w:t xml:space="preserve"> </w:t>
      </w:r>
      <w:r w:rsidR="000D6418" w:rsidRPr="00042CE0">
        <w:rPr>
          <w:b/>
        </w:rPr>
        <w:t>316</w:t>
      </w:r>
      <w:r w:rsidR="000D6418" w:rsidRPr="00042CE0">
        <w:t>, 191–200 (2014).</w:t>
      </w:r>
    </w:p>
    <w:p w14:paraId="1A077CD2" w14:textId="4A91BC8C" w:rsidR="000D6418" w:rsidRPr="00042CE0" w:rsidRDefault="00053DC7" w:rsidP="000D6418">
      <w:pPr>
        <w:spacing w:after="240"/>
      </w:pPr>
      <w:r w:rsidRPr="00053DC7">
        <w:rPr>
          <w:highlight w:val="yellow"/>
        </w:rPr>
        <w:lastRenderedPageBreak/>
        <w:t>[42]</w:t>
      </w:r>
      <w:r w:rsidR="000D6418" w:rsidRPr="00042CE0">
        <w:t xml:space="preserve"> S. </w:t>
      </w:r>
      <w:proofErr w:type="spellStart"/>
      <w:r w:rsidR="000D6418" w:rsidRPr="00042CE0">
        <w:t>Trasatti</w:t>
      </w:r>
      <w:proofErr w:type="spellEnd"/>
      <w:r w:rsidR="000D6418" w:rsidRPr="00042CE0">
        <w:t xml:space="preserve"> and O. A. </w:t>
      </w:r>
      <w:proofErr w:type="spellStart"/>
      <w:r w:rsidR="000D6418" w:rsidRPr="00042CE0">
        <w:t>Petrii</w:t>
      </w:r>
      <w:proofErr w:type="spellEnd"/>
      <w:r w:rsidR="000D6418" w:rsidRPr="00042CE0">
        <w:t xml:space="preserve">: Real surface area measurements in electrochemistry. </w:t>
      </w:r>
      <w:r w:rsidR="000D6418" w:rsidRPr="00042CE0">
        <w:rPr>
          <w:i/>
        </w:rPr>
        <w:t xml:space="preserve">J. </w:t>
      </w:r>
      <w:proofErr w:type="spellStart"/>
      <w:r w:rsidR="000D6418" w:rsidRPr="00042CE0">
        <w:rPr>
          <w:i/>
        </w:rPr>
        <w:t>Electroanal</w:t>
      </w:r>
      <w:proofErr w:type="spellEnd"/>
      <w:r w:rsidR="000D6418" w:rsidRPr="00042CE0">
        <w:rPr>
          <w:i/>
        </w:rPr>
        <w:t>. Chem.</w:t>
      </w:r>
      <w:r w:rsidR="000D6418" w:rsidRPr="00042CE0">
        <w:t xml:space="preserve"> </w:t>
      </w:r>
      <w:r w:rsidR="000D6418" w:rsidRPr="00042CE0">
        <w:rPr>
          <w:b/>
        </w:rPr>
        <w:t>327</w:t>
      </w:r>
      <w:r w:rsidR="000D6418" w:rsidRPr="00042CE0">
        <w:t>, 353–376 (1992).</w:t>
      </w:r>
    </w:p>
    <w:p w14:paraId="2C4C5225" w14:textId="5BC4554E" w:rsidR="000D6418" w:rsidRPr="00042CE0" w:rsidRDefault="00053DC7" w:rsidP="000D6418">
      <w:pPr>
        <w:spacing w:after="240"/>
      </w:pPr>
      <w:r w:rsidRPr="00053DC7">
        <w:rPr>
          <w:highlight w:val="yellow"/>
        </w:rPr>
        <w:t>[43]</w:t>
      </w:r>
      <w:r w:rsidR="000D6418" w:rsidRPr="00042CE0">
        <w:t xml:space="preserve"> L.-L. He, P. Song, A.-J. Wang, J.-N. Zheng, L.-P. Mei, and J.-J. Feng: A general strategy for the facile synthesis of </w:t>
      </w:r>
      <w:proofErr w:type="spellStart"/>
      <w:r w:rsidR="000D6418" w:rsidRPr="00042CE0">
        <w:t>AuM</w:t>
      </w:r>
      <w:proofErr w:type="spellEnd"/>
      <w:r w:rsidR="000D6418" w:rsidRPr="00042CE0">
        <w:t xml:space="preserve"> (M = Pt/</w:t>
      </w:r>
      <w:proofErr w:type="spellStart"/>
      <w:r w:rsidR="000D6418" w:rsidRPr="00042CE0">
        <w:t>Pd</w:t>
      </w:r>
      <w:proofErr w:type="spellEnd"/>
      <w:r w:rsidR="000D6418" w:rsidRPr="00042CE0">
        <w:t xml:space="preserve">) alloyed flowerlike-assembly </w:t>
      </w:r>
      <w:proofErr w:type="spellStart"/>
      <w:r w:rsidR="000D6418" w:rsidRPr="00042CE0">
        <w:t>nanochains</w:t>
      </w:r>
      <w:proofErr w:type="spellEnd"/>
      <w:r w:rsidR="000D6418" w:rsidRPr="00042CE0">
        <w:t xml:space="preserve"> for enhanced oxygen reduction reaction. </w:t>
      </w:r>
      <w:r w:rsidR="000D6418" w:rsidRPr="00042CE0">
        <w:rPr>
          <w:i/>
        </w:rPr>
        <w:t>J. Mater. Chem. A</w:t>
      </w:r>
      <w:r w:rsidR="000D6418" w:rsidRPr="00042CE0">
        <w:t xml:space="preserve"> </w:t>
      </w:r>
      <w:r w:rsidR="000D6418" w:rsidRPr="00042CE0">
        <w:rPr>
          <w:b/>
        </w:rPr>
        <w:t>3</w:t>
      </w:r>
      <w:r w:rsidR="000D6418" w:rsidRPr="00042CE0">
        <w:t>, 5352–5359 (2015).</w:t>
      </w:r>
    </w:p>
    <w:p w14:paraId="06F8155C" w14:textId="22A04A1E" w:rsidR="000D6418" w:rsidRPr="00042CE0" w:rsidRDefault="00053DC7" w:rsidP="000D6418">
      <w:pPr>
        <w:spacing w:after="240"/>
        <w:rPr>
          <w:rFonts w:eastAsiaTheme="minorHAnsi"/>
        </w:rPr>
      </w:pPr>
      <w:r w:rsidRPr="00053DC7">
        <w:rPr>
          <w:rFonts w:eastAsiaTheme="minorHAnsi"/>
          <w:highlight w:val="yellow"/>
        </w:rPr>
        <w:t>[44]</w:t>
      </w:r>
      <w:r w:rsidR="000D6418" w:rsidRPr="00042CE0">
        <w:rPr>
          <w:rFonts w:eastAsiaTheme="minorHAnsi"/>
        </w:rPr>
        <w:t xml:space="preserve"> P. </w:t>
      </w:r>
      <w:proofErr w:type="spellStart"/>
      <w:r w:rsidR="000D6418" w:rsidRPr="00042CE0">
        <w:rPr>
          <w:rFonts w:eastAsiaTheme="minorHAnsi"/>
        </w:rPr>
        <w:t>Hohenberg</w:t>
      </w:r>
      <w:proofErr w:type="spellEnd"/>
      <w:r w:rsidR="000D6418" w:rsidRPr="00042CE0">
        <w:rPr>
          <w:rFonts w:eastAsiaTheme="minorHAnsi"/>
        </w:rPr>
        <w:t xml:space="preserve"> and W. Kohn: </w:t>
      </w:r>
      <w:r w:rsidR="000D6418" w:rsidRPr="00042CE0">
        <w:rPr>
          <w:rFonts w:eastAsiaTheme="minorHAnsi" w:cs="Times New Roman"/>
          <w:szCs w:val="21"/>
        </w:rPr>
        <w:t>Inhomogeneous electron gas</w:t>
      </w:r>
      <w:r w:rsidR="000D6418" w:rsidRPr="00042CE0">
        <w:rPr>
          <w:rFonts w:eastAsiaTheme="minorHAnsi"/>
        </w:rPr>
        <w:t>, Phys. Rev. 136, B864</w:t>
      </w:r>
      <w:r w:rsidR="00293F4D">
        <w:rPr>
          <w:rFonts w:eastAsiaTheme="minorHAnsi"/>
        </w:rPr>
        <w:t>–</w:t>
      </w:r>
      <w:r w:rsidR="000D6418" w:rsidRPr="00042CE0">
        <w:rPr>
          <w:rFonts w:eastAsiaTheme="minorHAnsi"/>
        </w:rPr>
        <w:t>B871 (1964).</w:t>
      </w:r>
    </w:p>
    <w:p w14:paraId="76581B92" w14:textId="141583EE" w:rsidR="000D6418" w:rsidRPr="00042CE0" w:rsidRDefault="00053DC7" w:rsidP="000D6418">
      <w:pPr>
        <w:spacing w:after="240"/>
        <w:rPr>
          <w:rFonts w:eastAsiaTheme="minorHAnsi"/>
        </w:rPr>
      </w:pPr>
      <w:r w:rsidRPr="00053DC7">
        <w:rPr>
          <w:rFonts w:eastAsiaTheme="minorHAnsi"/>
          <w:highlight w:val="yellow"/>
        </w:rPr>
        <w:t>[45]</w:t>
      </w:r>
      <w:r w:rsidR="000D6418" w:rsidRPr="00042CE0">
        <w:rPr>
          <w:rFonts w:eastAsiaTheme="minorHAnsi"/>
        </w:rPr>
        <w:t xml:space="preserve"> W. Kohn and L. J. Sham: </w:t>
      </w:r>
      <w:r w:rsidR="000D6418" w:rsidRPr="00042CE0">
        <w:rPr>
          <w:rFonts w:eastAsiaTheme="minorHAnsi" w:cs="Times New Roman"/>
          <w:szCs w:val="21"/>
        </w:rPr>
        <w:t>Self-Consistent equations including exchange and correlation effects</w:t>
      </w:r>
      <w:r w:rsidR="000D6418" w:rsidRPr="00042CE0">
        <w:rPr>
          <w:rFonts w:eastAsiaTheme="minorHAnsi"/>
        </w:rPr>
        <w:t>,</w:t>
      </w:r>
      <w:r w:rsidR="000D6418" w:rsidRPr="000B74C0">
        <w:rPr>
          <w:rFonts w:eastAsiaTheme="minorHAnsi"/>
          <w:i/>
        </w:rPr>
        <w:t xml:space="preserve"> Phys. Rev.</w:t>
      </w:r>
      <w:r w:rsidR="000B74C0">
        <w:rPr>
          <w:rFonts w:eastAsiaTheme="minorHAnsi"/>
        </w:rPr>
        <w:t xml:space="preserve"> </w:t>
      </w:r>
      <w:r w:rsidR="000D6418" w:rsidRPr="00293F4D">
        <w:rPr>
          <w:rFonts w:eastAsiaTheme="minorHAnsi"/>
          <w:b/>
        </w:rPr>
        <w:t>140</w:t>
      </w:r>
      <w:r w:rsidR="000D6418" w:rsidRPr="00042CE0">
        <w:rPr>
          <w:rFonts w:eastAsiaTheme="minorHAnsi"/>
        </w:rPr>
        <w:t>, A1133</w:t>
      </w:r>
      <w:r w:rsidR="00293F4D">
        <w:rPr>
          <w:rFonts w:eastAsiaTheme="minorHAnsi"/>
        </w:rPr>
        <w:t>–</w:t>
      </w:r>
      <w:r w:rsidR="000D6418" w:rsidRPr="00042CE0">
        <w:rPr>
          <w:rFonts w:eastAsiaTheme="minorHAnsi"/>
        </w:rPr>
        <w:t>A1138 (1965).</w:t>
      </w:r>
    </w:p>
    <w:p w14:paraId="2D26B63D" w14:textId="3297A0ED" w:rsidR="000D6418" w:rsidRPr="00042CE0" w:rsidRDefault="00053DC7" w:rsidP="000D6418">
      <w:pPr>
        <w:spacing w:after="240"/>
        <w:rPr>
          <w:rFonts w:eastAsiaTheme="minorHAnsi"/>
        </w:rPr>
      </w:pPr>
      <w:r w:rsidRPr="00053DC7">
        <w:rPr>
          <w:rFonts w:eastAsiaTheme="minorHAnsi"/>
          <w:highlight w:val="yellow"/>
        </w:rPr>
        <w:t>[46]</w:t>
      </w:r>
      <w:r w:rsidR="000D6418" w:rsidRPr="00042CE0">
        <w:rPr>
          <w:rFonts w:eastAsiaTheme="minorHAnsi"/>
        </w:rPr>
        <w:t xml:space="preserve"> M. C. Payne, M. P. </w:t>
      </w:r>
      <w:proofErr w:type="spellStart"/>
      <w:r w:rsidR="000D6418" w:rsidRPr="00042CE0">
        <w:rPr>
          <w:rFonts w:eastAsiaTheme="minorHAnsi"/>
        </w:rPr>
        <w:t>Teter</w:t>
      </w:r>
      <w:proofErr w:type="spellEnd"/>
      <w:r w:rsidR="000D6418" w:rsidRPr="00042CE0">
        <w:rPr>
          <w:rFonts w:eastAsiaTheme="minorHAnsi"/>
        </w:rPr>
        <w:t xml:space="preserve">, D. C. Allan, T. A. Arias, and J. D. </w:t>
      </w:r>
      <w:proofErr w:type="spellStart"/>
      <w:r w:rsidR="000D6418" w:rsidRPr="00042CE0">
        <w:rPr>
          <w:rFonts w:eastAsiaTheme="minorHAnsi"/>
        </w:rPr>
        <w:t>Joannopoulos</w:t>
      </w:r>
      <w:proofErr w:type="spellEnd"/>
      <w:r w:rsidR="000D6418" w:rsidRPr="00042CE0">
        <w:rPr>
          <w:rFonts w:eastAsiaTheme="minorHAnsi"/>
        </w:rPr>
        <w:t xml:space="preserve">: </w:t>
      </w:r>
      <w:r w:rsidR="000D6418" w:rsidRPr="00042CE0">
        <w:rPr>
          <w:rFonts w:eastAsiaTheme="minorHAnsi" w:cs="Times New Roman"/>
          <w:szCs w:val="21"/>
        </w:rPr>
        <w:t>Iterative minimization techniques for ab initio total-energy calculations: molecular dynamics and conjugate gradients</w:t>
      </w:r>
      <w:r w:rsidR="000D6418" w:rsidRPr="00042CE0">
        <w:rPr>
          <w:rFonts w:eastAsiaTheme="minorHAnsi"/>
        </w:rPr>
        <w:t xml:space="preserve">, </w:t>
      </w:r>
      <w:r w:rsidR="000D6418" w:rsidRPr="000B74C0">
        <w:rPr>
          <w:rFonts w:eastAsiaTheme="minorHAnsi"/>
          <w:i/>
        </w:rPr>
        <w:t>Rev. Mod. Phys</w:t>
      </w:r>
      <w:r w:rsidR="000D6418" w:rsidRPr="00042CE0">
        <w:rPr>
          <w:rFonts w:eastAsiaTheme="minorHAnsi"/>
        </w:rPr>
        <w:t xml:space="preserve">. </w:t>
      </w:r>
      <w:r w:rsidR="000D6418" w:rsidRPr="00293F4D">
        <w:rPr>
          <w:rFonts w:eastAsiaTheme="minorHAnsi"/>
          <w:b/>
        </w:rPr>
        <w:t>64</w:t>
      </w:r>
      <w:r w:rsidR="000D6418" w:rsidRPr="00042CE0">
        <w:rPr>
          <w:rFonts w:eastAsiaTheme="minorHAnsi"/>
        </w:rPr>
        <w:t>, 1045</w:t>
      </w:r>
      <w:r w:rsidR="00293F4D">
        <w:rPr>
          <w:rFonts w:eastAsiaTheme="minorHAnsi"/>
        </w:rPr>
        <w:t>–</w:t>
      </w:r>
      <w:r w:rsidR="000D6418" w:rsidRPr="00042CE0">
        <w:rPr>
          <w:rFonts w:eastAsiaTheme="minorHAnsi"/>
        </w:rPr>
        <w:t>1097 (1992).</w:t>
      </w:r>
    </w:p>
    <w:p w14:paraId="412A01ED" w14:textId="61181F79" w:rsidR="000D6418" w:rsidRPr="00042CE0" w:rsidRDefault="00053DC7" w:rsidP="000D6418">
      <w:pPr>
        <w:spacing w:after="240"/>
        <w:rPr>
          <w:rFonts w:eastAsiaTheme="minorHAnsi"/>
        </w:rPr>
      </w:pPr>
      <w:r w:rsidRPr="00053DC7">
        <w:rPr>
          <w:rFonts w:eastAsiaTheme="minorHAnsi"/>
          <w:highlight w:val="yellow"/>
        </w:rPr>
        <w:t>[47]</w:t>
      </w:r>
      <w:r w:rsidR="000D6418" w:rsidRPr="00042CE0">
        <w:rPr>
          <w:rFonts w:eastAsiaTheme="minorHAnsi"/>
        </w:rPr>
        <w:t xml:space="preserve"> J. P. </w:t>
      </w:r>
      <w:proofErr w:type="spellStart"/>
      <w:r w:rsidR="000D6418" w:rsidRPr="00042CE0">
        <w:rPr>
          <w:rFonts w:eastAsiaTheme="minorHAnsi"/>
        </w:rPr>
        <w:t>Perdew</w:t>
      </w:r>
      <w:proofErr w:type="spellEnd"/>
      <w:r w:rsidR="000D6418" w:rsidRPr="00042CE0">
        <w:rPr>
          <w:rFonts w:eastAsiaTheme="minorHAnsi"/>
        </w:rPr>
        <w:t xml:space="preserve">, K. Burke, and M. </w:t>
      </w:r>
      <w:proofErr w:type="spellStart"/>
      <w:r w:rsidR="000D6418" w:rsidRPr="00042CE0">
        <w:rPr>
          <w:rFonts w:eastAsiaTheme="minorHAnsi"/>
        </w:rPr>
        <w:t>Ernzerhof</w:t>
      </w:r>
      <w:proofErr w:type="spellEnd"/>
      <w:r w:rsidR="000D6418" w:rsidRPr="00042CE0">
        <w:rPr>
          <w:rFonts w:eastAsiaTheme="minorHAnsi"/>
        </w:rPr>
        <w:t xml:space="preserve">: </w:t>
      </w:r>
      <w:r w:rsidR="000D6418" w:rsidRPr="00042CE0">
        <w:rPr>
          <w:rFonts w:eastAsiaTheme="minorHAnsi" w:cs="Times New Roman"/>
          <w:szCs w:val="21"/>
        </w:rPr>
        <w:t>Generalized gradient approximation made simple</w:t>
      </w:r>
      <w:r w:rsidR="000D6418" w:rsidRPr="00042CE0">
        <w:rPr>
          <w:rFonts w:eastAsiaTheme="minorHAnsi"/>
        </w:rPr>
        <w:t xml:space="preserve">, </w:t>
      </w:r>
      <w:r w:rsidR="000D6418" w:rsidRPr="00042CE0">
        <w:rPr>
          <w:rFonts w:eastAsiaTheme="minorHAnsi"/>
          <w:i/>
        </w:rPr>
        <w:t>Phys. Rev. Lett.</w:t>
      </w:r>
      <w:r w:rsidR="000D6418" w:rsidRPr="00042CE0">
        <w:rPr>
          <w:rFonts w:eastAsiaTheme="minorHAnsi"/>
        </w:rPr>
        <w:t xml:space="preserve"> </w:t>
      </w:r>
      <w:r w:rsidR="000D6418" w:rsidRPr="00293F4D">
        <w:rPr>
          <w:rFonts w:eastAsiaTheme="minorHAnsi"/>
          <w:b/>
        </w:rPr>
        <w:t>77</w:t>
      </w:r>
      <w:r w:rsidR="000D6418" w:rsidRPr="00042CE0">
        <w:rPr>
          <w:rFonts w:eastAsiaTheme="minorHAnsi"/>
        </w:rPr>
        <w:t>, 3865</w:t>
      </w:r>
      <w:r w:rsidR="00293F4D">
        <w:rPr>
          <w:rFonts w:eastAsiaTheme="minorHAnsi"/>
        </w:rPr>
        <w:t>–</w:t>
      </w:r>
      <w:r w:rsidR="000D6418" w:rsidRPr="00042CE0">
        <w:rPr>
          <w:rFonts w:eastAsiaTheme="minorHAnsi"/>
        </w:rPr>
        <w:t>3867 (1996).</w:t>
      </w:r>
    </w:p>
    <w:p w14:paraId="0398AAAE" w14:textId="00ED7809" w:rsidR="000D6418" w:rsidRPr="00042CE0" w:rsidRDefault="00053DC7" w:rsidP="000D6418">
      <w:pPr>
        <w:spacing w:after="240"/>
        <w:rPr>
          <w:rFonts w:eastAsiaTheme="minorHAnsi"/>
        </w:rPr>
      </w:pPr>
      <w:r w:rsidRPr="00053DC7">
        <w:rPr>
          <w:rFonts w:eastAsiaTheme="minorHAnsi"/>
          <w:highlight w:val="yellow"/>
        </w:rPr>
        <w:t>[48]</w:t>
      </w:r>
      <w:r w:rsidR="000D6418" w:rsidRPr="00042CE0">
        <w:rPr>
          <w:rFonts w:eastAsiaTheme="minorHAnsi"/>
        </w:rPr>
        <w:t xml:space="preserve"> D. Vanderbilt: </w:t>
      </w:r>
      <w:r w:rsidR="000D6418" w:rsidRPr="00042CE0">
        <w:rPr>
          <w:rFonts w:eastAsiaTheme="minorHAnsi" w:cs="Times New Roman"/>
          <w:szCs w:val="21"/>
        </w:rPr>
        <w:t>Soft self-consistent pseudopotentials in a generalized eigenvalue formation</w:t>
      </w:r>
      <w:r w:rsidR="000D6418" w:rsidRPr="00042CE0">
        <w:rPr>
          <w:rFonts w:eastAsiaTheme="minorHAnsi"/>
        </w:rPr>
        <w:t xml:space="preserve">, </w:t>
      </w:r>
      <w:r w:rsidR="000D6418" w:rsidRPr="00042CE0">
        <w:rPr>
          <w:rFonts w:eastAsiaTheme="minorHAnsi"/>
          <w:i/>
        </w:rPr>
        <w:t>Phys. Rev. B</w:t>
      </w:r>
      <w:r w:rsidR="000D6418" w:rsidRPr="00042CE0">
        <w:rPr>
          <w:rFonts w:eastAsiaTheme="minorHAnsi"/>
        </w:rPr>
        <w:t xml:space="preserve"> </w:t>
      </w:r>
      <w:r w:rsidR="000D6418" w:rsidRPr="00042CE0">
        <w:rPr>
          <w:rFonts w:eastAsiaTheme="minorHAnsi"/>
          <w:b/>
        </w:rPr>
        <w:t>41</w:t>
      </w:r>
      <w:r w:rsidR="000D6418" w:rsidRPr="00042CE0">
        <w:rPr>
          <w:rFonts w:eastAsiaTheme="minorHAnsi"/>
        </w:rPr>
        <w:t>, 7892</w:t>
      </w:r>
      <w:r w:rsidR="00293F4D">
        <w:rPr>
          <w:rFonts w:eastAsiaTheme="minorHAnsi"/>
        </w:rPr>
        <w:t>–</w:t>
      </w:r>
      <w:r w:rsidR="000D6418" w:rsidRPr="00042CE0">
        <w:rPr>
          <w:rFonts w:eastAsiaTheme="minorHAnsi"/>
        </w:rPr>
        <w:t>7895 (1990).</w:t>
      </w:r>
    </w:p>
    <w:p w14:paraId="12D896ED" w14:textId="695104AE" w:rsidR="000D6418" w:rsidRPr="00042CE0" w:rsidRDefault="00053DC7" w:rsidP="000D6418">
      <w:pPr>
        <w:spacing w:after="240"/>
        <w:rPr>
          <w:rFonts w:eastAsiaTheme="minorHAnsi"/>
        </w:rPr>
      </w:pPr>
      <w:r w:rsidRPr="00053DC7">
        <w:rPr>
          <w:rFonts w:eastAsiaTheme="minorHAnsi"/>
          <w:highlight w:val="yellow"/>
        </w:rPr>
        <w:t>[49]</w:t>
      </w:r>
      <w:r w:rsidR="000D6418" w:rsidRPr="00042CE0">
        <w:rPr>
          <w:rFonts w:eastAsiaTheme="minorHAnsi"/>
        </w:rPr>
        <w:t xml:space="preserve"> H. J. </w:t>
      </w:r>
      <w:proofErr w:type="spellStart"/>
      <w:r w:rsidR="000D6418" w:rsidRPr="00042CE0">
        <w:rPr>
          <w:rFonts w:eastAsiaTheme="minorHAnsi"/>
        </w:rPr>
        <w:t>Monkhorst</w:t>
      </w:r>
      <w:proofErr w:type="spellEnd"/>
      <w:r w:rsidR="000D6418" w:rsidRPr="00042CE0">
        <w:rPr>
          <w:rFonts w:eastAsiaTheme="minorHAnsi"/>
        </w:rPr>
        <w:t xml:space="preserve"> and J. D. Pack: </w:t>
      </w:r>
      <w:r w:rsidR="000D6418" w:rsidRPr="00042CE0">
        <w:rPr>
          <w:rFonts w:eastAsiaTheme="minorHAnsi" w:cs="Times New Roman"/>
          <w:szCs w:val="21"/>
        </w:rPr>
        <w:t>Special points for Brillouin-zone integrations,</w:t>
      </w:r>
      <w:r w:rsidR="000D6418" w:rsidRPr="00042CE0">
        <w:rPr>
          <w:rFonts w:eastAsiaTheme="minorHAnsi"/>
        </w:rPr>
        <w:t xml:space="preserve"> </w:t>
      </w:r>
      <w:r w:rsidR="000D6418" w:rsidRPr="00042CE0">
        <w:rPr>
          <w:rFonts w:eastAsiaTheme="minorHAnsi"/>
          <w:i/>
        </w:rPr>
        <w:t>Phys. Rev. B</w:t>
      </w:r>
      <w:r w:rsidR="000D6418" w:rsidRPr="00042CE0">
        <w:rPr>
          <w:rFonts w:eastAsiaTheme="minorHAnsi"/>
        </w:rPr>
        <w:t xml:space="preserve"> </w:t>
      </w:r>
      <w:r w:rsidR="000D6418" w:rsidRPr="00042CE0">
        <w:rPr>
          <w:rFonts w:eastAsiaTheme="minorHAnsi"/>
          <w:b/>
        </w:rPr>
        <w:t>13</w:t>
      </w:r>
      <w:r w:rsidR="000D6418" w:rsidRPr="00042CE0">
        <w:rPr>
          <w:rFonts w:eastAsiaTheme="minorHAnsi"/>
        </w:rPr>
        <w:t>, 5188</w:t>
      </w:r>
      <w:r w:rsidR="00293F4D">
        <w:rPr>
          <w:rFonts w:eastAsiaTheme="minorHAnsi"/>
        </w:rPr>
        <w:t>–</w:t>
      </w:r>
      <w:r w:rsidR="000D6418" w:rsidRPr="00042CE0">
        <w:rPr>
          <w:rFonts w:eastAsiaTheme="minorHAnsi"/>
        </w:rPr>
        <w:t>5192 (1976).</w:t>
      </w:r>
    </w:p>
    <w:p w14:paraId="1A22C10A" w14:textId="397484AE" w:rsidR="000D6418" w:rsidRPr="00042CE0" w:rsidRDefault="00053DC7" w:rsidP="000D6418">
      <w:pPr>
        <w:spacing w:after="240"/>
      </w:pPr>
      <w:r w:rsidRPr="00053DC7">
        <w:rPr>
          <w:rFonts w:eastAsiaTheme="minorHAnsi"/>
          <w:highlight w:val="yellow"/>
        </w:rPr>
        <w:t>[50]</w:t>
      </w:r>
      <w:r w:rsidR="000D6418" w:rsidRPr="00042CE0">
        <w:rPr>
          <w:rFonts w:eastAsiaTheme="minorHAnsi"/>
        </w:rPr>
        <w:t xml:space="preserve"> Y. Xu, A. V. </w:t>
      </w:r>
      <w:proofErr w:type="spellStart"/>
      <w:r w:rsidR="000D6418" w:rsidRPr="00042CE0">
        <w:rPr>
          <w:rFonts w:eastAsiaTheme="minorHAnsi"/>
        </w:rPr>
        <w:t>Ruban</w:t>
      </w:r>
      <w:proofErr w:type="spellEnd"/>
      <w:r w:rsidR="000D6418" w:rsidRPr="00042CE0">
        <w:rPr>
          <w:rFonts w:eastAsiaTheme="minorHAnsi"/>
        </w:rPr>
        <w:t xml:space="preserve">, and M. </w:t>
      </w:r>
      <w:proofErr w:type="spellStart"/>
      <w:r w:rsidR="000D6418" w:rsidRPr="00042CE0">
        <w:rPr>
          <w:rFonts w:eastAsiaTheme="minorHAnsi"/>
        </w:rPr>
        <w:t>Mavrikakis</w:t>
      </w:r>
      <w:proofErr w:type="spellEnd"/>
      <w:r w:rsidR="000D6418" w:rsidRPr="00042CE0">
        <w:rPr>
          <w:rFonts w:eastAsiaTheme="minorHAnsi"/>
        </w:rPr>
        <w:t>: Adsorption and dissociation of O</w:t>
      </w:r>
      <w:r w:rsidR="000D6418" w:rsidRPr="00042CE0">
        <w:rPr>
          <w:rFonts w:eastAsiaTheme="minorHAnsi"/>
          <w:vertAlign w:val="subscript"/>
        </w:rPr>
        <w:t>2</w:t>
      </w:r>
      <w:r w:rsidR="000D6418" w:rsidRPr="00042CE0">
        <w:rPr>
          <w:rFonts w:eastAsiaTheme="minorHAnsi"/>
        </w:rPr>
        <w:t xml:space="preserve"> on Pt-Co and Pt-Fe alloys. </w:t>
      </w:r>
      <w:r w:rsidR="000D6418" w:rsidRPr="00042CE0">
        <w:rPr>
          <w:rFonts w:eastAsiaTheme="minorHAnsi"/>
          <w:i/>
        </w:rPr>
        <w:t xml:space="preserve">J. Am. </w:t>
      </w:r>
      <w:proofErr w:type="spellStart"/>
      <w:r w:rsidR="000D6418" w:rsidRPr="00042CE0">
        <w:rPr>
          <w:rFonts w:eastAsiaTheme="minorHAnsi"/>
          <w:i/>
        </w:rPr>
        <w:t>Chem</w:t>
      </w:r>
      <w:proofErr w:type="spellEnd"/>
      <w:r w:rsidR="000D6418" w:rsidRPr="00042CE0">
        <w:rPr>
          <w:rFonts w:eastAsiaTheme="minorHAnsi"/>
          <w:i/>
        </w:rPr>
        <w:t xml:space="preserve"> Soc.</w:t>
      </w:r>
      <w:r w:rsidR="000D6418" w:rsidRPr="00042CE0">
        <w:rPr>
          <w:rFonts w:eastAsiaTheme="minorHAnsi"/>
        </w:rPr>
        <w:t xml:space="preserve"> </w:t>
      </w:r>
      <w:r w:rsidR="000D6418" w:rsidRPr="00042CE0">
        <w:rPr>
          <w:rFonts w:eastAsiaTheme="minorHAnsi"/>
          <w:b/>
        </w:rPr>
        <w:t>126</w:t>
      </w:r>
      <w:r w:rsidR="000D6418" w:rsidRPr="00042CE0">
        <w:rPr>
          <w:rFonts w:eastAsiaTheme="minorHAnsi"/>
        </w:rPr>
        <w:t>, 4717</w:t>
      </w:r>
      <w:r w:rsidR="00293F4D">
        <w:rPr>
          <w:rFonts w:eastAsiaTheme="minorHAnsi"/>
        </w:rPr>
        <w:t>–</w:t>
      </w:r>
      <w:r w:rsidR="000D6418" w:rsidRPr="00042CE0">
        <w:rPr>
          <w:rFonts w:eastAsiaTheme="minorHAnsi"/>
        </w:rPr>
        <w:t>4725 (2004).</w:t>
      </w:r>
    </w:p>
    <w:p w14:paraId="633F5E1F" w14:textId="5656888C" w:rsidR="00F3186D" w:rsidRPr="00042CE0" w:rsidRDefault="00F3186D">
      <w:pPr>
        <w:widowControl/>
        <w:topLinePunct w:val="0"/>
        <w:spacing w:afterLines="0" w:after="0" w:line="240" w:lineRule="auto"/>
        <w:jc w:val="left"/>
      </w:pPr>
      <w:r w:rsidRPr="00042CE0">
        <w:lastRenderedPageBreak/>
        <w:br w:type="page"/>
      </w:r>
    </w:p>
    <w:p w14:paraId="4FC25706" w14:textId="77777777" w:rsidR="006B6DF0" w:rsidRPr="00042CE0" w:rsidRDefault="002B05D7" w:rsidP="00F311A1">
      <w:pPr>
        <w:pStyle w:val="1"/>
        <w:spacing w:after="240"/>
      </w:pPr>
      <w:r w:rsidRPr="00042CE0">
        <w:lastRenderedPageBreak/>
        <w:t>Tables</w:t>
      </w:r>
    </w:p>
    <w:p w14:paraId="6D915D1D" w14:textId="2D6DB97A" w:rsidR="002B05D7" w:rsidRPr="00042CE0" w:rsidRDefault="002B05D7" w:rsidP="00F311A1">
      <w:pPr>
        <w:spacing w:after="240"/>
      </w:pPr>
      <w:r w:rsidRPr="00042CE0">
        <w:t xml:space="preserve">Table </w:t>
      </w:r>
      <w:r w:rsidR="009B50CE" w:rsidRPr="009B50CE">
        <w:rPr>
          <w:highlight w:val="yellow"/>
        </w:rPr>
        <w:t>I</w:t>
      </w:r>
      <w:r w:rsidRPr="00042CE0">
        <w:t xml:space="preserve">. Lattice constants of </w:t>
      </w:r>
      <w:r w:rsidR="00234280" w:rsidRPr="00042CE0">
        <w:t>palladium</w:t>
      </w:r>
      <w:r w:rsidRPr="00042CE0">
        <w:t xml:space="preserve"> in bimodal </w:t>
      </w:r>
      <w:proofErr w:type="spellStart"/>
      <w:r w:rsidRPr="00042CE0">
        <w:t>nanoporous</w:t>
      </w:r>
      <w:proofErr w:type="spellEnd"/>
      <w:r w:rsidRPr="00042CE0">
        <w:t xml:space="preserve"> </w:t>
      </w:r>
      <w:r w:rsidR="00234280" w:rsidRPr="00042CE0">
        <w:t>palladium</w:t>
      </w:r>
      <w:r w:rsidR="00A33AB5" w:rsidRPr="00A33AB5">
        <w:rPr>
          <w:highlight w:val="yellow"/>
        </w:rPr>
        <w:t>-copper</w:t>
      </w:r>
      <w:r w:rsidRPr="00042CE0">
        <w:t>.</w:t>
      </w:r>
    </w:p>
    <w:tbl>
      <w:tblPr>
        <w:tblW w:w="8505" w:type="dxa"/>
        <w:tblLayout w:type="fixed"/>
        <w:tblCellMar>
          <w:left w:w="99" w:type="dxa"/>
          <w:right w:w="99" w:type="dxa"/>
        </w:tblCellMar>
        <w:tblLook w:val="04A0" w:firstRow="1" w:lastRow="0" w:firstColumn="1" w:lastColumn="0" w:noHBand="0" w:noVBand="1"/>
      </w:tblPr>
      <w:tblGrid>
        <w:gridCol w:w="1581"/>
        <w:gridCol w:w="3462"/>
        <w:gridCol w:w="3462"/>
      </w:tblGrid>
      <w:tr w:rsidR="00042CE0" w:rsidRPr="00042CE0" w14:paraId="269D7032" w14:textId="77777777" w:rsidTr="00F06061">
        <w:trPr>
          <w:trHeight w:val="270"/>
        </w:trPr>
        <w:tc>
          <w:tcPr>
            <w:tcW w:w="1581" w:type="dxa"/>
            <w:vMerge w:val="restart"/>
            <w:tcBorders>
              <w:top w:val="single" w:sz="8" w:space="0" w:color="auto"/>
              <w:left w:val="nil"/>
              <w:right w:val="nil"/>
            </w:tcBorders>
            <w:shd w:val="clear" w:color="auto" w:fill="auto"/>
            <w:noWrap/>
            <w:vAlign w:val="center"/>
          </w:tcPr>
          <w:p w14:paraId="7CAE1CDD" w14:textId="77777777" w:rsidR="00F06061" w:rsidRPr="00042CE0" w:rsidRDefault="00F06061" w:rsidP="00F311A1">
            <w:pPr>
              <w:spacing w:after="240"/>
              <w:jc w:val="center"/>
              <w:rPr>
                <w:highlight w:val="yellow"/>
              </w:rPr>
            </w:pPr>
            <w:r w:rsidRPr="00042CE0">
              <w:t>Plane index</w:t>
            </w:r>
          </w:p>
        </w:tc>
        <w:tc>
          <w:tcPr>
            <w:tcW w:w="6924" w:type="dxa"/>
            <w:gridSpan w:val="2"/>
            <w:tcBorders>
              <w:top w:val="single" w:sz="8" w:space="0" w:color="auto"/>
              <w:left w:val="nil"/>
              <w:bottom w:val="nil"/>
              <w:right w:val="nil"/>
            </w:tcBorders>
            <w:shd w:val="clear" w:color="auto" w:fill="auto"/>
            <w:noWrap/>
            <w:vAlign w:val="center"/>
          </w:tcPr>
          <w:p w14:paraId="3E9649E3" w14:textId="1534948A" w:rsidR="00F06061" w:rsidRPr="00042CE0" w:rsidRDefault="00F06061" w:rsidP="00234280">
            <w:pPr>
              <w:widowControl/>
              <w:topLinePunct w:val="0"/>
              <w:spacing w:afterLines="0" w:after="0"/>
              <w:jc w:val="center"/>
              <w:rPr>
                <w:highlight w:val="yellow"/>
              </w:rPr>
            </w:pPr>
            <w:r w:rsidRPr="00042CE0">
              <w:t xml:space="preserve">Lattice constant </w:t>
            </w:r>
            <m:oMath>
              <m:r>
                <w:rPr>
                  <w:rFonts w:ascii="Cambria Math" w:hAnsi="Cambria Math" w:hint="eastAsia"/>
                </w:rPr>
                <m:t>a</m:t>
              </m:r>
            </m:oMath>
            <w:r w:rsidRPr="00042CE0">
              <w:t xml:space="preserve"> (nm) and</w:t>
            </w:r>
            <w:r w:rsidR="00762486" w:rsidRPr="00042CE0">
              <w:t xml:space="preserve"> </w:t>
            </w:r>
            <w:r w:rsidRPr="00042CE0">
              <w:t xml:space="preserve">change </w:t>
            </w:r>
            <w:r w:rsidR="00762486" w:rsidRPr="00042CE0">
              <w:t>from that in bulk p</w:t>
            </w:r>
            <w:r w:rsidR="00234280" w:rsidRPr="00042CE0">
              <w:t>a</w:t>
            </w:r>
            <w:r w:rsidR="00762486" w:rsidRPr="00042CE0">
              <w:t>l</w:t>
            </w:r>
            <w:r w:rsidR="00234280" w:rsidRPr="00042CE0">
              <w:t>l</w:t>
            </w:r>
            <w:r w:rsidR="00762486" w:rsidRPr="00042CE0">
              <w:t>a</w:t>
            </w:r>
            <w:r w:rsidR="00234280" w:rsidRPr="00042CE0">
              <w:t>di</w:t>
            </w:r>
            <w:r w:rsidR="00762486" w:rsidRPr="00042CE0">
              <w:t>um</w:t>
            </w:r>
            <w:r w:rsidR="00762486" w:rsidRPr="00042CE0">
              <w:rPr>
                <w:highlight w:val="yellow"/>
              </w:rPr>
              <w:br/>
            </w:r>
            <w:r w:rsidRPr="00042CE0">
              <w:t>(</w:t>
            </w:r>
            <m:oMath>
              <m:sSub>
                <m:sSubPr>
                  <m:ctrlPr>
                    <w:rPr>
                      <w:rFonts w:ascii="Cambria Math" w:hAnsi="Cambria Math"/>
                      <w:i/>
                    </w:rPr>
                  </m:ctrlPr>
                </m:sSubPr>
                <m:e>
                  <m:r>
                    <w:rPr>
                      <w:rFonts w:ascii="Cambria Math" w:hAnsi="Cambria Math"/>
                    </w:rPr>
                    <m:t>a</m:t>
                  </m:r>
                </m:e>
                <m:sub>
                  <m:r>
                    <m:rPr>
                      <m:nor/>
                    </m:rPr>
                    <w:rPr>
                      <w:rFonts w:ascii="Cambria Math" w:hAnsi="Cambria Math"/>
                    </w:rPr>
                    <m:t>bulk Pd</m:t>
                  </m:r>
                </m:sub>
              </m:sSub>
            </m:oMath>
            <w:r w:rsidRPr="00042CE0">
              <w:t xml:space="preserve"> = 3.</w:t>
            </w:r>
            <w:r w:rsidR="00234280" w:rsidRPr="00042CE0">
              <w:t>890</w:t>
            </w:r>
            <w:r w:rsidRPr="00042CE0">
              <w:t xml:space="preserve"> nm)</w:t>
            </w:r>
          </w:p>
        </w:tc>
      </w:tr>
      <w:tr w:rsidR="00042CE0" w:rsidRPr="00042CE0" w14:paraId="4E978258" w14:textId="77777777" w:rsidTr="00F06061">
        <w:trPr>
          <w:trHeight w:val="270"/>
        </w:trPr>
        <w:tc>
          <w:tcPr>
            <w:tcW w:w="1581" w:type="dxa"/>
            <w:vMerge/>
            <w:tcBorders>
              <w:left w:val="nil"/>
              <w:bottom w:val="single" w:sz="8" w:space="0" w:color="auto"/>
              <w:right w:val="nil"/>
            </w:tcBorders>
            <w:shd w:val="clear" w:color="auto" w:fill="auto"/>
            <w:noWrap/>
            <w:vAlign w:val="center"/>
          </w:tcPr>
          <w:p w14:paraId="00E5E2C5" w14:textId="77777777" w:rsidR="00F06061" w:rsidRPr="00042CE0" w:rsidRDefault="00F06061">
            <w:pPr>
              <w:widowControl/>
              <w:topLinePunct w:val="0"/>
              <w:spacing w:afterLines="0" w:after="0"/>
              <w:jc w:val="center"/>
              <w:rPr>
                <w:highlight w:val="yellow"/>
              </w:rPr>
            </w:pPr>
          </w:p>
        </w:tc>
        <w:tc>
          <w:tcPr>
            <w:tcW w:w="3462" w:type="dxa"/>
            <w:tcBorders>
              <w:top w:val="nil"/>
              <w:left w:val="nil"/>
              <w:bottom w:val="single" w:sz="8" w:space="0" w:color="auto"/>
              <w:right w:val="nil"/>
            </w:tcBorders>
            <w:shd w:val="clear" w:color="auto" w:fill="auto"/>
            <w:noWrap/>
            <w:vAlign w:val="center"/>
          </w:tcPr>
          <w:p w14:paraId="0E394050" w14:textId="77777777" w:rsidR="00F06061" w:rsidRPr="00042CE0" w:rsidRDefault="00F06061">
            <w:pPr>
              <w:widowControl/>
              <w:topLinePunct w:val="0"/>
              <w:spacing w:afterLines="0" w:after="0"/>
              <w:jc w:val="center"/>
            </w:pPr>
            <w:r w:rsidRPr="00042CE0">
              <w:t>Before Cu dissolution</w:t>
            </w:r>
          </w:p>
        </w:tc>
        <w:tc>
          <w:tcPr>
            <w:tcW w:w="3462" w:type="dxa"/>
            <w:tcBorders>
              <w:top w:val="nil"/>
              <w:left w:val="nil"/>
              <w:bottom w:val="single" w:sz="8" w:space="0" w:color="auto"/>
              <w:right w:val="nil"/>
            </w:tcBorders>
            <w:shd w:val="clear" w:color="auto" w:fill="auto"/>
            <w:noWrap/>
            <w:vAlign w:val="center"/>
          </w:tcPr>
          <w:p w14:paraId="4564FF00" w14:textId="77777777" w:rsidR="00F06061" w:rsidRPr="00042CE0" w:rsidRDefault="00F06061">
            <w:pPr>
              <w:widowControl/>
              <w:topLinePunct w:val="0"/>
              <w:spacing w:afterLines="0" w:after="0"/>
              <w:jc w:val="center"/>
            </w:pPr>
            <w:r w:rsidRPr="00042CE0">
              <w:t>After Cu dissolution</w:t>
            </w:r>
          </w:p>
        </w:tc>
      </w:tr>
      <w:tr w:rsidR="00042CE0" w:rsidRPr="00042CE0" w14:paraId="146FB8F3" w14:textId="77777777" w:rsidTr="00F06061">
        <w:trPr>
          <w:trHeight w:val="270"/>
        </w:trPr>
        <w:tc>
          <w:tcPr>
            <w:tcW w:w="1581" w:type="dxa"/>
            <w:tcBorders>
              <w:top w:val="single" w:sz="8" w:space="0" w:color="auto"/>
              <w:left w:val="nil"/>
              <w:bottom w:val="nil"/>
              <w:right w:val="nil"/>
            </w:tcBorders>
            <w:shd w:val="clear" w:color="auto" w:fill="auto"/>
            <w:noWrap/>
            <w:vAlign w:val="center"/>
            <w:hideMark/>
          </w:tcPr>
          <w:p w14:paraId="25705C50" w14:textId="5C6732ED" w:rsidR="00F3186D" w:rsidRPr="00042CE0" w:rsidRDefault="00F3186D" w:rsidP="00F3186D">
            <w:pPr>
              <w:widowControl/>
              <w:topLinePunct w:val="0"/>
              <w:spacing w:afterLines="0" w:after="0"/>
              <w:jc w:val="center"/>
              <w:rPr>
                <w:highlight w:val="yellow"/>
              </w:rPr>
            </w:pPr>
            <w:r w:rsidRPr="00042CE0">
              <w:rPr>
                <w:rFonts w:hint="eastAsia"/>
                <w:szCs w:val="24"/>
              </w:rPr>
              <w:t>111</w:t>
            </w:r>
          </w:p>
        </w:tc>
        <w:tc>
          <w:tcPr>
            <w:tcW w:w="3462" w:type="dxa"/>
            <w:tcBorders>
              <w:top w:val="single" w:sz="8" w:space="0" w:color="auto"/>
              <w:left w:val="nil"/>
              <w:bottom w:val="nil"/>
              <w:right w:val="nil"/>
            </w:tcBorders>
            <w:shd w:val="clear" w:color="auto" w:fill="auto"/>
            <w:noWrap/>
            <w:vAlign w:val="center"/>
            <w:hideMark/>
          </w:tcPr>
          <w:p w14:paraId="62922394" w14:textId="38D0A233" w:rsidR="00F3186D" w:rsidRPr="00042CE0" w:rsidRDefault="00F3186D" w:rsidP="00F3186D">
            <w:pPr>
              <w:widowControl/>
              <w:topLinePunct w:val="0"/>
              <w:spacing w:afterLines="0" w:after="0"/>
              <w:jc w:val="center"/>
              <w:rPr>
                <w:highlight w:val="yellow"/>
              </w:rPr>
            </w:pPr>
            <w:r w:rsidRPr="00042CE0">
              <w:rPr>
                <w:rFonts w:hint="eastAsia"/>
                <w:sz w:val="22"/>
              </w:rPr>
              <w:t>3.880</w:t>
            </w:r>
            <w:r w:rsidRPr="00042CE0">
              <w:rPr>
                <w:szCs w:val="24"/>
              </w:rPr>
              <w:t xml:space="preserve"> (−0.27%)</w:t>
            </w:r>
          </w:p>
        </w:tc>
        <w:tc>
          <w:tcPr>
            <w:tcW w:w="3462" w:type="dxa"/>
            <w:tcBorders>
              <w:top w:val="single" w:sz="8" w:space="0" w:color="auto"/>
              <w:left w:val="nil"/>
              <w:bottom w:val="nil"/>
              <w:right w:val="nil"/>
            </w:tcBorders>
            <w:shd w:val="clear" w:color="auto" w:fill="auto"/>
            <w:noWrap/>
            <w:vAlign w:val="center"/>
            <w:hideMark/>
          </w:tcPr>
          <w:p w14:paraId="1B6BDFA7" w14:textId="7C2E70E3" w:rsidR="00F3186D" w:rsidRPr="00042CE0" w:rsidRDefault="00F3186D" w:rsidP="00F3186D">
            <w:pPr>
              <w:widowControl/>
              <w:topLinePunct w:val="0"/>
              <w:spacing w:afterLines="0" w:after="0"/>
              <w:jc w:val="center"/>
              <w:rPr>
                <w:highlight w:val="yellow"/>
              </w:rPr>
            </w:pPr>
            <w:r w:rsidRPr="00042CE0">
              <w:rPr>
                <w:rFonts w:hint="eastAsia"/>
                <w:szCs w:val="24"/>
              </w:rPr>
              <w:t>3.8</w:t>
            </w:r>
            <w:r w:rsidRPr="00042CE0">
              <w:rPr>
                <w:szCs w:val="24"/>
              </w:rPr>
              <w:t>79 (−0.29%)</w:t>
            </w:r>
          </w:p>
        </w:tc>
      </w:tr>
      <w:tr w:rsidR="00042CE0" w:rsidRPr="00042CE0" w14:paraId="0098803F" w14:textId="77777777" w:rsidTr="00F06061">
        <w:trPr>
          <w:trHeight w:val="270"/>
        </w:trPr>
        <w:tc>
          <w:tcPr>
            <w:tcW w:w="1581" w:type="dxa"/>
            <w:tcBorders>
              <w:top w:val="nil"/>
              <w:left w:val="nil"/>
              <w:bottom w:val="nil"/>
              <w:right w:val="nil"/>
            </w:tcBorders>
            <w:shd w:val="clear" w:color="auto" w:fill="auto"/>
            <w:noWrap/>
            <w:vAlign w:val="center"/>
            <w:hideMark/>
          </w:tcPr>
          <w:p w14:paraId="1D170D5C" w14:textId="4FF00ABF" w:rsidR="00F3186D" w:rsidRPr="00042CE0" w:rsidRDefault="00F3186D" w:rsidP="00F3186D">
            <w:pPr>
              <w:widowControl/>
              <w:topLinePunct w:val="0"/>
              <w:spacing w:afterLines="0" w:after="0"/>
              <w:jc w:val="center"/>
              <w:rPr>
                <w:highlight w:val="yellow"/>
              </w:rPr>
            </w:pPr>
            <w:r w:rsidRPr="00042CE0">
              <w:rPr>
                <w:rFonts w:hint="eastAsia"/>
                <w:szCs w:val="24"/>
              </w:rPr>
              <w:t>200</w:t>
            </w:r>
          </w:p>
        </w:tc>
        <w:tc>
          <w:tcPr>
            <w:tcW w:w="3462" w:type="dxa"/>
            <w:tcBorders>
              <w:top w:val="nil"/>
              <w:left w:val="nil"/>
              <w:bottom w:val="nil"/>
              <w:right w:val="nil"/>
            </w:tcBorders>
            <w:shd w:val="clear" w:color="auto" w:fill="auto"/>
            <w:noWrap/>
            <w:vAlign w:val="center"/>
            <w:hideMark/>
          </w:tcPr>
          <w:p w14:paraId="1868360D" w14:textId="1191B646" w:rsidR="00F3186D" w:rsidRPr="00042CE0" w:rsidRDefault="00F3186D" w:rsidP="00F3186D">
            <w:pPr>
              <w:widowControl/>
              <w:topLinePunct w:val="0"/>
              <w:spacing w:afterLines="0" w:after="0"/>
              <w:jc w:val="center"/>
              <w:rPr>
                <w:highlight w:val="yellow"/>
              </w:rPr>
            </w:pPr>
            <w:r w:rsidRPr="00042CE0">
              <w:rPr>
                <w:rFonts w:hint="eastAsia"/>
                <w:sz w:val="22"/>
              </w:rPr>
              <w:t>3.888</w:t>
            </w:r>
            <w:r w:rsidRPr="00042CE0">
              <w:rPr>
                <w:szCs w:val="24"/>
              </w:rPr>
              <w:t xml:space="preserve"> (−0.05%)</w:t>
            </w:r>
          </w:p>
        </w:tc>
        <w:tc>
          <w:tcPr>
            <w:tcW w:w="3462" w:type="dxa"/>
            <w:tcBorders>
              <w:top w:val="nil"/>
              <w:left w:val="nil"/>
              <w:bottom w:val="nil"/>
              <w:right w:val="nil"/>
            </w:tcBorders>
            <w:shd w:val="clear" w:color="auto" w:fill="auto"/>
            <w:noWrap/>
            <w:vAlign w:val="center"/>
            <w:hideMark/>
          </w:tcPr>
          <w:p w14:paraId="70EE49F7" w14:textId="0B0F1CA4" w:rsidR="00F3186D" w:rsidRPr="00042CE0" w:rsidRDefault="00F3186D" w:rsidP="00F3186D">
            <w:pPr>
              <w:widowControl/>
              <w:topLinePunct w:val="0"/>
              <w:spacing w:afterLines="0" w:after="0"/>
              <w:jc w:val="center"/>
              <w:rPr>
                <w:highlight w:val="yellow"/>
              </w:rPr>
            </w:pPr>
            <w:r w:rsidRPr="00042CE0">
              <w:rPr>
                <w:rFonts w:hint="eastAsia"/>
                <w:szCs w:val="24"/>
              </w:rPr>
              <w:t>3.</w:t>
            </w:r>
            <w:r w:rsidRPr="00042CE0">
              <w:rPr>
                <w:szCs w:val="24"/>
              </w:rPr>
              <w:t>885 (−0.13%)</w:t>
            </w:r>
          </w:p>
        </w:tc>
      </w:tr>
      <w:tr w:rsidR="00042CE0" w:rsidRPr="00042CE0" w14:paraId="7D79A84C" w14:textId="77777777" w:rsidTr="00F06061">
        <w:trPr>
          <w:trHeight w:val="270"/>
        </w:trPr>
        <w:tc>
          <w:tcPr>
            <w:tcW w:w="1581" w:type="dxa"/>
            <w:tcBorders>
              <w:top w:val="nil"/>
              <w:left w:val="nil"/>
              <w:bottom w:val="nil"/>
              <w:right w:val="nil"/>
            </w:tcBorders>
            <w:shd w:val="clear" w:color="auto" w:fill="auto"/>
            <w:noWrap/>
            <w:vAlign w:val="center"/>
            <w:hideMark/>
          </w:tcPr>
          <w:p w14:paraId="757C9992" w14:textId="39C99BFA" w:rsidR="00F3186D" w:rsidRPr="00042CE0" w:rsidRDefault="00F3186D" w:rsidP="00F3186D">
            <w:pPr>
              <w:widowControl/>
              <w:topLinePunct w:val="0"/>
              <w:spacing w:afterLines="0" w:after="0"/>
              <w:jc w:val="center"/>
              <w:rPr>
                <w:highlight w:val="yellow"/>
              </w:rPr>
            </w:pPr>
            <w:r w:rsidRPr="00042CE0">
              <w:rPr>
                <w:rFonts w:hint="eastAsia"/>
                <w:szCs w:val="24"/>
              </w:rPr>
              <w:t>220</w:t>
            </w:r>
          </w:p>
        </w:tc>
        <w:tc>
          <w:tcPr>
            <w:tcW w:w="3462" w:type="dxa"/>
            <w:tcBorders>
              <w:top w:val="nil"/>
              <w:left w:val="nil"/>
              <w:bottom w:val="nil"/>
              <w:right w:val="nil"/>
            </w:tcBorders>
            <w:shd w:val="clear" w:color="auto" w:fill="auto"/>
            <w:noWrap/>
            <w:vAlign w:val="center"/>
            <w:hideMark/>
          </w:tcPr>
          <w:p w14:paraId="481C6815" w14:textId="4D01AADB" w:rsidR="00F3186D" w:rsidRPr="00042CE0" w:rsidRDefault="00F3186D" w:rsidP="00F3186D">
            <w:pPr>
              <w:widowControl/>
              <w:topLinePunct w:val="0"/>
              <w:spacing w:afterLines="0" w:after="0"/>
              <w:jc w:val="center"/>
              <w:rPr>
                <w:highlight w:val="yellow"/>
              </w:rPr>
            </w:pPr>
            <w:r w:rsidRPr="00042CE0">
              <w:rPr>
                <w:rFonts w:hint="eastAsia"/>
                <w:sz w:val="22"/>
              </w:rPr>
              <w:t>3.874</w:t>
            </w:r>
            <w:r w:rsidRPr="00042CE0">
              <w:rPr>
                <w:szCs w:val="24"/>
              </w:rPr>
              <w:t xml:space="preserve"> (−0.42%)</w:t>
            </w:r>
          </w:p>
        </w:tc>
        <w:tc>
          <w:tcPr>
            <w:tcW w:w="3462" w:type="dxa"/>
            <w:tcBorders>
              <w:top w:val="nil"/>
              <w:left w:val="nil"/>
              <w:bottom w:val="nil"/>
              <w:right w:val="nil"/>
            </w:tcBorders>
            <w:shd w:val="clear" w:color="auto" w:fill="auto"/>
            <w:noWrap/>
            <w:vAlign w:val="center"/>
            <w:hideMark/>
          </w:tcPr>
          <w:p w14:paraId="04D1BE2E" w14:textId="483C1B5B" w:rsidR="00F3186D" w:rsidRPr="00042CE0" w:rsidRDefault="00F3186D" w:rsidP="00F3186D">
            <w:pPr>
              <w:widowControl/>
              <w:topLinePunct w:val="0"/>
              <w:spacing w:afterLines="0" w:after="0"/>
              <w:jc w:val="center"/>
              <w:rPr>
                <w:highlight w:val="yellow"/>
              </w:rPr>
            </w:pPr>
            <w:r w:rsidRPr="00042CE0">
              <w:rPr>
                <w:rFonts w:hint="eastAsia"/>
                <w:szCs w:val="24"/>
              </w:rPr>
              <w:t>3.8</w:t>
            </w:r>
            <w:r w:rsidRPr="00042CE0">
              <w:rPr>
                <w:szCs w:val="24"/>
              </w:rPr>
              <w:t>79 (−0.29%)</w:t>
            </w:r>
          </w:p>
        </w:tc>
      </w:tr>
      <w:tr w:rsidR="00042CE0" w:rsidRPr="00042CE0" w14:paraId="4A5BC097" w14:textId="77777777" w:rsidTr="00F06061">
        <w:trPr>
          <w:trHeight w:val="270"/>
        </w:trPr>
        <w:tc>
          <w:tcPr>
            <w:tcW w:w="1581" w:type="dxa"/>
            <w:tcBorders>
              <w:top w:val="nil"/>
              <w:left w:val="nil"/>
              <w:bottom w:val="single" w:sz="8" w:space="0" w:color="auto"/>
              <w:right w:val="nil"/>
            </w:tcBorders>
            <w:shd w:val="clear" w:color="auto" w:fill="auto"/>
            <w:noWrap/>
            <w:vAlign w:val="center"/>
            <w:hideMark/>
          </w:tcPr>
          <w:p w14:paraId="3F3A77A7" w14:textId="203692A2" w:rsidR="00F3186D" w:rsidRPr="00042CE0" w:rsidRDefault="00F3186D" w:rsidP="00F3186D">
            <w:pPr>
              <w:widowControl/>
              <w:topLinePunct w:val="0"/>
              <w:spacing w:afterLines="0" w:after="0"/>
              <w:jc w:val="center"/>
              <w:rPr>
                <w:highlight w:val="yellow"/>
              </w:rPr>
            </w:pPr>
            <w:r w:rsidRPr="00042CE0">
              <w:rPr>
                <w:rFonts w:hint="eastAsia"/>
                <w:szCs w:val="24"/>
              </w:rPr>
              <w:t>311</w:t>
            </w:r>
          </w:p>
        </w:tc>
        <w:tc>
          <w:tcPr>
            <w:tcW w:w="3462" w:type="dxa"/>
            <w:tcBorders>
              <w:top w:val="nil"/>
              <w:left w:val="nil"/>
              <w:bottom w:val="single" w:sz="8" w:space="0" w:color="auto"/>
              <w:right w:val="nil"/>
            </w:tcBorders>
            <w:shd w:val="clear" w:color="auto" w:fill="auto"/>
            <w:noWrap/>
            <w:vAlign w:val="center"/>
            <w:hideMark/>
          </w:tcPr>
          <w:p w14:paraId="410D07E0" w14:textId="778EB8F4" w:rsidR="00F3186D" w:rsidRPr="00042CE0" w:rsidRDefault="00F3186D" w:rsidP="00F3186D">
            <w:pPr>
              <w:widowControl/>
              <w:topLinePunct w:val="0"/>
              <w:spacing w:afterLines="0" w:after="0"/>
              <w:jc w:val="center"/>
              <w:rPr>
                <w:highlight w:val="yellow"/>
              </w:rPr>
            </w:pPr>
            <w:r w:rsidRPr="00042CE0">
              <w:rPr>
                <w:rFonts w:hint="eastAsia"/>
                <w:sz w:val="22"/>
              </w:rPr>
              <w:t>3.882</w:t>
            </w:r>
            <w:r w:rsidRPr="00042CE0">
              <w:rPr>
                <w:szCs w:val="24"/>
              </w:rPr>
              <w:t xml:space="preserve"> (−0.21%)</w:t>
            </w:r>
          </w:p>
        </w:tc>
        <w:tc>
          <w:tcPr>
            <w:tcW w:w="3462" w:type="dxa"/>
            <w:tcBorders>
              <w:top w:val="nil"/>
              <w:left w:val="nil"/>
              <w:bottom w:val="single" w:sz="8" w:space="0" w:color="auto"/>
              <w:right w:val="nil"/>
            </w:tcBorders>
            <w:shd w:val="clear" w:color="auto" w:fill="auto"/>
            <w:noWrap/>
            <w:vAlign w:val="center"/>
            <w:hideMark/>
          </w:tcPr>
          <w:p w14:paraId="2BF3FDC9" w14:textId="5872C675" w:rsidR="00F3186D" w:rsidRPr="00042CE0" w:rsidRDefault="00F3186D" w:rsidP="00F3186D">
            <w:pPr>
              <w:widowControl/>
              <w:topLinePunct w:val="0"/>
              <w:spacing w:afterLines="0" w:after="0"/>
              <w:jc w:val="center"/>
              <w:rPr>
                <w:highlight w:val="yellow"/>
              </w:rPr>
            </w:pPr>
            <w:r w:rsidRPr="00042CE0">
              <w:rPr>
                <w:rFonts w:hint="eastAsia"/>
                <w:szCs w:val="24"/>
              </w:rPr>
              <w:t>3.8</w:t>
            </w:r>
            <w:r w:rsidRPr="00042CE0">
              <w:rPr>
                <w:szCs w:val="24"/>
              </w:rPr>
              <w:t>89 (−0.04%)</w:t>
            </w:r>
          </w:p>
        </w:tc>
      </w:tr>
      <w:tr w:rsidR="00F3186D" w:rsidRPr="00042CE0" w14:paraId="17C1AF7A" w14:textId="77777777" w:rsidTr="00F06061">
        <w:trPr>
          <w:trHeight w:val="270"/>
        </w:trPr>
        <w:tc>
          <w:tcPr>
            <w:tcW w:w="1581" w:type="dxa"/>
            <w:tcBorders>
              <w:top w:val="single" w:sz="8" w:space="0" w:color="auto"/>
              <w:left w:val="nil"/>
              <w:bottom w:val="single" w:sz="8" w:space="0" w:color="auto"/>
              <w:right w:val="nil"/>
            </w:tcBorders>
            <w:shd w:val="clear" w:color="auto" w:fill="auto"/>
            <w:noWrap/>
            <w:vAlign w:val="center"/>
            <w:hideMark/>
          </w:tcPr>
          <w:p w14:paraId="3CF84004" w14:textId="64030336" w:rsidR="00F3186D" w:rsidRPr="00042CE0" w:rsidRDefault="00F3186D" w:rsidP="00F3186D">
            <w:pPr>
              <w:widowControl/>
              <w:topLinePunct w:val="0"/>
              <w:spacing w:afterLines="0" w:after="0"/>
              <w:jc w:val="center"/>
              <w:rPr>
                <w:highlight w:val="yellow"/>
              </w:rPr>
            </w:pPr>
            <w:r w:rsidRPr="00042CE0">
              <w:rPr>
                <w:rFonts w:hint="eastAsia"/>
                <w:szCs w:val="24"/>
              </w:rPr>
              <w:t>Average</w:t>
            </w:r>
          </w:p>
        </w:tc>
        <w:tc>
          <w:tcPr>
            <w:tcW w:w="3462" w:type="dxa"/>
            <w:tcBorders>
              <w:top w:val="single" w:sz="8" w:space="0" w:color="auto"/>
              <w:left w:val="nil"/>
              <w:bottom w:val="single" w:sz="8" w:space="0" w:color="auto"/>
              <w:right w:val="nil"/>
            </w:tcBorders>
            <w:shd w:val="clear" w:color="auto" w:fill="auto"/>
            <w:noWrap/>
            <w:vAlign w:val="center"/>
            <w:hideMark/>
          </w:tcPr>
          <w:p w14:paraId="1ABCA728" w14:textId="0C84061E" w:rsidR="00F3186D" w:rsidRPr="00042CE0" w:rsidRDefault="00F3186D" w:rsidP="00F3186D">
            <w:pPr>
              <w:widowControl/>
              <w:topLinePunct w:val="0"/>
              <w:spacing w:afterLines="0" w:after="0"/>
              <w:jc w:val="center"/>
              <w:rPr>
                <w:highlight w:val="yellow"/>
              </w:rPr>
            </w:pPr>
            <w:r w:rsidRPr="00042CE0">
              <w:rPr>
                <w:rFonts w:hint="eastAsia"/>
                <w:szCs w:val="24"/>
              </w:rPr>
              <w:t>3.8</w:t>
            </w:r>
            <w:r w:rsidRPr="00042CE0">
              <w:rPr>
                <w:szCs w:val="24"/>
              </w:rPr>
              <w:t>81 (−0.24%)</w:t>
            </w:r>
          </w:p>
        </w:tc>
        <w:tc>
          <w:tcPr>
            <w:tcW w:w="3462" w:type="dxa"/>
            <w:tcBorders>
              <w:top w:val="single" w:sz="8" w:space="0" w:color="auto"/>
              <w:left w:val="nil"/>
              <w:bottom w:val="single" w:sz="8" w:space="0" w:color="auto"/>
              <w:right w:val="nil"/>
            </w:tcBorders>
            <w:shd w:val="clear" w:color="auto" w:fill="auto"/>
            <w:noWrap/>
            <w:vAlign w:val="center"/>
            <w:hideMark/>
          </w:tcPr>
          <w:p w14:paraId="52656ADE" w14:textId="4202C9E3" w:rsidR="00F3186D" w:rsidRPr="00042CE0" w:rsidRDefault="00F3186D" w:rsidP="00F3186D">
            <w:pPr>
              <w:widowControl/>
              <w:topLinePunct w:val="0"/>
              <w:spacing w:afterLines="0" w:after="0"/>
              <w:jc w:val="center"/>
              <w:rPr>
                <w:highlight w:val="yellow"/>
              </w:rPr>
            </w:pPr>
            <w:r w:rsidRPr="00042CE0">
              <w:rPr>
                <w:rFonts w:hint="eastAsia"/>
                <w:szCs w:val="24"/>
              </w:rPr>
              <w:t>3.8</w:t>
            </w:r>
            <w:r w:rsidRPr="00042CE0">
              <w:rPr>
                <w:szCs w:val="24"/>
              </w:rPr>
              <w:t>83 (−0.19%)</w:t>
            </w:r>
          </w:p>
        </w:tc>
      </w:tr>
    </w:tbl>
    <w:p w14:paraId="0DD5E069" w14:textId="4D746EFE" w:rsidR="00CF11EF" w:rsidRPr="00042CE0" w:rsidRDefault="00CF11EF">
      <w:pPr>
        <w:widowControl/>
        <w:topLinePunct w:val="0"/>
        <w:spacing w:afterLines="0" w:after="0" w:line="240" w:lineRule="auto"/>
        <w:jc w:val="left"/>
        <w:rPr>
          <w:szCs w:val="24"/>
        </w:rPr>
      </w:pPr>
    </w:p>
    <w:p w14:paraId="2C6D263E" w14:textId="77777777" w:rsidR="00FF666A" w:rsidRPr="00042CE0" w:rsidRDefault="00FF666A">
      <w:pPr>
        <w:widowControl/>
        <w:topLinePunct w:val="0"/>
        <w:spacing w:afterLines="0" w:after="0" w:line="240" w:lineRule="auto"/>
        <w:jc w:val="left"/>
        <w:rPr>
          <w:szCs w:val="24"/>
        </w:rPr>
      </w:pPr>
    </w:p>
    <w:p w14:paraId="0C94E795" w14:textId="77777777" w:rsidR="00FF666A" w:rsidRPr="00042CE0" w:rsidRDefault="00FF666A">
      <w:pPr>
        <w:widowControl/>
        <w:topLinePunct w:val="0"/>
        <w:spacing w:afterLines="0" w:after="0" w:line="240" w:lineRule="auto"/>
        <w:jc w:val="left"/>
        <w:rPr>
          <w:szCs w:val="24"/>
        </w:rPr>
      </w:pPr>
      <w:r w:rsidRPr="00042CE0">
        <w:rPr>
          <w:szCs w:val="24"/>
        </w:rPr>
        <w:br w:type="page"/>
      </w:r>
    </w:p>
    <w:p w14:paraId="1B095C47" w14:textId="43AFFE32" w:rsidR="00F70247" w:rsidRPr="00042CE0" w:rsidRDefault="00CF11EF" w:rsidP="00CF11EF">
      <w:pPr>
        <w:spacing w:after="240"/>
        <w:rPr>
          <w:szCs w:val="24"/>
        </w:rPr>
      </w:pPr>
      <w:r w:rsidRPr="00042CE0">
        <w:rPr>
          <w:szCs w:val="24"/>
        </w:rPr>
        <w:lastRenderedPageBreak/>
        <w:t xml:space="preserve">Table </w:t>
      </w:r>
      <w:r w:rsidR="009B50CE" w:rsidRPr="009B50CE">
        <w:rPr>
          <w:szCs w:val="24"/>
          <w:highlight w:val="yellow"/>
        </w:rPr>
        <w:t>II</w:t>
      </w:r>
      <w:r w:rsidRPr="00042CE0">
        <w:rPr>
          <w:szCs w:val="24"/>
        </w:rPr>
        <w:t xml:space="preserve">. </w:t>
      </w:r>
      <w:r w:rsidR="0067190B">
        <w:rPr>
          <w:szCs w:val="24"/>
        </w:rPr>
        <w:t>M</w:t>
      </w:r>
      <w:r w:rsidR="00F70247" w:rsidRPr="00042CE0">
        <w:rPr>
          <w:szCs w:val="24"/>
        </w:rPr>
        <w:t xml:space="preserve">ost stable </w:t>
      </w:r>
      <w:r w:rsidR="00BA0F25" w:rsidRPr="00042CE0">
        <w:rPr>
          <w:szCs w:val="24"/>
        </w:rPr>
        <w:t>binding</w:t>
      </w:r>
      <w:r w:rsidR="00F70247" w:rsidRPr="00042CE0">
        <w:rPr>
          <w:szCs w:val="24"/>
        </w:rPr>
        <w:t xml:space="preserve"> sites, their </w:t>
      </w:r>
      <w:r w:rsidR="00BA0F25" w:rsidRPr="00042CE0">
        <w:rPr>
          <w:szCs w:val="24"/>
        </w:rPr>
        <w:t>binding</w:t>
      </w:r>
      <w:r w:rsidR="00F70247" w:rsidRPr="00042CE0">
        <w:rPr>
          <w:szCs w:val="24"/>
        </w:rPr>
        <w:t xml:space="preserve"> energies and d-band centers</w:t>
      </w:r>
      <w:r w:rsidR="00135DA1" w:rsidRPr="00042CE0">
        <w:rPr>
          <w:szCs w:val="24"/>
        </w:rPr>
        <w:t xml:space="preserve"> by </w:t>
      </w:r>
      <w:r w:rsidR="00135DA1" w:rsidRPr="00042CE0">
        <w:t>first-principles calculations on binding of O and O</w:t>
      </w:r>
      <w:r w:rsidR="00135DA1" w:rsidRPr="00042CE0">
        <w:rPr>
          <w:vertAlign w:val="subscript"/>
        </w:rPr>
        <w:t>2</w:t>
      </w:r>
      <w:r w:rsidR="00135DA1" w:rsidRPr="00042CE0">
        <w:t xml:space="preserve"> to (111) </w:t>
      </w:r>
      <w:proofErr w:type="spellStart"/>
      <w:r w:rsidR="00135DA1" w:rsidRPr="00042CE0">
        <w:t>Pd</w:t>
      </w:r>
      <w:proofErr w:type="spellEnd"/>
      <w:r w:rsidR="00135DA1" w:rsidRPr="00042CE0">
        <w:t xml:space="preserve"> and </w:t>
      </w:r>
      <w:proofErr w:type="spellStart"/>
      <w:r w:rsidR="00135DA1" w:rsidRPr="00042CE0">
        <w:t>PdCu</w:t>
      </w:r>
      <w:proofErr w:type="spellEnd"/>
      <w:r w:rsidR="00135DA1" w:rsidRPr="00042CE0">
        <w:t xml:space="preserve"> surfaces</w:t>
      </w:r>
      <w:r w:rsidR="00F70247" w:rsidRPr="00042CE0">
        <w:rPr>
          <w:rFonts w:hint="eastAsia"/>
          <w:szCs w:val="24"/>
        </w:rPr>
        <w:t>.</w:t>
      </w:r>
      <w:r w:rsidR="00F70247" w:rsidRPr="00042CE0">
        <w:rPr>
          <w:szCs w:val="24"/>
        </w:rPr>
        <w:t xml:space="preserve"> </w:t>
      </w:r>
    </w:p>
    <w:tbl>
      <w:tblPr>
        <w:tblStyle w:val="af5"/>
        <w:tblW w:w="0" w:type="auto"/>
        <w:tblLook w:val="04A0" w:firstRow="1" w:lastRow="0" w:firstColumn="1" w:lastColumn="0" w:noHBand="0" w:noVBand="1"/>
      </w:tblPr>
      <w:tblGrid>
        <w:gridCol w:w="741"/>
        <w:gridCol w:w="530"/>
        <w:gridCol w:w="851"/>
        <w:gridCol w:w="2126"/>
        <w:gridCol w:w="2126"/>
        <w:gridCol w:w="2120"/>
      </w:tblGrid>
      <w:tr w:rsidR="00042CE0" w:rsidRPr="00042CE0" w14:paraId="5017B2E4" w14:textId="77777777" w:rsidTr="00493680">
        <w:trPr>
          <w:trHeight w:val="930"/>
        </w:trPr>
        <w:tc>
          <w:tcPr>
            <w:tcW w:w="1271" w:type="dxa"/>
            <w:gridSpan w:val="2"/>
            <w:tcBorders>
              <w:left w:val="nil"/>
              <w:right w:val="nil"/>
            </w:tcBorders>
            <w:vAlign w:val="center"/>
          </w:tcPr>
          <w:p w14:paraId="761A4616" w14:textId="29BAEC7F" w:rsidR="00FC1D4F" w:rsidRPr="00042CE0" w:rsidRDefault="0049378F" w:rsidP="00493680">
            <w:pPr>
              <w:spacing w:after="240"/>
              <w:jc w:val="center"/>
            </w:pPr>
            <w:r w:rsidRPr="00042CE0">
              <w:rPr>
                <w:rFonts w:hint="eastAsia"/>
              </w:rPr>
              <w:t>S</w:t>
            </w:r>
            <w:r w:rsidRPr="00042CE0">
              <w:t>ystem</w:t>
            </w:r>
          </w:p>
        </w:tc>
        <w:tc>
          <w:tcPr>
            <w:tcW w:w="851" w:type="dxa"/>
            <w:tcBorders>
              <w:left w:val="nil"/>
              <w:right w:val="nil"/>
            </w:tcBorders>
            <w:vAlign w:val="center"/>
          </w:tcPr>
          <w:p w14:paraId="654FC849" w14:textId="140C04E7" w:rsidR="00FC1D4F" w:rsidRPr="00042CE0" w:rsidRDefault="00DC0B2B" w:rsidP="00493680">
            <w:pPr>
              <w:spacing w:after="240"/>
              <w:jc w:val="center"/>
            </w:pPr>
            <w:r w:rsidRPr="00042CE0">
              <w:rPr>
                <w:rFonts w:hint="eastAsia"/>
              </w:rPr>
              <w:t>S</w:t>
            </w:r>
            <w:r w:rsidRPr="00042CE0">
              <w:t>train</w:t>
            </w:r>
          </w:p>
        </w:tc>
        <w:tc>
          <w:tcPr>
            <w:tcW w:w="2126" w:type="dxa"/>
            <w:tcBorders>
              <w:left w:val="nil"/>
              <w:right w:val="nil"/>
            </w:tcBorders>
            <w:vAlign w:val="center"/>
          </w:tcPr>
          <w:p w14:paraId="68FFA2BD" w14:textId="7C29AFFE" w:rsidR="00FC1D4F" w:rsidRPr="00042CE0" w:rsidRDefault="00BA0F25" w:rsidP="00493680">
            <w:pPr>
              <w:spacing w:after="240"/>
              <w:jc w:val="center"/>
            </w:pPr>
            <w:r w:rsidRPr="00042CE0">
              <w:t>Stable binding</w:t>
            </w:r>
            <w:r w:rsidR="00FC1D4F" w:rsidRPr="00042CE0">
              <w:t xml:space="preserve"> site</w:t>
            </w:r>
          </w:p>
        </w:tc>
        <w:tc>
          <w:tcPr>
            <w:tcW w:w="2126" w:type="dxa"/>
            <w:tcBorders>
              <w:left w:val="nil"/>
              <w:right w:val="nil"/>
            </w:tcBorders>
            <w:vAlign w:val="center"/>
          </w:tcPr>
          <w:p w14:paraId="32132A77" w14:textId="41853B49" w:rsidR="00FC1D4F" w:rsidRPr="00042CE0" w:rsidRDefault="00BA0F25" w:rsidP="00493680">
            <w:pPr>
              <w:spacing w:after="240"/>
              <w:jc w:val="center"/>
            </w:pPr>
            <w:r w:rsidRPr="00042CE0">
              <w:rPr>
                <w:szCs w:val="24"/>
              </w:rPr>
              <w:t>Binding</w:t>
            </w:r>
            <w:r w:rsidR="00FC1D4F" w:rsidRPr="00042CE0">
              <w:t xml:space="preserve"> energy</w:t>
            </w:r>
            <w:r w:rsidR="00493680">
              <w:br/>
            </w:r>
            <w:r w:rsidR="001D53FD" w:rsidRPr="00042CE0">
              <w:t>(eV)</w:t>
            </w:r>
          </w:p>
        </w:tc>
        <w:tc>
          <w:tcPr>
            <w:tcW w:w="2120" w:type="dxa"/>
            <w:tcBorders>
              <w:left w:val="nil"/>
              <w:right w:val="nil"/>
            </w:tcBorders>
            <w:vAlign w:val="center"/>
          </w:tcPr>
          <w:p w14:paraId="2450F019" w14:textId="2B1648BC" w:rsidR="00FC1D4F" w:rsidRPr="00042CE0" w:rsidRDefault="00726ECA" w:rsidP="00493680">
            <w:pPr>
              <w:spacing w:after="240"/>
              <w:jc w:val="center"/>
            </w:pPr>
            <w:r w:rsidRPr="00042CE0">
              <w:t>d</w:t>
            </w:r>
            <w:r w:rsidR="00FC1D4F" w:rsidRPr="00042CE0">
              <w:t>-band center</w:t>
            </w:r>
            <w:r w:rsidR="00493680">
              <w:br/>
            </w:r>
            <w:r w:rsidR="00764C20" w:rsidRPr="00042CE0">
              <w:t>(eV)</w:t>
            </w:r>
          </w:p>
        </w:tc>
      </w:tr>
      <w:tr w:rsidR="00042CE0" w:rsidRPr="00042CE0" w14:paraId="51E570FF" w14:textId="77777777" w:rsidTr="00493680">
        <w:trPr>
          <w:trHeight w:val="334"/>
        </w:trPr>
        <w:tc>
          <w:tcPr>
            <w:tcW w:w="741" w:type="dxa"/>
            <w:vMerge w:val="restart"/>
            <w:tcBorders>
              <w:left w:val="nil"/>
              <w:right w:val="nil"/>
            </w:tcBorders>
          </w:tcPr>
          <w:p w14:paraId="283A5096" w14:textId="0EC9A27A" w:rsidR="002E1D75" w:rsidRPr="00042CE0" w:rsidRDefault="00726ECA" w:rsidP="00493680">
            <w:pPr>
              <w:pStyle w:val="af6"/>
              <w:spacing w:after="240"/>
              <w:jc w:val="center"/>
            </w:pPr>
            <w:proofErr w:type="spellStart"/>
            <w:r w:rsidRPr="00042CE0">
              <w:t>Pd</w:t>
            </w:r>
            <w:proofErr w:type="spellEnd"/>
          </w:p>
        </w:tc>
        <w:tc>
          <w:tcPr>
            <w:tcW w:w="530" w:type="dxa"/>
            <w:vMerge w:val="restart"/>
            <w:tcBorders>
              <w:left w:val="nil"/>
              <w:right w:val="nil"/>
            </w:tcBorders>
          </w:tcPr>
          <w:p w14:paraId="3836BD6E" w14:textId="3F4871AA" w:rsidR="002E1D75" w:rsidRPr="00042CE0" w:rsidRDefault="002E1D75" w:rsidP="002E1D75">
            <w:pPr>
              <w:pStyle w:val="af6"/>
              <w:spacing w:after="240"/>
            </w:pPr>
            <w:r w:rsidRPr="00042CE0">
              <w:rPr>
                <w:rFonts w:hint="eastAsia"/>
              </w:rPr>
              <w:t>O</w:t>
            </w:r>
          </w:p>
        </w:tc>
        <w:tc>
          <w:tcPr>
            <w:tcW w:w="851" w:type="dxa"/>
            <w:tcBorders>
              <w:left w:val="nil"/>
              <w:bottom w:val="nil"/>
              <w:right w:val="nil"/>
            </w:tcBorders>
          </w:tcPr>
          <w:p w14:paraId="27824884" w14:textId="6746FBF0" w:rsidR="002E1D75" w:rsidRPr="00042CE0" w:rsidRDefault="002E1D75" w:rsidP="00493680">
            <w:pPr>
              <w:pStyle w:val="af6"/>
              <w:spacing w:after="240"/>
              <w:ind w:firstLineChars="50" w:firstLine="120"/>
              <w:jc w:val="center"/>
            </w:pPr>
            <w:r w:rsidRPr="00042CE0">
              <w:rPr>
                <w:rFonts w:hint="eastAsia"/>
              </w:rPr>
              <w:t>0</w:t>
            </w:r>
            <w:r w:rsidRPr="00042CE0">
              <w:t>%</w:t>
            </w:r>
          </w:p>
        </w:tc>
        <w:tc>
          <w:tcPr>
            <w:tcW w:w="2126" w:type="dxa"/>
            <w:tcBorders>
              <w:left w:val="nil"/>
              <w:bottom w:val="nil"/>
              <w:right w:val="nil"/>
            </w:tcBorders>
          </w:tcPr>
          <w:p w14:paraId="270DEE51" w14:textId="2B7A776F" w:rsidR="002E1D75" w:rsidRPr="00042CE0" w:rsidRDefault="002E1D75" w:rsidP="00493680">
            <w:pPr>
              <w:pStyle w:val="af6"/>
              <w:spacing w:after="240"/>
              <w:jc w:val="center"/>
            </w:pPr>
            <w:proofErr w:type="spellStart"/>
            <w:r w:rsidRPr="00042CE0">
              <w:t>fcc</w:t>
            </w:r>
            <w:proofErr w:type="spellEnd"/>
          </w:p>
        </w:tc>
        <w:tc>
          <w:tcPr>
            <w:tcW w:w="2126" w:type="dxa"/>
            <w:tcBorders>
              <w:left w:val="nil"/>
              <w:bottom w:val="nil"/>
              <w:right w:val="nil"/>
            </w:tcBorders>
          </w:tcPr>
          <w:p w14:paraId="5C7C6C98" w14:textId="2A50D420" w:rsidR="002E1D75" w:rsidRPr="00042CE0" w:rsidRDefault="002E1D75" w:rsidP="00493680">
            <w:pPr>
              <w:pStyle w:val="af6"/>
              <w:spacing w:after="240"/>
              <w:jc w:val="center"/>
            </w:pPr>
            <w:r w:rsidRPr="00042CE0">
              <w:rPr>
                <w:szCs w:val="24"/>
              </w:rPr>
              <w:t>−</w:t>
            </w:r>
            <w:r w:rsidR="009F450C" w:rsidRPr="00042CE0">
              <w:rPr>
                <w:szCs w:val="24"/>
              </w:rPr>
              <w:t>5.05</w:t>
            </w:r>
          </w:p>
        </w:tc>
        <w:tc>
          <w:tcPr>
            <w:tcW w:w="2120" w:type="dxa"/>
            <w:tcBorders>
              <w:left w:val="nil"/>
              <w:bottom w:val="nil"/>
              <w:right w:val="nil"/>
            </w:tcBorders>
          </w:tcPr>
          <w:p w14:paraId="2C5EF4E3" w14:textId="2DB0F6C2" w:rsidR="002E1D75" w:rsidRPr="00042CE0" w:rsidRDefault="002E1D75" w:rsidP="00493680">
            <w:pPr>
              <w:pStyle w:val="af6"/>
              <w:spacing w:after="240"/>
              <w:jc w:val="center"/>
            </w:pPr>
            <w:r w:rsidRPr="00042CE0">
              <w:rPr>
                <w:szCs w:val="24"/>
              </w:rPr>
              <w:t>−</w:t>
            </w:r>
            <w:r w:rsidR="004C4132" w:rsidRPr="00042CE0">
              <w:rPr>
                <w:szCs w:val="24"/>
              </w:rPr>
              <w:t>1.01</w:t>
            </w:r>
          </w:p>
        </w:tc>
      </w:tr>
      <w:tr w:rsidR="00042CE0" w:rsidRPr="00042CE0" w14:paraId="518EC7D2" w14:textId="77777777" w:rsidTr="00493680">
        <w:trPr>
          <w:trHeight w:val="260"/>
        </w:trPr>
        <w:tc>
          <w:tcPr>
            <w:tcW w:w="741" w:type="dxa"/>
            <w:vMerge/>
            <w:tcBorders>
              <w:left w:val="nil"/>
              <w:right w:val="nil"/>
            </w:tcBorders>
          </w:tcPr>
          <w:p w14:paraId="0ED8EDC6" w14:textId="77777777" w:rsidR="002E1D75" w:rsidRPr="00042CE0" w:rsidRDefault="002E1D75" w:rsidP="00493680">
            <w:pPr>
              <w:pStyle w:val="af6"/>
              <w:spacing w:after="240"/>
              <w:jc w:val="center"/>
            </w:pPr>
          </w:p>
        </w:tc>
        <w:tc>
          <w:tcPr>
            <w:tcW w:w="530" w:type="dxa"/>
            <w:vMerge/>
            <w:tcBorders>
              <w:left w:val="nil"/>
              <w:right w:val="nil"/>
            </w:tcBorders>
          </w:tcPr>
          <w:p w14:paraId="33266E5E" w14:textId="77777777" w:rsidR="002E1D75" w:rsidRPr="00042CE0" w:rsidRDefault="002E1D75" w:rsidP="002E1D75">
            <w:pPr>
              <w:pStyle w:val="af6"/>
              <w:spacing w:after="240"/>
            </w:pPr>
          </w:p>
        </w:tc>
        <w:tc>
          <w:tcPr>
            <w:tcW w:w="851" w:type="dxa"/>
            <w:tcBorders>
              <w:top w:val="nil"/>
              <w:left w:val="nil"/>
              <w:bottom w:val="nil"/>
              <w:right w:val="nil"/>
            </w:tcBorders>
          </w:tcPr>
          <w:p w14:paraId="6464D0C8" w14:textId="7C5F5115" w:rsidR="002E1D75" w:rsidRPr="00042CE0" w:rsidRDefault="002E1D75" w:rsidP="00493680">
            <w:pPr>
              <w:pStyle w:val="af6"/>
              <w:spacing w:after="240"/>
              <w:jc w:val="center"/>
            </w:pPr>
            <w:r w:rsidRPr="00042CE0">
              <w:rPr>
                <w:rFonts w:hint="eastAsia"/>
              </w:rPr>
              <w:t>+</w:t>
            </w:r>
            <w:r w:rsidRPr="00042CE0">
              <w:t>2%</w:t>
            </w:r>
          </w:p>
        </w:tc>
        <w:tc>
          <w:tcPr>
            <w:tcW w:w="2126" w:type="dxa"/>
            <w:tcBorders>
              <w:top w:val="nil"/>
              <w:left w:val="nil"/>
              <w:bottom w:val="nil"/>
              <w:right w:val="nil"/>
            </w:tcBorders>
          </w:tcPr>
          <w:p w14:paraId="0AAA712F" w14:textId="3F2FA5D5" w:rsidR="002E1D75" w:rsidRPr="00042CE0" w:rsidRDefault="002E1D75" w:rsidP="00493680">
            <w:pPr>
              <w:pStyle w:val="af6"/>
              <w:spacing w:after="240"/>
              <w:jc w:val="center"/>
            </w:pPr>
            <w:proofErr w:type="spellStart"/>
            <w:r w:rsidRPr="00042CE0">
              <w:t>fcc</w:t>
            </w:r>
            <w:proofErr w:type="spellEnd"/>
          </w:p>
        </w:tc>
        <w:tc>
          <w:tcPr>
            <w:tcW w:w="2126" w:type="dxa"/>
            <w:tcBorders>
              <w:top w:val="nil"/>
              <w:left w:val="nil"/>
              <w:bottom w:val="nil"/>
              <w:right w:val="nil"/>
            </w:tcBorders>
          </w:tcPr>
          <w:p w14:paraId="47C4DA76" w14:textId="3C6883FE" w:rsidR="002E1D75" w:rsidRPr="00042CE0" w:rsidRDefault="002E1D75" w:rsidP="00493680">
            <w:pPr>
              <w:pStyle w:val="af6"/>
              <w:spacing w:after="240"/>
              <w:jc w:val="center"/>
            </w:pPr>
            <w:r w:rsidRPr="00042CE0">
              <w:rPr>
                <w:szCs w:val="24"/>
              </w:rPr>
              <w:t>−</w:t>
            </w:r>
            <w:r w:rsidR="009F450C" w:rsidRPr="00042CE0">
              <w:rPr>
                <w:szCs w:val="24"/>
              </w:rPr>
              <w:t>5.10</w:t>
            </w:r>
          </w:p>
        </w:tc>
        <w:tc>
          <w:tcPr>
            <w:tcW w:w="2120" w:type="dxa"/>
            <w:tcBorders>
              <w:top w:val="nil"/>
              <w:left w:val="nil"/>
              <w:bottom w:val="nil"/>
              <w:right w:val="nil"/>
            </w:tcBorders>
          </w:tcPr>
          <w:p w14:paraId="65FDB828" w14:textId="0C92A9E0" w:rsidR="002E1D75" w:rsidRPr="00042CE0" w:rsidRDefault="002E1D75" w:rsidP="00493680">
            <w:pPr>
              <w:pStyle w:val="af6"/>
              <w:spacing w:after="240"/>
              <w:jc w:val="center"/>
            </w:pPr>
            <w:r w:rsidRPr="00042CE0">
              <w:rPr>
                <w:szCs w:val="24"/>
              </w:rPr>
              <w:t>−</w:t>
            </w:r>
            <w:r w:rsidR="004C4132" w:rsidRPr="00042CE0">
              <w:rPr>
                <w:szCs w:val="24"/>
              </w:rPr>
              <w:t>1.01</w:t>
            </w:r>
          </w:p>
        </w:tc>
      </w:tr>
      <w:tr w:rsidR="00042CE0" w:rsidRPr="00042CE0" w14:paraId="504A6212" w14:textId="77777777" w:rsidTr="00493680">
        <w:trPr>
          <w:trHeight w:val="260"/>
        </w:trPr>
        <w:tc>
          <w:tcPr>
            <w:tcW w:w="741" w:type="dxa"/>
            <w:vMerge/>
            <w:tcBorders>
              <w:left w:val="nil"/>
              <w:right w:val="nil"/>
            </w:tcBorders>
          </w:tcPr>
          <w:p w14:paraId="6D94B5B4" w14:textId="77777777" w:rsidR="002E1D75" w:rsidRPr="00042CE0" w:rsidRDefault="002E1D75" w:rsidP="00493680">
            <w:pPr>
              <w:pStyle w:val="af6"/>
              <w:spacing w:after="240"/>
              <w:jc w:val="center"/>
            </w:pPr>
          </w:p>
        </w:tc>
        <w:tc>
          <w:tcPr>
            <w:tcW w:w="530" w:type="dxa"/>
            <w:vMerge/>
            <w:tcBorders>
              <w:left w:val="nil"/>
              <w:right w:val="nil"/>
            </w:tcBorders>
          </w:tcPr>
          <w:p w14:paraId="7D0BA23D" w14:textId="77777777" w:rsidR="002E1D75" w:rsidRPr="00042CE0" w:rsidRDefault="002E1D75" w:rsidP="002E1D75">
            <w:pPr>
              <w:pStyle w:val="af6"/>
              <w:spacing w:after="240"/>
            </w:pPr>
          </w:p>
        </w:tc>
        <w:tc>
          <w:tcPr>
            <w:tcW w:w="851" w:type="dxa"/>
            <w:tcBorders>
              <w:top w:val="nil"/>
              <w:left w:val="nil"/>
              <w:right w:val="nil"/>
            </w:tcBorders>
          </w:tcPr>
          <w:p w14:paraId="425BF512" w14:textId="48E7B3A8" w:rsidR="002E1D75" w:rsidRPr="00042CE0" w:rsidRDefault="002E1D75" w:rsidP="00493680">
            <w:pPr>
              <w:pStyle w:val="af6"/>
              <w:spacing w:after="240"/>
              <w:jc w:val="center"/>
            </w:pPr>
            <w:r w:rsidRPr="00042CE0">
              <w:rPr>
                <w:szCs w:val="24"/>
              </w:rPr>
              <w:t>−2%</w:t>
            </w:r>
          </w:p>
        </w:tc>
        <w:tc>
          <w:tcPr>
            <w:tcW w:w="2126" w:type="dxa"/>
            <w:tcBorders>
              <w:top w:val="nil"/>
              <w:left w:val="nil"/>
              <w:right w:val="nil"/>
            </w:tcBorders>
          </w:tcPr>
          <w:p w14:paraId="5CD59791" w14:textId="02E1BEC1" w:rsidR="002E1D75" w:rsidRPr="00042CE0" w:rsidRDefault="002E1D75" w:rsidP="00493680">
            <w:pPr>
              <w:pStyle w:val="af6"/>
              <w:spacing w:after="240"/>
              <w:jc w:val="center"/>
            </w:pPr>
            <w:proofErr w:type="spellStart"/>
            <w:r w:rsidRPr="00042CE0">
              <w:t>fcc</w:t>
            </w:r>
            <w:proofErr w:type="spellEnd"/>
          </w:p>
        </w:tc>
        <w:tc>
          <w:tcPr>
            <w:tcW w:w="2126" w:type="dxa"/>
            <w:tcBorders>
              <w:top w:val="nil"/>
              <w:left w:val="nil"/>
              <w:right w:val="nil"/>
            </w:tcBorders>
          </w:tcPr>
          <w:p w14:paraId="09248253" w14:textId="3395C0B0" w:rsidR="002E1D75" w:rsidRPr="00042CE0" w:rsidRDefault="002E1D75" w:rsidP="00493680">
            <w:pPr>
              <w:pStyle w:val="af6"/>
              <w:spacing w:after="240"/>
              <w:jc w:val="center"/>
            </w:pPr>
            <w:r w:rsidRPr="00042CE0">
              <w:rPr>
                <w:szCs w:val="24"/>
              </w:rPr>
              <w:t>−</w:t>
            </w:r>
            <w:r w:rsidR="009F450C" w:rsidRPr="00042CE0">
              <w:rPr>
                <w:szCs w:val="24"/>
              </w:rPr>
              <w:t>4.99</w:t>
            </w:r>
          </w:p>
        </w:tc>
        <w:tc>
          <w:tcPr>
            <w:tcW w:w="2120" w:type="dxa"/>
            <w:tcBorders>
              <w:top w:val="nil"/>
              <w:left w:val="nil"/>
              <w:right w:val="nil"/>
            </w:tcBorders>
          </w:tcPr>
          <w:p w14:paraId="58A86C2A" w14:textId="5D301C15" w:rsidR="002E1D75" w:rsidRPr="00042CE0" w:rsidRDefault="002E1D75" w:rsidP="00493680">
            <w:pPr>
              <w:pStyle w:val="af6"/>
              <w:spacing w:after="240"/>
              <w:jc w:val="center"/>
            </w:pPr>
            <w:r w:rsidRPr="00042CE0">
              <w:rPr>
                <w:szCs w:val="24"/>
              </w:rPr>
              <w:t>−</w:t>
            </w:r>
            <w:r w:rsidR="004C4132" w:rsidRPr="00042CE0">
              <w:rPr>
                <w:szCs w:val="24"/>
              </w:rPr>
              <w:t>1.01</w:t>
            </w:r>
          </w:p>
        </w:tc>
      </w:tr>
      <w:tr w:rsidR="00042CE0" w:rsidRPr="00042CE0" w14:paraId="45447FD4" w14:textId="77777777" w:rsidTr="00493680">
        <w:trPr>
          <w:trHeight w:val="260"/>
        </w:trPr>
        <w:tc>
          <w:tcPr>
            <w:tcW w:w="741" w:type="dxa"/>
            <w:vMerge/>
            <w:tcBorders>
              <w:left w:val="nil"/>
              <w:right w:val="nil"/>
            </w:tcBorders>
          </w:tcPr>
          <w:p w14:paraId="3973D2C9" w14:textId="77777777" w:rsidR="002E1D75" w:rsidRPr="00042CE0" w:rsidRDefault="002E1D75" w:rsidP="00493680">
            <w:pPr>
              <w:pStyle w:val="af6"/>
              <w:spacing w:after="240"/>
              <w:jc w:val="center"/>
            </w:pPr>
          </w:p>
        </w:tc>
        <w:tc>
          <w:tcPr>
            <w:tcW w:w="530" w:type="dxa"/>
            <w:vMerge w:val="restart"/>
            <w:tcBorders>
              <w:left w:val="nil"/>
              <w:right w:val="nil"/>
            </w:tcBorders>
          </w:tcPr>
          <w:p w14:paraId="6A2CB9E1" w14:textId="21B2AAA3" w:rsidR="002E1D75" w:rsidRPr="00042CE0" w:rsidRDefault="002E1D75" w:rsidP="002E1D75">
            <w:pPr>
              <w:pStyle w:val="af6"/>
              <w:spacing w:after="240"/>
            </w:pPr>
            <w:r w:rsidRPr="00042CE0">
              <w:rPr>
                <w:rFonts w:hint="eastAsia"/>
              </w:rPr>
              <w:t>O</w:t>
            </w:r>
            <w:r w:rsidRPr="00042CE0">
              <w:rPr>
                <w:vertAlign w:val="subscript"/>
              </w:rPr>
              <w:t>2</w:t>
            </w:r>
          </w:p>
        </w:tc>
        <w:tc>
          <w:tcPr>
            <w:tcW w:w="851" w:type="dxa"/>
            <w:tcBorders>
              <w:left w:val="nil"/>
              <w:bottom w:val="nil"/>
              <w:right w:val="nil"/>
            </w:tcBorders>
          </w:tcPr>
          <w:p w14:paraId="360B9436" w14:textId="663C87D2" w:rsidR="002E1D75" w:rsidRPr="00042CE0" w:rsidRDefault="002E1D75" w:rsidP="00493680">
            <w:pPr>
              <w:pStyle w:val="af6"/>
              <w:spacing w:after="240"/>
              <w:ind w:firstLineChars="50" w:firstLine="120"/>
              <w:jc w:val="center"/>
            </w:pPr>
            <w:r w:rsidRPr="00042CE0">
              <w:rPr>
                <w:rFonts w:hint="eastAsia"/>
              </w:rPr>
              <w:t>0</w:t>
            </w:r>
            <w:r w:rsidRPr="00042CE0">
              <w:t>%</w:t>
            </w:r>
          </w:p>
        </w:tc>
        <w:tc>
          <w:tcPr>
            <w:tcW w:w="2126" w:type="dxa"/>
            <w:tcBorders>
              <w:left w:val="nil"/>
              <w:bottom w:val="nil"/>
              <w:right w:val="nil"/>
            </w:tcBorders>
          </w:tcPr>
          <w:p w14:paraId="50E3E55F" w14:textId="6720BAF9" w:rsidR="002E1D75" w:rsidRPr="00042CE0" w:rsidRDefault="002E1D75" w:rsidP="00493680">
            <w:pPr>
              <w:pStyle w:val="af6"/>
              <w:spacing w:after="240"/>
              <w:jc w:val="center"/>
            </w:pPr>
            <w:r w:rsidRPr="00042CE0">
              <w:rPr>
                <w:rFonts w:hint="eastAsia"/>
              </w:rPr>
              <w:t>t</w:t>
            </w:r>
            <w:r w:rsidRPr="00042CE0">
              <w:t>-f-b</w:t>
            </w:r>
          </w:p>
        </w:tc>
        <w:tc>
          <w:tcPr>
            <w:tcW w:w="2126" w:type="dxa"/>
            <w:tcBorders>
              <w:left w:val="nil"/>
              <w:bottom w:val="nil"/>
              <w:right w:val="nil"/>
            </w:tcBorders>
          </w:tcPr>
          <w:p w14:paraId="51E35849" w14:textId="6FF6DB87" w:rsidR="002E1D75" w:rsidRPr="00042CE0" w:rsidRDefault="002E1D75" w:rsidP="00493680">
            <w:pPr>
              <w:pStyle w:val="af6"/>
              <w:spacing w:after="240"/>
              <w:jc w:val="center"/>
            </w:pPr>
            <w:r w:rsidRPr="00042CE0">
              <w:rPr>
                <w:szCs w:val="24"/>
              </w:rPr>
              <w:t>−</w:t>
            </w:r>
            <w:r w:rsidR="008B0281" w:rsidRPr="00042CE0">
              <w:rPr>
                <w:szCs w:val="24"/>
              </w:rPr>
              <w:t>1.44</w:t>
            </w:r>
          </w:p>
        </w:tc>
        <w:tc>
          <w:tcPr>
            <w:tcW w:w="2120" w:type="dxa"/>
            <w:tcBorders>
              <w:left w:val="nil"/>
              <w:bottom w:val="nil"/>
              <w:right w:val="nil"/>
            </w:tcBorders>
          </w:tcPr>
          <w:p w14:paraId="19BEBC24" w14:textId="48D608DA" w:rsidR="002E1D75" w:rsidRPr="00042CE0" w:rsidRDefault="002E1D75" w:rsidP="00493680">
            <w:pPr>
              <w:pStyle w:val="af6"/>
              <w:spacing w:after="240"/>
              <w:jc w:val="center"/>
            </w:pPr>
            <w:r w:rsidRPr="00042CE0">
              <w:rPr>
                <w:szCs w:val="24"/>
              </w:rPr>
              <w:t>−</w:t>
            </w:r>
            <w:r w:rsidR="004C4132" w:rsidRPr="00042CE0">
              <w:rPr>
                <w:szCs w:val="24"/>
              </w:rPr>
              <w:t>0.67</w:t>
            </w:r>
          </w:p>
        </w:tc>
      </w:tr>
      <w:tr w:rsidR="00042CE0" w:rsidRPr="00042CE0" w14:paraId="2E6AB5F0" w14:textId="77777777" w:rsidTr="00493680">
        <w:trPr>
          <w:trHeight w:val="260"/>
        </w:trPr>
        <w:tc>
          <w:tcPr>
            <w:tcW w:w="741" w:type="dxa"/>
            <w:vMerge/>
            <w:tcBorders>
              <w:left w:val="nil"/>
              <w:right w:val="nil"/>
            </w:tcBorders>
          </w:tcPr>
          <w:p w14:paraId="725B5C66" w14:textId="77777777" w:rsidR="002E1D75" w:rsidRPr="00042CE0" w:rsidRDefault="002E1D75" w:rsidP="00493680">
            <w:pPr>
              <w:pStyle w:val="af6"/>
              <w:spacing w:after="240"/>
              <w:jc w:val="center"/>
            </w:pPr>
          </w:p>
        </w:tc>
        <w:tc>
          <w:tcPr>
            <w:tcW w:w="530" w:type="dxa"/>
            <w:vMerge/>
            <w:tcBorders>
              <w:left w:val="nil"/>
              <w:right w:val="nil"/>
            </w:tcBorders>
          </w:tcPr>
          <w:p w14:paraId="35F4A5AC" w14:textId="77777777" w:rsidR="002E1D75" w:rsidRPr="00042CE0" w:rsidRDefault="002E1D75" w:rsidP="002E1D75">
            <w:pPr>
              <w:pStyle w:val="af6"/>
              <w:spacing w:after="240"/>
            </w:pPr>
          </w:p>
        </w:tc>
        <w:tc>
          <w:tcPr>
            <w:tcW w:w="851" w:type="dxa"/>
            <w:tcBorders>
              <w:top w:val="nil"/>
              <w:left w:val="nil"/>
              <w:bottom w:val="nil"/>
              <w:right w:val="nil"/>
            </w:tcBorders>
          </w:tcPr>
          <w:p w14:paraId="058491A1" w14:textId="3B3381EB" w:rsidR="002E1D75" w:rsidRPr="00042CE0" w:rsidRDefault="002E1D75" w:rsidP="00493680">
            <w:pPr>
              <w:pStyle w:val="af6"/>
              <w:spacing w:after="240"/>
              <w:jc w:val="center"/>
            </w:pPr>
            <w:r w:rsidRPr="00042CE0">
              <w:rPr>
                <w:rFonts w:hint="eastAsia"/>
              </w:rPr>
              <w:t>+</w:t>
            </w:r>
            <w:r w:rsidRPr="00042CE0">
              <w:t>2%</w:t>
            </w:r>
          </w:p>
        </w:tc>
        <w:tc>
          <w:tcPr>
            <w:tcW w:w="2126" w:type="dxa"/>
            <w:tcBorders>
              <w:top w:val="nil"/>
              <w:left w:val="nil"/>
              <w:bottom w:val="nil"/>
              <w:right w:val="nil"/>
            </w:tcBorders>
          </w:tcPr>
          <w:p w14:paraId="49D36E4E" w14:textId="1F91E33B" w:rsidR="002E1D75" w:rsidRPr="00042CE0" w:rsidRDefault="002E1D75" w:rsidP="00493680">
            <w:pPr>
              <w:pStyle w:val="af6"/>
              <w:spacing w:after="240"/>
              <w:jc w:val="center"/>
            </w:pPr>
            <w:r w:rsidRPr="00042CE0">
              <w:rPr>
                <w:rFonts w:hint="eastAsia"/>
              </w:rPr>
              <w:t>t</w:t>
            </w:r>
            <w:r w:rsidRPr="00042CE0">
              <w:t>-f-b</w:t>
            </w:r>
          </w:p>
        </w:tc>
        <w:tc>
          <w:tcPr>
            <w:tcW w:w="2126" w:type="dxa"/>
            <w:tcBorders>
              <w:top w:val="nil"/>
              <w:left w:val="nil"/>
              <w:bottom w:val="nil"/>
              <w:right w:val="nil"/>
            </w:tcBorders>
          </w:tcPr>
          <w:p w14:paraId="4F3B959B" w14:textId="23736651" w:rsidR="002E1D75" w:rsidRPr="00042CE0" w:rsidRDefault="002E1D75" w:rsidP="00493680">
            <w:pPr>
              <w:pStyle w:val="af6"/>
              <w:spacing w:after="240"/>
              <w:jc w:val="center"/>
            </w:pPr>
            <w:r w:rsidRPr="00042CE0">
              <w:rPr>
                <w:szCs w:val="24"/>
              </w:rPr>
              <w:t>−</w:t>
            </w:r>
            <w:r w:rsidR="008B0281" w:rsidRPr="00042CE0">
              <w:rPr>
                <w:szCs w:val="24"/>
              </w:rPr>
              <w:t>1.47</w:t>
            </w:r>
          </w:p>
        </w:tc>
        <w:tc>
          <w:tcPr>
            <w:tcW w:w="2120" w:type="dxa"/>
            <w:tcBorders>
              <w:top w:val="nil"/>
              <w:left w:val="nil"/>
              <w:bottom w:val="nil"/>
              <w:right w:val="nil"/>
            </w:tcBorders>
          </w:tcPr>
          <w:p w14:paraId="3BE72B08" w14:textId="74A4B290" w:rsidR="002E1D75" w:rsidRPr="00042CE0" w:rsidRDefault="002E1D75" w:rsidP="00493680">
            <w:pPr>
              <w:pStyle w:val="af6"/>
              <w:spacing w:after="240"/>
              <w:jc w:val="center"/>
            </w:pPr>
            <w:r w:rsidRPr="00042CE0">
              <w:rPr>
                <w:szCs w:val="24"/>
              </w:rPr>
              <w:t>−</w:t>
            </w:r>
            <w:r w:rsidR="004C4132" w:rsidRPr="00042CE0">
              <w:rPr>
                <w:szCs w:val="24"/>
              </w:rPr>
              <w:t>0.59</w:t>
            </w:r>
          </w:p>
        </w:tc>
      </w:tr>
      <w:tr w:rsidR="00042CE0" w:rsidRPr="00042CE0" w14:paraId="6A84129D" w14:textId="77777777" w:rsidTr="00493680">
        <w:trPr>
          <w:trHeight w:val="260"/>
        </w:trPr>
        <w:tc>
          <w:tcPr>
            <w:tcW w:w="741" w:type="dxa"/>
            <w:vMerge/>
            <w:tcBorders>
              <w:left w:val="nil"/>
              <w:right w:val="nil"/>
            </w:tcBorders>
          </w:tcPr>
          <w:p w14:paraId="4ED27E78" w14:textId="77777777" w:rsidR="002E1D75" w:rsidRPr="00042CE0" w:rsidRDefault="002E1D75" w:rsidP="00493680">
            <w:pPr>
              <w:pStyle w:val="af6"/>
              <w:spacing w:after="240"/>
              <w:jc w:val="center"/>
            </w:pPr>
          </w:p>
        </w:tc>
        <w:tc>
          <w:tcPr>
            <w:tcW w:w="530" w:type="dxa"/>
            <w:vMerge/>
            <w:tcBorders>
              <w:left w:val="nil"/>
              <w:right w:val="nil"/>
            </w:tcBorders>
          </w:tcPr>
          <w:p w14:paraId="7C4AA9F7" w14:textId="77777777" w:rsidR="002E1D75" w:rsidRPr="00042CE0" w:rsidRDefault="002E1D75" w:rsidP="002E1D75">
            <w:pPr>
              <w:pStyle w:val="af6"/>
              <w:spacing w:after="240"/>
            </w:pPr>
          </w:p>
        </w:tc>
        <w:tc>
          <w:tcPr>
            <w:tcW w:w="851" w:type="dxa"/>
            <w:tcBorders>
              <w:top w:val="nil"/>
              <w:left w:val="nil"/>
              <w:right w:val="nil"/>
            </w:tcBorders>
          </w:tcPr>
          <w:p w14:paraId="576769E8" w14:textId="420BED29" w:rsidR="002E1D75" w:rsidRPr="00042CE0" w:rsidRDefault="002E1D75" w:rsidP="00493680">
            <w:pPr>
              <w:pStyle w:val="af6"/>
              <w:spacing w:after="240"/>
              <w:jc w:val="center"/>
            </w:pPr>
            <w:r w:rsidRPr="00042CE0">
              <w:rPr>
                <w:szCs w:val="24"/>
              </w:rPr>
              <w:t>−2%</w:t>
            </w:r>
          </w:p>
        </w:tc>
        <w:tc>
          <w:tcPr>
            <w:tcW w:w="2126" w:type="dxa"/>
            <w:tcBorders>
              <w:top w:val="nil"/>
              <w:left w:val="nil"/>
              <w:right w:val="nil"/>
            </w:tcBorders>
          </w:tcPr>
          <w:p w14:paraId="3556C8D1" w14:textId="6DA931A8" w:rsidR="002E1D75" w:rsidRPr="00042CE0" w:rsidRDefault="002E1D75" w:rsidP="00493680">
            <w:pPr>
              <w:pStyle w:val="af6"/>
              <w:spacing w:after="240"/>
              <w:jc w:val="center"/>
            </w:pPr>
            <w:r w:rsidRPr="00042CE0">
              <w:rPr>
                <w:rFonts w:hint="eastAsia"/>
              </w:rPr>
              <w:t>t</w:t>
            </w:r>
            <w:r w:rsidRPr="00042CE0">
              <w:t>-f-b</w:t>
            </w:r>
          </w:p>
        </w:tc>
        <w:tc>
          <w:tcPr>
            <w:tcW w:w="2126" w:type="dxa"/>
            <w:tcBorders>
              <w:top w:val="nil"/>
              <w:left w:val="nil"/>
              <w:right w:val="nil"/>
            </w:tcBorders>
          </w:tcPr>
          <w:p w14:paraId="5D62C41A" w14:textId="1CDEDF3B" w:rsidR="002E1D75" w:rsidRPr="00042CE0" w:rsidRDefault="002E1D75" w:rsidP="00493680">
            <w:pPr>
              <w:pStyle w:val="af6"/>
              <w:spacing w:after="240"/>
              <w:jc w:val="center"/>
            </w:pPr>
            <w:r w:rsidRPr="00042CE0">
              <w:rPr>
                <w:szCs w:val="24"/>
              </w:rPr>
              <w:t>−</w:t>
            </w:r>
            <w:r w:rsidR="008B0281" w:rsidRPr="00042CE0">
              <w:rPr>
                <w:szCs w:val="24"/>
              </w:rPr>
              <w:t>1.39</w:t>
            </w:r>
          </w:p>
        </w:tc>
        <w:tc>
          <w:tcPr>
            <w:tcW w:w="2120" w:type="dxa"/>
            <w:tcBorders>
              <w:top w:val="nil"/>
              <w:left w:val="nil"/>
              <w:right w:val="nil"/>
            </w:tcBorders>
          </w:tcPr>
          <w:p w14:paraId="310A12E8" w14:textId="22081EAE" w:rsidR="002E1D75" w:rsidRPr="00042CE0" w:rsidRDefault="002E1D75" w:rsidP="00493680">
            <w:pPr>
              <w:pStyle w:val="af6"/>
              <w:spacing w:after="240"/>
              <w:jc w:val="center"/>
            </w:pPr>
            <w:r w:rsidRPr="00042CE0">
              <w:rPr>
                <w:szCs w:val="24"/>
              </w:rPr>
              <w:t>−</w:t>
            </w:r>
            <w:r w:rsidR="004C4132" w:rsidRPr="00042CE0">
              <w:rPr>
                <w:szCs w:val="24"/>
              </w:rPr>
              <w:t>0.68</w:t>
            </w:r>
          </w:p>
        </w:tc>
      </w:tr>
      <w:tr w:rsidR="00042CE0" w:rsidRPr="00042CE0" w14:paraId="7DB6E04C" w14:textId="77777777" w:rsidTr="00493680">
        <w:trPr>
          <w:trHeight w:val="260"/>
        </w:trPr>
        <w:tc>
          <w:tcPr>
            <w:tcW w:w="741" w:type="dxa"/>
            <w:vMerge w:val="restart"/>
            <w:tcBorders>
              <w:left w:val="nil"/>
              <w:right w:val="nil"/>
            </w:tcBorders>
          </w:tcPr>
          <w:p w14:paraId="270469E7" w14:textId="77777777" w:rsidR="002E1D75" w:rsidRPr="00042CE0" w:rsidRDefault="002E1D75" w:rsidP="00493680">
            <w:pPr>
              <w:pStyle w:val="af6"/>
              <w:spacing w:after="240"/>
              <w:jc w:val="center"/>
            </w:pPr>
            <w:proofErr w:type="spellStart"/>
            <w:r w:rsidRPr="00042CE0">
              <w:rPr>
                <w:rFonts w:hint="eastAsia"/>
              </w:rPr>
              <w:t>P</w:t>
            </w:r>
            <w:r w:rsidRPr="00042CE0">
              <w:t>dCu</w:t>
            </w:r>
            <w:proofErr w:type="spellEnd"/>
          </w:p>
        </w:tc>
        <w:tc>
          <w:tcPr>
            <w:tcW w:w="530" w:type="dxa"/>
            <w:vMerge w:val="restart"/>
            <w:tcBorders>
              <w:left w:val="nil"/>
              <w:right w:val="nil"/>
            </w:tcBorders>
          </w:tcPr>
          <w:p w14:paraId="6FE8BE2E" w14:textId="1ABBC532" w:rsidR="002E1D75" w:rsidRPr="00042CE0" w:rsidRDefault="002E1D75" w:rsidP="002E1D75">
            <w:pPr>
              <w:pStyle w:val="af6"/>
              <w:spacing w:after="240"/>
            </w:pPr>
            <w:r w:rsidRPr="00042CE0">
              <w:rPr>
                <w:rFonts w:hint="eastAsia"/>
              </w:rPr>
              <w:t>O</w:t>
            </w:r>
          </w:p>
        </w:tc>
        <w:tc>
          <w:tcPr>
            <w:tcW w:w="851" w:type="dxa"/>
            <w:tcBorders>
              <w:left w:val="nil"/>
              <w:bottom w:val="nil"/>
              <w:right w:val="nil"/>
            </w:tcBorders>
          </w:tcPr>
          <w:p w14:paraId="7118267F" w14:textId="2BA062B2" w:rsidR="002E1D75" w:rsidRPr="00042CE0" w:rsidRDefault="002E1D75" w:rsidP="00493680">
            <w:pPr>
              <w:pStyle w:val="af6"/>
              <w:spacing w:after="240"/>
              <w:ind w:firstLineChars="50" w:firstLine="120"/>
              <w:jc w:val="center"/>
            </w:pPr>
            <w:r w:rsidRPr="00042CE0">
              <w:rPr>
                <w:rFonts w:hint="eastAsia"/>
              </w:rPr>
              <w:t>0</w:t>
            </w:r>
            <w:r w:rsidRPr="00042CE0">
              <w:t>%</w:t>
            </w:r>
          </w:p>
        </w:tc>
        <w:tc>
          <w:tcPr>
            <w:tcW w:w="2126" w:type="dxa"/>
            <w:tcBorders>
              <w:left w:val="nil"/>
              <w:bottom w:val="nil"/>
              <w:right w:val="nil"/>
            </w:tcBorders>
          </w:tcPr>
          <w:p w14:paraId="4ED4E691" w14:textId="0A0A9F90" w:rsidR="002E1D75" w:rsidRPr="00042CE0" w:rsidRDefault="002E1D75" w:rsidP="00493680">
            <w:pPr>
              <w:pStyle w:val="af6"/>
              <w:spacing w:after="240"/>
              <w:jc w:val="center"/>
            </w:pPr>
            <w:r w:rsidRPr="00042CE0">
              <w:t>top1</w:t>
            </w:r>
          </w:p>
        </w:tc>
        <w:tc>
          <w:tcPr>
            <w:tcW w:w="2126" w:type="dxa"/>
            <w:tcBorders>
              <w:left w:val="nil"/>
              <w:bottom w:val="nil"/>
              <w:right w:val="nil"/>
            </w:tcBorders>
          </w:tcPr>
          <w:p w14:paraId="589E2C41" w14:textId="0136E1DC" w:rsidR="002E1D75" w:rsidRPr="00042CE0" w:rsidRDefault="002E1D75" w:rsidP="00493680">
            <w:pPr>
              <w:pStyle w:val="af6"/>
              <w:spacing w:after="240"/>
              <w:jc w:val="center"/>
            </w:pPr>
            <w:r w:rsidRPr="00042CE0">
              <w:rPr>
                <w:szCs w:val="24"/>
              </w:rPr>
              <w:t>−</w:t>
            </w:r>
            <w:r w:rsidR="00B07697" w:rsidRPr="00042CE0">
              <w:rPr>
                <w:szCs w:val="24"/>
              </w:rPr>
              <w:t>4.74</w:t>
            </w:r>
          </w:p>
        </w:tc>
        <w:tc>
          <w:tcPr>
            <w:tcW w:w="2120" w:type="dxa"/>
            <w:tcBorders>
              <w:left w:val="nil"/>
              <w:bottom w:val="nil"/>
              <w:right w:val="nil"/>
            </w:tcBorders>
          </w:tcPr>
          <w:p w14:paraId="4714A2D0" w14:textId="7AF410BD" w:rsidR="002E1D75" w:rsidRPr="00042CE0" w:rsidRDefault="002E1D75" w:rsidP="00493680">
            <w:pPr>
              <w:pStyle w:val="af6"/>
              <w:spacing w:after="240"/>
              <w:jc w:val="center"/>
            </w:pPr>
            <w:r w:rsidRPr="00042CE0">
              <w:rPr>
                <w:szCs w:val="24"/>
              </w:rPr>
              <w:t>−</w:t>
            </w:r>
            <w:r w:rsidR="00C94F45" w:rsidRPr="00042CE0">
              <w:rPr>
                <w:szCs w:val="24"/>
              </w:rPr>
              <w:t>1.10</w:t>
            </w:r>
          </w:p>
        </w:tc>
      </w:tr>
      <w:tr w:rsidR="00042CE0" w:rsidRPr="00042CE0" w14:paraId="64A822A9" w14:textId="77777777" w:rsidTr="00493680">
        <w:trPr>
          <w:trHeight w:val="260"/>
        </w:trPr>
        <w:tc>
          <w:tcPr>
            <w:tcW w:w="741" w:type="dxa"/>
            <w:vMerge/>
            <w:tcBorders>
              <w:left w:val="nil"/>
              <w:right w:val="nil"/>
            </w:tcBorders>
          </w:tcPr>
          <w:p w14:paraId="7802C865" w14:textId="77777777" w:rsidR="002E1D75" w:rsidRPr="00042CE0" w:rsidRDefault="002E1D75" w:rsidP="002E1D75">
            <w:pPr>
              <w:pStyle w:val="af6"/>
              <w:spacing w:after="240"/>
            </w:pPr>
          </w:p>
        </w:tc>
        <w:tc>
          <w:tcPr>
            <w:tcW w:w="530" w:type="dxa"/>
            <w:vMerge/>
            <w:tcBorders>
              <w:left w:val="nil"/>
              <w:right w:val="nil"/>
            </w:tcBorders>
          </w:tcPr>
          <w:p w14:paraId="1DCECA5F" w14:textId="77777777" w:rsidR="002E1D75" w:rsidRPr="00042CE0" w:rsidRDefault="002E1D75" w:rsidP="002E1D75">
            <w:pPr>
              <w:pStyle w:val="af6"/>
              <w:spacing w:after="240"/>
            </w:pPr>
          </w:p>
        </w:tc>
        <w:tc>
          <w:tcPr>
            <w:tcW w:w="851" w:type="dxa"/>
            <w:tcBorders>
              <w:top w:val="nil"/>
              <w:left w:val="nil"/>
              <w:bottom w:val="nil"/>
              <w:right w:val="nil"/>
            </w:tcBorders>
          </w:tcPr>
          <w:p w14:paraId="213665C5" w14:textId="42F702D5" w:rsidR="002E1D75" w:rsidRPr="00042CE0" w:rsidRDefault="002E1D75" w:rsidP="00493680">
            <w:pPr>
              <w:pStyle w:val="af6"/>
              <w:spacing w:after="240"/>
              <w:jc w:val="center"/>
            </w:pPr>
            <w:r w:rsidRPr="00042CE0">
              <w:rPr>
                <w:rFonts w:hint="eastAsia"/>
              </w:rPr>
              <w:t>+</w:t>
            </w:r>
            <w:r w:rsidRPr="00042CE0">
              <w:t>2%</w:t>
            </w:r>
          </w:p>
        </w:tc>
        <w:tc>
          <w:tcPr>
            <w:tcW w:w="2126" w:type="dxa"/>
            <w:tcBorders>
              <w:top w:val="nil"/>
              <w:left w:val="nil"/>
              <w:bottom w:val="nil"/>
              <w:right w:val="nil"/>
            </w:tcBorders>
          </w:tcPr>
          <w:p w14:paraId="3EEB0671" w14:textId="5C67AA7C" w:rsidR="002E1D75" w:rsidRPr="00042CE0" w:rsidRDefault="002E1D75" w:rsidP="00493680">
            <w:pPr>
              <w:pStyle w:val="af6"/>
              <w:spacing w:after="240"/>
              <w:jc w:val="center"/>
            </w:pPr>
            <w:r w:rsidRPr="00042CE0">
              <w:t>hcp3</w:t>
            </w:r>
          </w:p>
        </w:tc>
        <w:tc>
          <w:tcPr>
            <w:tcW w:w="2126" w:type="dxa"/>
            <w:tcBorders>
              <w:top w:val="nil"/>
              <w:left w:val="nil"/>
              <w:bottom w:val="nil"/>
              <w:right w:val="nil"/>
            </w:tcBorders>
          </w:tcPr>
          <w:p w14:paraId="5962E8A7" w14:textId="5C5652F0" w:rsidR="002E1D75" w:rsidRPr="00042CE0" w:rsidRDefault="002E1D75" w:rsidP="00493680">
            <w:pPr>
              <w:pStyle w:val="af6"/>
              <w:spacing w:after="240"/>
              <w:jc w:val="center"/>
            </w:pPr>
            <w:r w:rsidRPr="00042CE0">
              <w:rPr>
                <w:szCs w:val="24"/>
              </w:rPr>
              <w:t>−</w:t>
            </w:r>
            <w:r w:rsidR="00B07697" w:rsidRPr="00042CE0">
              <w:rPr>
                <w:szCs w:val="24"/>
              </w:rPr>
              <w:t>4.93</w:t>
            </w:r>
          </w:p>
        </w:tc>
        <w:tc>
          <w:tcPr>
            <w:tcW w:w="2120" w:type="dxa"/>
            <w:tcBorders>
              <w:top w:val="nil"/>
              <w:left w:val="nil"/>
              <w:bottom w:val="nil"/>
              <w:right w:val="nil"/>
            </w:tcBorders>
          </w:tcPr>
          <w:p w14:paraId="42843312" w14:textId="3E261A7C" w:rsidR="002E1D75" w:rsidRPr="00042CE0" w:rsidRDefault="002E1D75" w:rsidP="00493680">
            <w:pPr>
              <w:pStyle w:val="af6"/>
              <w:spacing w:after="240"/>
              <w:jc w:val="center"/>
            </w:pPr>
            <w:r w:rsidRPr="00042CE0">
              <w:rPr>
                <w:szCs w:val="24"/>
              </w:rPr>
              <w:t>−</w:t>
            </w:r>
            <w:r w:rsidR="00841FEF" w:rsidRPr="00042CE0">
              <w:rPr>
                <w:szCs w:val="24"/>
              </w:rPr>
              <w:t>0.99</w:t>
            </w:r>
          </w:p>
        </w:tc>
      </w:tr>
      <w:tr w:rsidR="00042CE0" w:rsidRPr="00042CE0" w14:paraId="03B27FC1" w14:textId="77777777" w:rsidTr="00493680">
        <w:trPr>
          <w:trHeight w:val="260"/>
        </w:trPr>
        <w:tc>
          <w:tcPr>
            <w:tcW w:w="741" w:type="dxa"/>
            <w:vMerge/>
            <w:tcBorders>
              <w:left w:val="nil"/>
              <w:right w:val="nil"/>
            </w:tcBorders>
          </w:tcPr>
          <w:p w14:paraId="2146A788" w14:textId="77777777" w:rsidR="002E1D75" w:rsidRPr="00042CE0" w:rsidRDefault="002E1D75" w:rsidP="002E1D75">
            <w:pPr>
              <w:pStyle w:val="af6"/>
              <w:spacing w:after="240"/>
            </w:pPr>
          </w:p>
        </w:tc>
        <w:tc>
          <w:tcPr>
            <w:tcW w:w="530" w:type="dxa"/>
            <w:vMerge/>
            <w:tcBorders>
              <w:left w:val="nil"/>
              <w:right w:val="nil"/>
            </w:tcBorders>
          </w:tcPr>
          <w:p w14:paraId="2E95C2BB" w14:textId="77777777" w:rsidR="002E1D75" w:rsidRPr="00042CE0" w:rsidRDefault="002E1D75" w:rsidP="002E1D75">
            <w:pPr>
              <w:pStyle w:val="af6"/>
              <w:spacing w:after="240"/>
            </w:pPr>
          </w:p>
        </w:tc>
        <w:tc>
          <w:tcPr>
            <w:tcW w:w="851" w:type="dxa"/>
            <w:tcBorders>
              <w:top w:val="nil"/>
              <w:left w:val="nil"/>
              <w:right w:val="nil"/>
            </w:tcBorders>
          </w:tcPr>
          <w:p w14:paraId="425C4DDC" w14:textId="193479C0" w:rsidR="002E1D75" w:rsidRPr="00042CE0" w:rsidRDefault="002E1D75" w:rsidP="00493680">
            <w:pPr>
              <w:pStyle w:val="af6"/>
              <w:spacing w:after="240"/>
              <w:jc w:val="center"/>
            </w:pPr>
            <w:r w:rsidRPr="00042CE0">
              <w:rPr>
                <w:szCs w:val="24"/>
              </w:rPr>
              <w:t>−2%</w:t>
            </w:r>
          </w:p>
        </w:tc>
        <w:tc>
          <w:tcPr>
            <w:tcW w:w="2126" w:type="dxa"/>
            <w:tcBorders>
              <w:top w:val="nil"/>
              <w:left w:val="nil"/>
              <w:right w:val="nil"/>
            </w:tcBorders>
          </w:tcPr>
          <w:p w14:paraId="6A23C729" w14:textId="301D6706" w:rsidR="002E1D75" w:rsidRPr="00042CE0" w:rsidRDefault="002E1D75" w:rsidP="00493680">
            <w:pPr>
              <w:pStyle w:val="af6"/>
              <w:spacing w:after="240"/>
              <w:jc w:val="center"/>
            </w:pPr>
            <w:r w:rsidRPr="00042CE0">
              <w:t>top3</w:t>
            </w:r>
          </w:p>
        </w:tc>
        <w:tc>
          <w:tcPr>
            <w:tcW w:w="2126" w:type="dxa"/>
            <w:tcBorders>
              <w:top w:val="nil"/>
              <w:left w:val="nil"/>
              <w:right w:val="nil"/>
            </w:tcBorders>
          </w:tcPr>
          <w:p w14:paraId="799C72B7" w14:textId="4AA4D194" w:rsidR="002E1D75" w:rsidRPr="00042CE0" w:rsidRDefault="002E1D75" w:rsidP="00493680">
            <w:pPr>
              <w:pStyle w:val="af6"/>
              <w:spacing w:after="240"/>
              <w:jc w:val="center"/>
            </w:pPr>
            <w:r w:rsidRPr="00042CE0">
              <w:rPr>
                <w:szCs w:val="24"/>
              </w:rPr>
              <w:t>−</w:t>
            </w:r>
            <w:r w:rsidR="00B07697" w:rsidRPr="00042CE0">
              <w:rPr>
                <w:szCs w:val="24"/>
              </w:rPr>
              <w:t>4.79</w:t>
            </w:r>
          </w:p>
        </w:tc>
        <w:tc>
          <w:tcPr>
            <w:tcW w:w="2120" w:type="dxa"/>
            <w:tcBorders>
              <w:top w:val="nil"/>
              <w:left w:val="nil"/>
              <w:right w:val="nil"/>
            </w:tcBorders>
          </w:tcPr>
          <w:p w14:paraId="01E9DC3B" w14:textId="4B028038" w:rsidR="002E1D75" w:rsidRPr="00042CE0" w:rsidRDefault="002E1D75" w:rsidP="00493680">
            <w:pPr>
              <w:pStyle w:val="af6"/>
              <w:spacing w:after="240"/>
              <w:jc w:val="center"/>
            </w:pPr>
            <w:r w:rsidRPr="00042CE0">
              <w:rPr>
                <w:szCs w:val="24"/>
              </w:rPr>
              <w:t>−</w:t>
            </w:r>
            <w:r w:rsidR="00841FEF" w:rsidRPr="00042CE0">
              <w:rPr>
                <w:szCs w:val="24"/>
              </w:rPr>
              <w:t>0.97</w:t>
            </w:r>
          </w:p>
        </w:tc>
      </w:tr>
      <w:tr w:rsidR="00042CE0" w:rsidRPr="00042CE0" w14:paraId="6520B2DA" w14:textId="77777777" w:rsidTr="00493680">
        <w:trPr>
          <w:trHeight w:val="260"/>
        </w:trPr>
        <w:tc>
          <w:tcPr>
            <w:tcW w:w="741" w:type="dxa"/>
            <w:vMerge/>
            <w:tcBorders>
              <w:left w:val="nil"/>
              <w:right w:val="nil"/>
            </w:tcBorders>
          </w:tcPr>
          <w:p w14:paraId="501830BD" w14:textId="77777777" w:rsidR="002E1D75" w:rsidRPr="00042CE0" w:rsidRDefault="002E1D75" w:rsidP="002E1D75">
            <w:pPr>
              <w:pStyle w:val="af6"/>
              <w:spacing w:after="240"/>
            </w:pPr>
          </w:p>
        </w:tc>
        <w:tc>
          <w:tcPr>
            <w:tcW w:w="530" w:type="dxa"/>
            <w:vMerge w:val="restart"/>
            <w:tcBorders>
              <w:left w:val="nil"/>
              <w:right w:val="nil"/>
            </w:tcBorders>
          </w:tcPr>
          <w:p w14:paraId="7B6110CC" w14:textId="3088D72C" w:rsidR="002E1D75" w:rsidRPr="00042CE0" w:rsidRDefault="002E1D75" w:rsidP="002E1D75">
            <w:pPr>
              <w:pStyle w:val="af6"/>
              <w:spacing w:after="240"/>
            </w:pPr>
            <w:r w:rsidRPr="00042CE0">
              <w:rPr>
                <w:rFonts w:hint="eastAsia"/>
              </w:rPr>
              <w:t>O</w:t>
            </w:r>
            <w:r w:rsidRPr="00042CE0">
              <w:rPr>
                <w:vertAlign w:val="subscript"/>
              </w:rPr>
              <w:t>2</w:t>
            </w:r>
          </w:p>
        </w:tc>
        <w:tc>
          <w:tcPr>
            <w:tcW w:w="851" w:type="dxa"/>
            <w:tcBorders>
              <w:left w:val="nil"/>
              <w:bottom w:val="nil"/>
              <w:right w:val="nil"/>
            </w:tcBorders>
          </w:tcPr>
          <w:p w14:paraId="30CE1AE8" w14:textId="4B4CA78C" w:rsidR="002E1D75" w:rsidRPr="00042CE0" w:rsidRDefault="002E1D75" w:rsidP="00493680">
            <w:pPr>
              <w:pStyle w:val="af6"/>
              <w:spacing w:after="240"/>
              <w:ind w:firstLineChars="50" w:firstLine="120"/>
              <w:jc w:val="center"/>
            </w:pPr>
            <w:r w:rsidRPr="00042CE0">
              <w:rPr>
                <w:rFonts w:hint="eastAsia"/>
              </w:rPr>
              <w:t>0</w:t>
            </w:r>
            <w:r w:rsidRPr="00042CE0">
              <w:t>%</w:t>
            </w:r>
          </w:p>
        </w:tc>
        <w:tc>
          <w:tcPr>
            <w:tcW w:w="2126" w:type="dxa"/>
            <w:tcBorders>
              <w:left w:val="nil"/>
              <w:bottom w:val="nil"/>
              <w:right w:val="nil"/>
            </w:tcBorders>
          </w:tcPr>
          <w:p w14:paraId="55CE653C" w14:textId="49CF0B01" w:rsidR="002E1D75" w:rsidRPr="00042CE0" w:rsidRDefault="002E1D75" w:rsidP="00493680">
            <w:pPr>
              <w:pStyle w:val="af6"/>
              <w:spacing w:after="240"/>
              <w:jc w:val="center"/>
            </w:pPr>
            <w:r w:rsidRPr="00042CE0">
              <w:rPr>
                <w:rFonts w:hint="eastAsia"/>
              </w:rPr>
              <w:t>t</w:t>
            </w:r>
            <w:r w:rsidRPr="00042CE0">
              <w:t>-f-</w:t>
            </w:r>
            <w:proofErr w:type="spellStart"/>
            <w:r w:rsidRPr="00042CE0">
              <w:t>bc</w:t>
            </w:r>
            <w:proofErr w:type="spellEnd"/>
          </w:p>
        </w:tc>
        <w:tc>
          <w:tcPr>
            <w:tcW w:w="2126" w:type="dxa"/>
            <w:tcBorders>
              <w:left w:val="nil"/>
              <w:bottom w:val="nil"/>
              <w:right w:val="nil"/>
            </w:tcBorders>
          </w:tcPr>
          <w:p w14:paraId="6A0E83D7" w14:textId="3B1591E2" w:rsidR="002E1D75" w:rsidRPr="00042CE0" w:rsidRDefault="002E1D75" w:rsidP="00493680">
            <w:pPr>
              <w:pStyle w:val="af6"/>
              <w:spacing w:after="240"/>
              <w:jc w:val="center"/>
            </w:pPr>
            <w:r w:rsidRPr="00042CE0">
              <w:rPr>
                <w:szCs w:val="24"/>
              </w:rPr>
              <w:t>−</w:t>
            </w:r>
            <w:r w:rsidR="008A300E" w:rsidRPr="00042CE0">
              <w:rPr>
                <w:szCs w:val="24"/>
              </w:rPr>
              <w:t>1.27</w:t>
            </w:r>
          </w:p>
        </w:tc>
        <w:tc>
          <w:tcPr>
            <w:tcW w:w="2120" w:type="dxa"/>
            <w:tcBorders>
              <w:left w:val="nil"/>
              <w:bottom w:val="nil"/>
              <w:right w:val="nil"/>
            </w:tcBorders>
          </w:tcPr>
          <w:p w14:paraId="49E4AF2A" w14:textId="72B5E7D9" w:rsidR="002E1D75" w:rsidRPr="00042CE0" w:rsidRDefault="002E1D75" w:rsidP="00493680">
            <w:pPr>
              <w:pStyle w:val="af6"/>
              <w:spacing w:after="240"/>
              <w:jc w:val="center"/>
            </w:pPr>
            <w:r w:rsidRPr="00042CE0">
              <w:rPr>
                <w:szCs w:val="24"/>
              </w:rPr>
              <w:t>−</w:t>
            </w:r>
            <w:r w:rsidR="00841FEF" w:rsidRPr="00042CE0">
              <w:rPr>
                <w:szCs w:val="24"/>
              </w:rPr>
              <w:t>0.64</w:t>
            </w:r>
          </w:p>
        </w:tc>
      </w:tr>
      <w:tr w:rsidR="00042CE0" w:rsidRPr="00042CE0" w14:paraId="61788DFA" w14:textId="77777777" w:rsidTr="00493680">
        <w:trPr>
          <w:trHeight w:val="260"/>
        </w:trPr>
        <w:tc>
          <w:tcPr>
            <w:tcW w:w="741" w:type="dxa"/>
            <w:vMerge/>
            <w:tcBorders>
              <w:left w:val="nil"/>
              <w:right w:val="nil"/>
            </w:tcBorders>
          </w:tcPr>
          <w:p w14:paraId="1D55C7D2" w14:textId="77777777" w:rsidR="002E1D75" w:rsidRPr="00042CE0" w:rsidRDefault="002E1D75" w:rsidP="002E1D75">
            <w:pPr>
              <w:pStyle w:val="af6"/>
              <w:spacing w:after="240"/>
            </w:pPr>
          </w:p>
        </w:tc>
        <w:tc>
          <w:tcPr>
            <w:tcW w:w="530" w:type="dxa"/>
            <w:vMerge/>
            <w:tcBorders>
              <w:left w:val="nil"/>
              <w:right w:val="nil"/>
            </w:tcBorders>
          </w:tcPr>
          <w:p w14:paraId="7EDF84EC" w14:textId="77777777" w:rsidR="002E1D75" w:rsidRPr="00042CE0" w:rsidRDefault="002E1D75" w:rsidP="002E1D75">
            <w:pPr>
              <w:pStyle w:val="af6"/>
              <w:spacing w:after="240"/>
            </w:pPr>
          </w:p>
        </w:tc>
        <w:tc>
          <w:tcPr>
            <w:tcW w:w="851" w:type="dxa"/>
            <w:tcBorders>
              <w:top w:val="nil"/>
              <w:left w:val="nil"/>
              <w:bottom w:val="nil"/>
              <w:right w:val="nil"/>
            </w:tcBorders>
          </w:tcPr>
          <w:p w14:paraId="5FFB566E" w14:textId="56C49354" w:rsidR="002E1D75" w:rsidRPr="00042CE0" w:rsidRDefault="002E1D75" w:rsidP="00493680">
            <w:pPr>
              <w:pStyle w:val="af6"/>
              <w:spacing w:after="240"/>
              <w:jc w:val="center"/>
            </w:pPr>
            <w:r w:rsidRPr="00042CE0">
              <w:rPr>
                <w:rFonts w:hint="eastAsia"/>
              </w:rPr>
              <w:t>+</w:t>
            </w:r>
            <w:r w:rsidRPr="00042CE0">
              <w:t>2%</w:t>
            </w:r>
          </w:p>
        </w:tc>
        <w:tc>
          <w:tcPr>
            <w:tcW w:w="2126" w:type="dxa"/>
            <w:tcBorders>
              <w:top w:val="nil"/>
              <w:left w:val="nil"/>
              <w:bottom w:val="nil"/>
              <w:right w:val="nil"/>
            </w:tcBorders>
          </w:tcPr>
          <w:p w14:paraId="482FAE2D" w14:textId="750F90F3" w:rsidR="002E1D75" w:rsidRPr="00042CE0" w:rsidRDefault="002E1D75" w:rsidP="00493680">
            <w:pPr>
              <w:pStyle w:val="af6"/>
              <w:spacing w:after="240"/>
              <w:jc w:val="center"/>
            </w:pPr>
            <w:r w:rsidRPr="00042CE0">
              <w:rPr>
                <w:rFonts w:hint="eastAsia"/>
              </w:rPr>
              <w:t>t</w:t>
            </w:r>
            <w:r w:rsidRPr="00042CE0">
              <w:t>-f-</w:t>
            </w:r>
            <w:proofErr w:type="spellStart"/>
            <w:r w:rsidRPr="00042CE0">
              <w:t>bc</w:t>
            </w:r>
            <w:proofErr w:type="spellEnd"/>
          </w:p>
        </w:tc>
        <w:tc>
          <w:tcPr>
            <w:tcW w:w="2126" w:type="dxa"/>
            <w:tcBorders>
              <w:top w:val="nil"/>
              <w:left w:val="nil"/>
              <w:bottom w:val="nil"/>
              <w:right w:val="nil"/>
            </w:tcBorders>
          </w:tcPr>
          <w:p w14:paraId="6839C39F" w14:textId="331D52F6" w:rsidR="002E1D75" w:rsidRPr="00042CE0" w:rsidRDefault="002E1D75" w:rsidP="00493680">
            <w:pPr>
              <w:pStyle w:val="af6"/>
              <w:spacing w:after="240"/>
              <w:jc w:val="center"/>
            </w:pPr>
            <w:r w:rsidRPr="00042CE0">
              <w:rPr>
                <w:szCs w:val="24"/>
              </w:rPr>
              <w:t>−</w:t>
            </w:r>
            <w:r w:rsidR="008A300E" w:rsidRPr="00042CE0">
              <w:rPr>
                <w:szCs w:val="24"/>
              </w:rPr>
              <w:t>1.43</w:t>
            </w:r>
          </w:p>
        </w:tc>
        <w:tc>
          <w:tcPr>
            <w:tcW w:w="2120" w:type="dxa"/>
            <w:tcBorders>
              <w:top w:val="nil"/>
              <w:left w:val="nil"/>
              <w:bottom w:val="nil"/>
              <w:right w:val="nil"/>
            </w:tcBorders>
          </w:tcPr>
          <w:p w14:paraId="0B128B59" w14:textId="0594641F" w:rsidR="002E1D75" w:rsidRPr="00042CE0" w:rsidRDefault="002E1D75" w:rsidP="00493680">
            <w:pPr>
              <w:pStyle w:val="af6"/>
              <w:spacing w:after="240"/>
              <w:jc w:val="center"/>
            </w:pPr>
            <w:r w:rsidRPr="00042CE0">
              <w:rPr>
                <w:szCs w:val="24"/>
              </w:rPr>
              <w:t>−</w:t>
            </w:r>
            <w:r w:rsidR="00841FEF" w:rsidRPr="00042CE0">
              <w:rPr>
                <w:szCs w:val="24"/>
              </w:rPr>
              <w:t>0.61</w:t>
            </w:r>
          </w:p>
        </w:tc>
      </w:tr>
      <w:tr w:rsidR="00042CE0" w:rsidRPr="00042CE0" w14:paraId="54C4E314" w14:textId="77777777" w:rsidTr="00493680">
        <w:trPr>
          <w:trHeight w:val="260"/>
        </w:trPr>
        <w:tc>
          <w:tcPr>
            <w:tcW w:w="741" w:type="dxa"/>
            <w:vMerge/>
            <w:tcBorders>
              <w:left w:val="nil"/>
              <w:right w:val="nil"/>
            </w:tcBorders>
          </w:tcPr>
          <w:p w14:paraId="68EB95F2" w14:textId="77777777" w:rsidR="002E1D75" w:rsidRPr="00042CE0" w:rsidRDefault="002E1D75" w:rsidP="002E1D75">
            <w:pPr>
              <w:pStyle w:val="af6"/>
              <w:spacing w:after="240"/>
            </w:pPr>
          </w:p>
        </w:tc>
        <w:tc>
          <w:tcPr>
            <w:tcW w:w="530" w:type="dxa"/>
            <w:vMerge/>
            <w:tcBorders>
              <w:left w:val="nil"/>
              <w:right w:val="nil"/>
            </w:tcBorders>
          </w:tcPr>
          <w:p w14:paraId="30E454DC" w14:textId="77777777" w:rsidR="002E1D75" w:rsidRPr="00042CE0" w:rsidRDefault="002E1D75" w:rsidP="002E1D75">
            <w:pPr>
              <w:pStyle w:val="af6"/>
              <w:spacing w:after="240"/>
            </w:pPr>
          </w:p>
        </w:tc>
        <w:tc>
          <w:tcPr>
            <w:tcW w:w="851" w:type="dxa"/>
            <w:tcBorders>
              <w:top w:val="nil"/>
              <w:left w:val="nil"/>
              <w:right w:val="nil"/>
            </w:tcBorders>
          </w:tcPr>
          <w:p w14:paraId="42983DA2" w14:textId="4E54E5D1" w:rsidR="002E1D75" w:rsidRPr="00042CE0" w:rsidRDefault="002E1D75" w:rsidP="00493680">
            <w:pPr>
              <w:pStyle w:val="af6"/>
              <w:spacing w:after="240"/>
              <w:jc w:val="center"/>
            </w:pPr>
            <w:r w:rsidRPr="00042CE0">
              <w:rPr>
                <w:szCs w:val="24"/>
              </w:rPr>
              <w:t>−2%</w:t>
            </w:r>
          </w:p>
        </w:tc>
        <w:tc>
          <w:tcPr>
            <w:tcW w:w="2126" w:type="dxa"/>
            <w:tcBorders>
              <w:top w:val="nil"/>
              <w:left w:val="nil"/>
              <w:right w:val="nil"/>
            </w:tcBorders>
          </w:tcPr>
          <w:p w14:paraId="65815527" w14:textId="22D471EC" w:rsidR="002E1D75" w:rsidRPr="00042CE0" w:rsidRDefault="002E1D75" w:rsidP="00493680">
            <w:pPr>
              <w:pStyle w:val="af6"/>
              <w:spacing w:after="240"/>
              <w:jc w:val="center"/>
            </w:pPr>
            <w:r w:rsidRPr="00042CE0">
              <w:rPr>
                <w:rFonts w:hint="eastAsia"/>
              </w:rPr>
              <w:t>t</w:t>
            </w:r>
            <w:r w:rsidRPr="00042CE0">
              <w:t>-b-</w:t>
            </w:r>
            <w:proofErr w:type="spellStart"/>
            <w:r w:rsidRPr="00042CE0">
              <w:t>tb</w:t>
            </w:r>
            <w:proofErr w:type="spellEnd"/>
          </w:p>
        </w:tc>
        <w:tc>
          <w:tcPr>
            <w:tcW w:w="2126" w:type="dxa"/>
            <w:tcBorders>
              <w:top w:val="nil"/>
              <w:left w:val="nil"/>
              <w:right w:val="nil"/>
            </w:tcBorders>
          </w:tcPr>
          <w:p w14:paraId="2DACA930" w14:textId="2E4964CA" w:rsidR="002E1D75" w:rsidRPr="00042CE0" w:rsidRDefault="002E1D75" w:rsidP="00493680">
            <w:pPr>
              <w:pStyle w:val="af6"/>
              <w:spacing w:after="240"/>
              <w:jc w:val="center"/>
            </w:pPr>
            <w:r w:rsidRPr="00042CE0">
              <w:rPr>
                <w:szCs w:val="24"/>
              </w:rPr>
              <w:t>−</w:t>
            </w:r>
            <w:r w:rsidR="008A300E" w:rsidRPr="00042CE0">
              <w:rPr>
                <w:szCs w:val="24"/>
              </w:rPr>
              <w:t>1.29</w:t>
            </w:r>
          </w:p>
        </w:tc>
        <w:tc>
          <w:tcPr>
            <w:tcW w:w="2120" w:type="dxa"/>
            <w:tcBorders>
              <w:top w:val="nil"/>
              <w:left w:val="nil"/>
              <w:right w:val="nil"/>
            </w:tcBorders>
          </w:tcPr>
          <w:p w14:paraId="53E35F1E" w14:textId="0DE5C8FE" w:rsidR="002E1D75" w:rsidRPr="00042CE0" w:rsidRDefault="002E1D75" w:rsidP="00493680">
            <w:pPr>
              <w:pStyle w:val="af6"/>
              <w:spacing w:after="240"/>
              <w:jc w:val="center"/>
            </w:pPr>
            <w:r w:rsidRPr="00042CE0">
              <w:rPr>
                <w:szCs w:val="24"/>
              </w:rPr>
              <w:t>−</w:t>
            </w:r>
            <w:r w:rsidR="00841FEF" w:rsidRPr="00042CE0">
              <w:rPr>
                <w:szCs w:val="24"/>
              </w:rPr>
              <w:t>0.62</w:t>
            </w:r>
          </w:p>
        </w:tc>
      </w:tr>
    </w:tbl>
    <w:p w14:paraId="63B9B119" w14:textId="4FBD11D7" w:rsidR="00F3186D" w:rsidRPr="00042CE0" w:rsidRDefault="00F3186D">
      <w:pPr>
        <w:widowControl/>
        <w:topLinePunct w:val="0"/>
        <w:spacing w:afterLines="0" w:after="0" w:line="240" w:lineRule="auto"/>
        <w:jc w:val="left"/>
        <w:rPr>
          <w:rFonts w:asciiTheme="majorHAnsi" w:eastAsiaTheme="majorEastAsia" w:hAnsiTheme="majorHAnsi" w:cstheme="majorBidi"/>
          <w:b/>
          <w:szCs w:val="24"/>
        </w:rPr>
      </w:pPr>
      <w:r w:rsidRPr="00042CE0">
        <w:br w:type="page"/>
      </w:r>
    </w:p>
    <w:p w14:paraId="48FCAEAB" w14:textId="6F3CA35D" w:rsidR="002B05D7" w:rsidRPr="00042CE0" w:rsidRDefault="0083402D" w:rsidP="00087BC1">
      <w:pPr>
        <w:pStyle w:val="1"/>
        <w:spacing w:after="240"/>
      </w:pPr>
      <w:r w:rsidRPr="00042CE0">
        <w:lastRenderedPageBreak/>
        <w:t>Figure</w:t>
      </w:r>
      <w:r w:rsidR="00F3186D" w:rsidRPr="00042CE0">
        <w:t xml:space="preserve"> captions</w:t>
      </w:r>
    </w:p>
    <w:p w14:paraId="20C5C16C" w14:textId="0AFB53B8" w:rsidR="00C17834" w:rsidRPr="00042CE0" w:rsidRDefault="0083402D" w:rsidP="00087BC1">
      <w:pPr>
        <w:spacing w:after="240"/>
      </w:pPr>
      <w:r w:rsidRPr="00042CE0">
        <w:rPr>
          <w:b/>
        </w:rPr>
        <w:t>Fig</w:t>
      </w:r>
      <w:r w:rsidR="00F3186D" w:rsidRPr="00042CE0">
        <w:rPr>
          <w:b/>
        </w:rPr>
        <w:t>ure</w:t>
      </w:r>
      <w:r w:rsidRPr="00042CE0">
        <w:rPr>
          <w:b/>
        </w:rPr>
        <w:t xml:space="preserve"> 1</w:t>
      </w:r>
      <w:r w:rsidR="00F24C22" w:rsidRPr="00042CE0">
        <w:rPr>
          <w:b/>
        </w:rPr>
        <w:t>.</w:t>
      </w:r>
      <w:r w:rsidRPr="00042CE0">
        <w:t xml:space="preserve"> </w:t>
      </w:r>
      <w:r w:rsidR="00E1307D" w:rsidRPr="009B50CE">
        <w:rPr>
          <w:highlight w:val="yellow"/>
        </w:rPr>
        <w:t>(Color online)</w:t>
      </w:r>
      <w:r w:rsidR="00E1307D" w:rsidRPr="00042CE0">
        <w:t xml:space="preserve"> </w:t>
      </w:r>
      <w:r w:rsidR="00A22571" w:rsidRPr="00042CE0">
        <w:t>(</w:t>
      </w:r>
      <w:r w:rsidR="000D65D9" w:rsidRPr="00042CE0">
        <w:t>a</w:t>
      </w:r>
      <w:r w:rsidR="00A22571" w:rsidRPr="00042CE0">
        <w:t>)</w:t>
      </w:r>
      <w:r w:rsidR="000D65D9" w:rsidRPr="00042CE0">
        <w:t xml:space="preserve"> </w:t>
      </w:r>
      <w:r w:rsidRPr="00042CE0">
        <w:t xml:space="preserve">Schematic illustration of synthesis of bimodal </w:t>
      </w:r>
      <w:proofErr w:type="spellStart"/>
      <w:r w:rsidRPr="00042CE0">
        <w:t>nanoporous</w:t>
      </w:r>
      <w:proofErr w:type="spellEnd"/>
      <w:r w:rsidRPr="00042CE0">
        <w:t xml:space="preserve"> </w:t>
      </w:r>
      <w:proofErr w:type="spellStart"/>
      <w:r w:rsidR="00457BA9" w:rsidRPr="00457BA9">
        <w:rPr>
          <w:highlight w:val="yellow"/>
        </w:rPr>
        <w:t>PdCu</w:t>
      </w:r>
      <w:proofErr w:type="spellEnd"/>
      <w:r w:rsidR="00F3186D" w:rsidRPr="00042CE0">
        <w:t xml:space="preserve"> </w:t>
      </w:r>
      <w:r w:rsidRPr="00042CE0">
        <w:t xml:space="preserve">using </w:t>
      </w:r>
      <w:proofErr w:type="spellStart"/>
      <w:r w:rsidRPr="00042CE0">
        <w:t>nanoporous</w:t>
      </w:r>
      <w:proofErr w:type="spellEnd"/>
      <w:r w:rsidRPr="00042CE0">
        <w:t xml:space="preserve"> copper as a sacrificial support.</w:t>
      </w:r>
      <w:r w:rsidR="00BA753F" w:rsidRPr="00042CE0">
        <w:t xml:space="preserve"> </w:t>
      </w:r>
      <w:r w:rsidR="00A22571" w:rsidRPr="00042CE0">
        <w:t xml:space="preserve">(b) </w:t>
      </w:r>
      <w:r w:rsidR="00BA753F" w:rsidRPr="00042CE0">
        <w:t xml:space="preserve">Scanning electron microscopy image of </w:t>
      </w:r>
      <w:proofErr w:type="spellStart"/>
      <w:r w:rsidR="00BA753F" w:rsidRPr="00042CE0">
        <w:t>nanoporous</w:t>
      </w:r>
      <w:proofErr w:type="spellEnd"/>
      <w:r w:rsidR="00BA753F" w:rsidRPr="00042CE0">
        <w:t xml:space="preserve"> copper fabricated by </w:t>
      </w:r>
      <w:proofErr w:type="spellStart"/>
      <w:r w:rsidR="00BA753F" w:rsidRPr="00042CE0">
        <w:t>dealloying</w:t>
      </w:r>
      <w:proofErr w:type="spellEnd"/>
      <w:r w:rsidR="00BA753F" w:rsidRPr="00042CE0">
        <w:t xml:space="preserve"> of Cu–</w:t>
      </w:r>
      <w:proofErr w:type="spellStart"/>
      <w:r w:rsidR="00BA753F" w:rsidRPr="00042CE0">
        <w:t>Mn</w:t>
      </w:r>
      <w:proofErr w:type="spellEnd"/>
      <w:r w:rsidR="00BA753F" w:rsidRPr="00042CE0">
        <w:t xml:space="preserve"> alloy.</w:t>
      </w:r>
    </w:p>
    <w:p w14:paraId="7894B38B" w14:textId="74E836D0" w:rsidR="0097439C" w:rsidRPr="00042CE0" w:rsidRDefault="00F3186D" w:rsidP="00087BC1">
      <w:pPr>
        <w:spacing w:after="240"/>
      </w:pPr>
      <w:r w:rsidRPr="00042CE0">
        <w:rPr>
          <w:b/>
        </w:rPr>
        <w:t>Figure</w:t>
      </w:r>
      <w:r w:rsidR="0083402D" w:rsidRPr="00042CE0">
        <w:rPr>
          <w:b/>
        </w:rPr>
        <w:t xml:space="preserve"> </w:t>
      </w:r>
      <w:r w:rsidR="002449EC">
        <w:rPr>
          <w:b/>
        </w:rPr>
        <w:t>2</w:t>
      </w:r>
      <w:r w:rsidR="00F24C22" w:rsidRPr="00042CE0">
        <w:rPr>
          <w:b/>
        </w:rPr>
        <w:t>.</w:t>
      </w:r>
      <w:r w:rsidR="0083402D" w:rsidRPr="00042CE0">
        <w:t xml:space="preserve"> </w:t>
      </w:r>
      <w:r w:rsidR="00E1307D" w:rsidRPr="009B50CE">
        <w:rPr>
          <w:highlight w:val="yellow"/>
        </w:rPr>
        <w:t>(Color online)</w:t>
      </w:r>
      <w:r w:rsidR="00E1307D">
        <w:t xml:space="preserve"> </w:t>
      </w:r>
      <w:r w:rsidR="0083402D" w:rsidRPr="00042CE0">
        <w:t xml:space="preserve">Scanning transmission electron microscopy images of bimodal </w:t>
      </w:r>
      <w:proofErr w:type="spellStart"/>
      <w:r w:rsidR="0083402D" w:rsidRPr="00042CE0">
        <w:t>nanoporous</w:t>
      </w:r>
      <w:proofErr w:type="spellEnd"/>
      <w:r w:rsidR="0083402D" w:rsidRPr="00042CE0">
        <w:t xml:space="preserve"> </w:t>
      </w:r>
      <w:proofErr w:type="spellStart"/>
      <w:r w:rsidR="00583E56" w:rsidRPr="00583E56">
        <w:rPr>
          <w:highlight w:val="yellow"/>
        </w:rPr>
        <w:t>PdCu</w:t>
      </w:r>
      <w:proofErr w:type="spellEnd"/>
      <w:r w:rsidRPr="00042CE0">
        <w:t>.</w:t>
      </w:r>
      <w:r w:rsidR="0083402D" w:rsidRPr="00042CE0">
        <w:t xml:space="preserve"> </w:t>
      </w:r>
      <w:r w:rsidR="00813BA2" w:rsidRPr="00042CE0">
        <w:t>(</w:t>
      </w:r>
      <w:r w:rsidR="0083402D" w:rsidRPr="00042CE0">
        <w:t>a</w:t>
      </w:r>
      <w:r w:rsidR="00813BA2" w:rsidRPr="00042CE0">
        <w:t>)</w:t>
      </w:r>
      <w:r w:rsidR="0083402D" w:rsidRPr="00042CE0">
        <w:t xml:space="preserve">, </w:t>
      </w:r>
      <w:r w:rsidR="00813BA2" w:rsidRPr="00042CE0">
        <w:t>(</w:t>
      </w:r>
      <w:r w:rsidR="0083402D" w:rsidRPr="00042CE0">
        <w:t>b</w:t>
      </w:r>
      <w:r w:rsidR="00813BA2" w:rsidRPr="00042CE0">
        <w:t>)</w:t>
      </w:r>
      <w:r w:rsidR="0083402D" w:rsidRPr="00042CE0">
        <w:t xml:space="preserve"> and left panel in </w:t>
      </w:r>
      <w:r w:rsidR="00813BA2" w:rsidRPr="00042CE0">
        <w:t>(</w:t>
      </w:r>
      <w:r w:rsidRPr="00042CE0">
        <w:t>c</w:t>
      </w:r>
      <w:r w:rsidR="00813BA2" w:rsidRPr="00042CE0">
        <w:t>)</w:t>
      </w:r>
      <w:r w:rsidR="0083402D" w:rsidRPr="00042CE0">
        <w:t xml:space="preserve"> are high-angle annular </w:t>
      </w:r>
      <w:r w:rsidR="00B623E1" w:rsidRPr="00042CE0">
        <w:t>dark-</w:t>
      </w:r>
      <w:r w:rsidR="0083402D" w:rsidRPr="00042CE0">
        <w:t xml:space="preserve">field images, </w:t>
      </w:r>
      <w:r w:rsidR="00C10616" w:rsidRPr="00042CE0">
        <w:t>and</w:t>
      </w:r>
      <w:r w:rsidR="00B623E1" w:rsidRPr="00042CE0">
        <w:t xml:space="preserve"> the </w:t>
      </w:r>
      <w:r w:rsidR="0083402D" w:rsidRPr="00042CE0">
        <w:t xml:space="preserve">center and right panels in </w:t>
      </w:r>
      <w:r w:rsidR="00813BA2" w:rsidRPr="00042CE0">
        <w:t>(</w:t>
      </w:r>
      <w:r w:rsidRPr="00042CE0">
        <w:t>c</w:t>
      </w:r>
      <w:r w:rsidR="00813BA2" w:rsidRPr="00042CE0">
        <w:t>)</w:t>
      </w:r>
      <w:r w:rsidR="0083402D" w:rsidRPr="00042CE0">
        <w:t xml:space="preserve"> </w:t>
      </w:r>
      <w:r w:rsidR="00B623E1" w:rsidRPr="00042CE0">
        <w:t xml:space="preserve">show the </w:t>
      </w:r>
      <w:r w:rsidR="0083402D" w:rsidRPr="00042CE0">
        <w:t>elemental mapping by energy-dispersive X-ray spectroscopy.</w:t>
      </w:r>
      <w:r w:rsidR="00583E56">
        <w:t xml:space="preserve"> </w:t>
      </w:r>
      <w:r w:rsidR="00583E56" w:rsidRPr="00583E56">
        <w:rPr>
          <w:highlight w:val="yellow"/>
        </w:rPr>
        <w:t xml:space="preserve">Arrows in (a) shows </w:t>
      </w:r>
      <w:r w:rsidR="00AB3340">
        <w:rPr>
          <w:highlight w:val="yellow"/>
        </w:rPr>
        <w:t xml:space="preserve">diameters of </w:t>
      </w:r>
      <w:r w:rsidR="00583E56" w:rsidRPr="00583E56">
        <w:rPr>
          <w:highlight w:val="yellow"/>
        </w:rPr>
        <w:t xml:space="preserve">replicated pores from </w:t>
      </w:r>
      <w:proofErr w:type="spellStart"/>
      <w:r w:rsidR="00583E56" w:rsidRPr="00583E56">
        <w:rPr>
          <w:highlight w:val="yellow"/>
        </w:rPr>
        <w:t>nanoporous</w:t>
      </w:r>
      <w:proofErr w:type="spellEnd"/>
      <w:r w:rsidR="00583E56" w:rsidRPr="00583E56">
        <w:rPr>
          <w:highlight w:val="yellow"/>
        </w:rPr>
        <w:t xml:space="preserve"> copper.</w:t>
      </w:r>
      <w:r w:rsidR="00DD3535">
        <w:t xml:space="preserve"> </w:t>
      </w:r>
      <w:r w:rsidR="00DD3535" w:rsidRPr="00843967">
        <w:rPr>
          <w:highlight w:val="yellow"/>
        </w:rPr>
        <w:t xml:space="preserve">(d) High-resolution transmission electron microscopy image of bimodal </w:t>
      </w:r>
      <w:proofErr w:type="spellStart"/>
      <w:r w:rsidR="00DD3535" w:rsidRPr="00843967">
        <w:rPr>
          <w:highlight w:val="yellow"/>
        </w:rPr>
        <w:t>nanoporous</w:t>
      </w:r>
      <w:proofErr w:type="spellEnd"/>
      <w:r w:rsidR="00DD3535" w:rsidRPr="00843967">
        <w:rPr>
          <w:highlight w:val="yellow"/>
        </w:rPr>
        <w:t xml:space="preserve"> </w:t>
      </w:r>
      <w:proofErr w:type="spellStart"/>
      <w:r w:rsidR="00DD3535" w:rsidRPr="00843967">
        <w:rPr>
          <w:highlight w:val="yellow"/>
        </w:rPr>
        <w:t>PdCu</w:t>
      </w:r>
      <w:proofErr w:type="spellEnd"/>
      <w:r w:rsidR="00DD3535" w:rsidRPr="00843967">
        <w:rPr>
          <w:highlight w:val="yellow"/>
        </w:rPr>
        <w:t>, showing surface lattice contraction.</w:t>
      </w:r>
    </w:p>
    <w:p w14:paraId="75ADB51B" w14:textId="494688BB" w:rsidR="00B74C1C" w:rsidRPr="00042CE0" w:rsidRDefault="0097439C" w:rsidP="00087BC1">
      <w:pPr>
        <w:spacing w:after="240"/>
      </w:pPr>
      <w:r w:rsidRPr="00042CE0">
        <w:rPr>
          <w:b/>
        </w:rPr>
        <w:t>Fig</w:t>
      </w:r>
      <w:r w:rsidR="00460BEC" w:rsidRPr="00042CE0">
        <w:rPr>
          <w:b/>
        </w:rPr>
        <w:t>ure</w:t>
      </w:r>
      <w:r w:rsidRPr="00042CE0">
        <w:rPr>
          <w:b/>
        </w:rPr>
        <w:t xml:space="preserve"> </w:t>
      </w:r>
      <w:r w:rsidR="002449EC">
        <w:rPr>
          <w:b/>
        </w:rPr>
        <w:t>3</w:t>
      </w:r>
      <w:r w:rsidRPr="00042CE0">
        <w:rPr>
          <w:b/>
        </w:rPr>
        <w:t>.</w:t>
      </w:r>
      <w:r w:rsidRPr="00042CE0">
        <w:t xml:space="preserve"> </w:t>
      </w:r>
      <w:r w:rsidR="00E1307D" w:rsidRPr="009B50CE">
        <w:rPr>
          <w:highlight w:val="yellow"/>
        </w:rPr>
        <w:t>(Color online)</w:t>
      </w:r>
      <w:r w:rsidR="00E1307D" w:rsidRPr="00042CE0">
        <w:t xml:space="preserve"> </w:t>
      </w:r>
      <w:r w:rsidR="00BA753F" w:rsidRPr="00042CE0">
        <w:t xml:space="preserve">(a) </w:t>
      </w:r>
      <w:r w:rsidRPr="00042CE0">
        <w:t xml:space="preserve">Energy-dispersive X-ray spectroscopy results </w:t>
      </w:r>
      <w:r w:rsidR="00BA753F" w:rsidRPr="00042CE0">
        <w:t xml:space="preserve">and (b) X-ray diffraction patterns of </w:t>
      </w:r>
      <w:r w:rsidRPr="00042CE0">
        <w:t xml:space="preserve">bimodal </w:t>
      </w:r>
      <w:proofErr w:type="spellStart"/>
      <w:r w:rsidRPr="00042CE0">
        <w:t>nanoporous</w:t>
      </w:r>
      <w:proofErr w:type="spellEnd"/>
      <w:r w:rsidRPr="00042CE0">
        <w:t xml:space="preserve"> </w:t>
      </w:r>
      <w:proofErr w:type="spellStart"/>
      <w:r w:rsidR="00583E56" w:rsidRPr="00583E56">
        <w:rPr>
          <w:highlight w:val="yellow"/>
        </w:rPr>
        <w:t>PdCu</w:t>
      </w:r>
      <w:proofErr w:type="spellEnd"/>
      <w:r w:rsidRPr="00042CE0">
        <w:t xml:space="preserve"> before and after copper dissolution.</w:t>
      </w:r>
    </w:p>
    <w:p w14:paraId="65134518" w14:textId="16D6BCB2" w:rsidR="0083402D" w:rsidRPr="00042CE0" w:rsidRDefault="0083402D" w:rsidP="00087BC1">
      <w:pPr>
        <w:spacing w:after="240"/>
      </w:pPr>
      <w:r w:rsidRPr="00042CE0">
        <w:rPr>
          <w:b/>
        </w:rPr>
        <w:t>Fig</w:t>
      </w:r>
      <w:r w:rsidR="00460BEC" w:rsidRPr="00042CE0">
        <w:rPr>
          <w:b/>
        </w:rPr>
        <w:t>ure</w:t>
      </w:r>
      <w:r w:rsidRPr="00042CE0">
        <w:rPr>
          <w:b/>
        </w:rPr>
        <w:t xml:space="preserve"> </w:t>
      </w:r>
      <w:r w:rsidR="002449EC">
        <w:rPr>
          <w:b/>
        </w:rPr>
        <w:t>4</w:t>
      </w:r>
      <w:r w:rsidR="00F24C22" w:rsidRPr="00042CE0">
        <w:rPr>
          <w:b/>
        </w:rPr>
        <w:t>.</w:t>
      </w:r>
      <w:r w:rsidRPr="00042CE0">
        <w:t xml:space="preserve"> </w:t>
      </w:r>
      <w:r w:rsidR="00E1307D" w:rsidRPr="009B50CE">
        <w:rPr>
          <w:highlight w:val="yellow"/>
        </w:rPr>
        <w:t>(Color online)</w:t>
      </w:r>
      <w:r w:rsidR="00E1307D" w:rsidRPr="00042CE0">
        <w:t xml:space="preserve"> </w:t>
      </w:r>
      <w:r w:rsidR="00B74C1C" w:rsidRPr="00042CE0">
        <w:t xml:space="preserve">(a) </w:t>
      </w:r>
      <w:r w:rsidRPr="00042CE0">
        <w:t xml:space="preserve">Cyclic voltammetry curves for bimodal </w:t>
      </w:r>
      <w:proofErr w:type="spellStart"/>
      <w:r w:rsidRPr="00042CE0">
        <w:t>nanoporous</w:t>
      </w:r>
      <w:proofErr w:type="spellEnd"/>
      <w:r w:rsidRPr="00042CE0">
        <w:t xml:space="preserve"> </w:t>
      </w:r>
      <w:proofErr w:type="spellStart"/>
      <w:r w:rsidR="00583E56" w:rsidRPr="00583E56">
        <w:rPr>
          <w:highlight w:val="yellow"/>
        </w:rPr>
        <w:t>PdCu</w:t>
      </w:r>
      <w:proofErr w:type="spellEnd"/>
      <w:r w:rsidRPr="00042CE0">
        <w:t xml:space="preserve"> before and after </w:t>
      </w:r>
      <w:r w:rsidR="00B623E1" w:rsidRPr="00042CE0">
        <w:t xml:space="preserve">copper </w:t>
      </w:r>
      <w:r w:rsidRPr="00042CE0">
        <w:t xml:space="preserve">dissolution. </w:t>
      </w:r>
      <w:r w:rsidR="00B623E1" w:rsidRPr="00042CE0">
        <w:t xml:space="preserve">The scan </w:t>
      </w:r>
      <w:r w:rsidRPr="00042CE0">
        <w:t>rate was 10 mV s</w:t>
      </w:r>
      <w:r w:rsidRPr="00042CE0">
        <w:rPr>
          <w:vertAlign w:val="superscript"/>
        </w:rPr>
        <w:t>−1</w:t>
      </w:r>
      <w:r w:rsidRPr="00042CE0">
        <w:t xml:space="preserve"> and </w:t>
      </w:r>
      <w:r w:rsidR="00B623E1" w:rsidRPr="00042CE0">
        <w:t xml:space="preserve">the </w:t>
      </w:r>
      <w:r w:rsidRPr="00042CE0">
        <w:t xml:space="preserve">electrolyte was 0.1 </w:t>
      </w:r>
      <w:proofErr w:type="spellStart"/>
      <w:r w:rsidRPr="00042CE0">
        <w:t>mol</w:t>
      </w:r>
      <w:proofErr w:type="spellEnd"/>
      <w:r w:rsidR="00D87716" w:rsidRPr="00042CE0">
        <w:t xml:space="preserve"> </w:t>
      </w:r>
      <w:r w:rsidRPr="00042CE0">
        <w:t>L</w:t>
      </w:r>
      <w:r w:rsidR="00D87716" w:rsidRPr="00042CE0">
        <w:rPr>
          <w:vertAlign w:val="superscript"/>
        </w:rPr>
        <w:t>−1</w:t>
      </w:r>
      <w:r w:rsidRPr="00042CE0">
        <w:t xml:space="preserve"> H</w:t>
      </w:r>
      <w:r w:rsidRPr="00042CE0">
        <w:rPr>
          <w:vertAlign w:val="subscript"/>
        </w:rPr>
        <w:t>2</w:t>
      </w:r>
      <w:r w:rsidRPr="00042CE0">
        <w:t>SO</w:t>
      </w:r>
      <w:r w:rsidRPr="00042CE0">
        <w:rPr>
          <w:vertAlign w:val="subscript"/>
        </w:rPr>
        <w:t>4</w:t>
      </w:r>
      <w:r w:rsidRPr="00042CE0">
        <w:t>.</w:t>
      </w:r>
      <w:r w:rsidR="00B74C1C" w:rsidRPr="00042CE0">
        <w:t xml:space="preserve"> (b)</w:t>
      </w:r>
      <w:r w:rsidRPr="00042CE0">
        <w:t xml:space="preserve"> Polarization curves for rotation disk electrodes </w:t>
      </w:r>
      <w:r w:rsidR="00661F86" w:rsidRPr="00042CE0">
        <w:t xml:space="preserve">that </w:t>
      </w:r>
      <w:r w:rsidRPr="00042CE0">
        <w:t xml:space="preserve">load bimodal </w:t>
      </w:r>
      <w:proofErr w:type="spellStart"/>
      <w:r w:rsidRPr="00042CE0">
        <w:t>nanoporous</w:t>
      </w:r>
      <w:proofErr w:type="spellEnd"/>
      <w:r w:rsidRPr="00042CE0">
        <w:t xml:space="preserve"> </w:t>
      </w:r>
      <w:proofErr w:type="spellStart"/>
      <w:r w:rsidR="00583E56" w:rsidRPr="00583E56">
        <w:rPr>
          <w:highlight w:val="yellow"/>
        </w:rPr>
        <w:t>PdCu</w:t>
      </w:r>
      <w:proofErr w:type="spellEnd"/>
      <w:r w:rsidR="00583E56">
        <w:t xml:space="preserve"> </w:t>
      </w:r>
      <w:r w:rsidRPr="00042CE0">
        <w:t xml:space="preserve">before and after </w:t>
      </w:r>
      <w:r w:rsidR="00661F86" w:rsidRPr="00042CE0">
        <w:t xml:space="preserve">copper </w:t>
      </w:r>
      <w:r w:rsidRPr="00042CE0">
        <w:t xml:space="preserve">dissolution. </w:t>
      </w:r>
      <w:r w:rsidR="00661F86" w:rsidRPr="00042CE0">
        <w:t xml:space="preserve">The scan </w:t>
      </w:r>
      <w:r w:rsidRPr="00042CE0">
        <w:t>rate was 10 mV s</w:t>
      </w:r>
      <w:r w:rsidRPr="00042CE0">
        <w:rPr>
          <w:vertAlign w:val="superscript"/>
        </w:rPr>
        <w:t>−1</w:t>
      </w:r>
      <w:r w:rsidRPr="00042CE0">
        <w:t xml:space="preserve"> and </w:t>
      </w:r>
      <w:r w:rsidR="00661F86" w:rsidRPr="00042CE0">
        <w:t xml:space="preserve">the </w:t>
      </w:r>
      <w:r w:rsidR="00D87716" w:rsidRPr="00042CE0">
        <w:t xml:space="preserve">electrolyte was 0.1 </w:t>
      </w:r>
      <w:proofErr w:type="spellStart"/>
      <w:r w:rsidR="00D87716" w:rsidRPr="00042CE0">
        <w:t>mol</w:t>
      </w:r>
      <w:proofErr w:type="spellEnd"/>
      <w:r w:rsidR="00D87716" w:rsidRPr="00042CE0">
        <w:t xml:space="preserve"> </w:t>
      </w:r>
      <w:r w:rsidRPr="00042CE0">
        <w:t>L</w:t>
      </w:r>
      <w:r w:rsidR="00D87716" w:rsidRPr="00042CE0">
        <w:rPr>
          <w:vertAlign w:val="superscript"/>
        </w:rPr>
        <w:t>−1</w:t>
      </w:r>
      <w:r w:rsidRPr="00042CE0">
        <w:t xml:space="preserve"> H</w:t>
      </w:r>
      <w:r w:rsidRPr="00042CE0">
        <w:rPr>
          <w:vertAlign w:val="subscript"/>
        </w:rPr>
        <w:t>2</w:t>
      </w:r>
      <w:r w:rsidRPr="00042CE0">
        <w:t>SO</w:t>
      </w:r>
      <w:r w:rsidRPr="00042CE0">
        <w:rPr>
          <w:vertAlign w:val="subscript"/>
        </w:rPr>
        <w:t>4</w:t>
      </w:r>
      <w:r w:rsidRPr="00042CE0">
        <w:t>.</w:t>
      </w:r>
    </w:p>
    <w:p w14:paraId="6C1EAFF8" w14:textId="55FAD060" w:rsidR="008C4157" w:rsidRPr="00042CE0" w:rsidRDefault="00F70247" w:rsidP="00F70247">
      <w:pPr>
        <w:spacing w:after="240"/>
      </w:pPr>
      <w:r w:rsidRPr="00042CE0">
        <w:rPr>
          <w:b/>
        </w:rPr>
        <w:t xml:space="preserve">Figure </w:t>
      </w:r>
      <w:r w:rsidR="00DD3535" w:rsidRPr="00DD3535">
        <w:rPr>
          <w:b/>
          <w:highlight w:val="yellow"/>
        </w:rPr>
        <w:t>5</w:t>
      </w:r>
      <w:r w:rsidRPr="00042CE0">
        <w:rPr>
          <w:b/>
        </w:rPr>
        <w:t>.</w:t>
      </w:r>
      <w:r w:rsidRPr="00042CE0">
        <w:t xml:space="preserve"> </w:t>
      </w:r>
      <w:r w:rsidR="00E1307D" w:rsidRPr="009B50CE">
        <w:rPr>
          <w:highlight w:val="yellow"/>
        </w:rPr>
        <w:t>(Color online)</w:t>
      </w:r>
      <w:r w:rsidR="00E1307D">
        <w:t xml:space="preserve"> </w:t>
      </w:r>
      <w:r w:rsidR="00005992" w:rsidRPr="00042CE0">
        <w:t>B</w:t>
      </w:r>
      <w:r w:rsidR="008C4157" w:rsidRPr="00042CE0">
        <w:t>inding energies of O and O</w:t>
      </w:r>
      <w:r w:rsidR="008C4157" w:rsidRPr="00042CE0">
        <w:rPr>
          <w:vertAlign w:val="subscript"/>
        </w:rPr>
        <w:t>2</w:t>
      </w:r>
      <w:r w:rsidR="008C4157" w:rsidRPr="00042CE0">
        <w:t xml:space="preserve"> </w:t>
      </w:r>
      <w:r w:rsidR="00C10616" w:rsidRPr="00042CE0">
        <w:t>to</w:t>
      </w:r>
      <w:r w:rsidR="008C4157" w:rsidRPr="00042CE0">
        <w:t xml:space="preserve"> </w:t>
      </w:r>
      <w:proofErr w:type="spellStart"/>
      <w:r w:rsidR="008C4157" w:rsidRPr="00042CE0">
        <w:t>Pd</w:t>
      </w:r>
      <w:proofErr w:type="spellEnd"/>
      <w:r w:rsidR="006D36A6" w:rsidRPr="00042CE0">
        <w:rPr>
          <w:rFonts w:hint="eastAsia"/>
        </w:rPr>
        <w:t xml:space="preserve"> </w:t>
      </w:r>
      <w:r w:rsidR="006D36A6" w:rsidRPr="00042CE0">
        <w:t>surface</w:t>
      </w:r>
      <w:r w:rsidR="00005992" w:rsidRPr="00042CE0">
        <w:t xml:space="preserve">, (a) O binding energy at 0% strain for </w:t>
      </w:r>
      <w:proofErr w:type="spellStart"/>
      <w:r w:rsidR="00005992" w:rsidRPr="00042CE0">
        <w:t>fcc</w:t>
      </w:r>
      <w:proofErr w:type="spellEnd"/>
      <w:r w:rsidR="00005992" w:rsidRPr="00042CE0">
        <w:t>, hcp and top sites, (b) O</w:t>
      </w:r>
      <w:r w:rsidR="00005992" w:rsidRPr="00042CE0">
        <w:rPr>
          <w:vertAlign w:val="subscript"/>
        </w:rPr>
        <w:t>2</w:t>
      </w:r>
      <w:r w:rsidR="00005992" w:rsidRPr="00042CE0">
        <w:t xml:space="preserve"> binding energy at 0% strain for t-f-b, t-h-b and </w:t>
      </w:r>
      <w:r w:rsidR="00B96D75" w:rsidRPr="00042CE0">
        <w:t>t-b-t</w:t>
      </w:r>
      <w:r w:rsidR="00005992" w:rsidRPr="00042CE0">
        <w:t xml:space="preserve"> sites</w:t>
      </w:r>
      <w:r w:rsidR="00B96D75" w:rsidRPr="00042CE0">
        <w:t xml:space="preserve">, (c) O binding energy at 2% </w:t>
      </w:r>
      <w:r w:rsidR="00B96D75" w:rsidRPr="00042CE0">
        <w:rPr>
          <w:szCs w:val="24"/>
        </w:rPr>
        <w:t>contraction strain</w:t>
      </w:r>
      <w:r w:rsidR="00B96D75" w:rsidRPr="00042CE0">
        <w:t xml:space="preserve"> for </w:t>
      </w:r>
      <w:proofErr w:type="spellStart"/>
      <w:r w:rsidR="00B96D75" w:rsidRPr="00042CE0">
        <w:t>fcc</w:t>
      </w:r>
      <w:proofErr w:type="spellEnd"/>
      <w:r w:rsidR="00B96D75" w:rsidRPr="00042CE0">
        <w:t>, hcp and top sites, (d) O</w:t>
      </w:r>
      <w:r w:rsidR="00B96D75" w:rsidRPr="00042CE0">
        <w:rPr>
          <w:vertAlign w:val="subscript"/>
        </w:rPr>
        <w:t>2</w:t>
      </w:r>
      <w:r w:rsidR="00B96D75" w:rsidRPr="00042CE0">
        <w:t xml:space="preserve"> binding energy at 2% </w:t>
      </w:r>
      <w:r w:rsidR="00B96D75" w:rsidRPr="00042CE0">
        <w:rPr>
          <w:szCs w:val="24"/>
        </w:rPr>
        <w:t>contraction strain</w:t>
      </w:r>
      <w:r w:rsidR="00B96D75" w:rsidRPr="00042CE0">
        <w:t xml:space="preserve"> for t-f-b, t-h-b and t-b-t sites, (e) O binding energy at 2% expansion strain for </w:t>
      </w:r>
      <w:proofErr w:type="spellStart"/>
      <w:r w:rsidR="00B96D75" w:rsidRPr="00042CE0">
        <w:t>fcc</w:t>
      </w:r>
      <w:proofErr w:type="spellEnd"/>
      <w:r w:rsidR="00B96D75" w:rsidRPr="00042CE0">
        <w:t>, hcp and top sites, (f) O</w:t>
      </w:r>
      <w:r w:rsidR="00B96D75" w:rsidRPr="00042CE0">
        <w:rPr>
          <w:vertAlign w:val="subscript"/>
        </w:rPr>
        <w:t>2</w:t>
      </w:r>
      <w:r w:rsidR="00B96D75" w:rsidRPr="00042CE0">
        <w:t xml:space="preserve"> binding energy at 2% expansion </w:t>
      </w:r>
      <w:r w:rsidR="00B96D75" w:rsidRPr="00042CE0">
        <w:lastRenderedPageBreak/>
        <w:t xml:space="preserve">strain for t-f-b, t-h-b and t-b-t sites. </w:t>
      </w:r>
    </w:p>
    <w:p w14:paraId="7747B280" w14:textId="638FFD43" w:rsidR="00F70247" w:rsidRPr="00042CE0" w:rsidRDefault="00F70247" w:rsidP="00F70247">
      <w:pPr>
        <w:spacing w:after="240"/>
      </w:pPr>
      <w:r w:rsidRPr="00042CE0">
        <w:rPr>
          <w:b/>
        </w:rPr>
        <w:t xml:space="preserve">Figure </w:t>
      </w:r>
      <w:r w:rsidR="00DD3535" w:rsidRPr="00DD3535">
        <w:rPr>
          <w:b/>
          <w:highlight w:val="yellow"/>
        </w:rPr>
        <w:t>6</w:t>
      </w:r>
      <w:r w:rsidRPr="00042CE0">
        <w:rPr>
          <w:b/>
        </w:rPr>
        <w:t>.</w:t>
      </w:r>
      <w:r w:rsidRPr="00042CE0">
        <w:t xml:space="preserve"> </w:t>
      </w:r>
      <w:r w:rsidR="00E1307D" w:rsidRPr="009B50CE">
        <w:rPr>
          <w:highlight w:val="yellow"/>
        </w:rPr>
        <w:t>(Color online)</w:t>
      </w:r>
      <w:r w:rsidR="00E1307D">
        <w:t xml:space="preserve"> </w:t>
      </w:r>
      <w:r w:rsidR="00B96D75" w:rsidRPr="00042CE0">
        <w:t>Binding energies of O and O</w:t>
      </w:r>
      <w:r w:rsidR="00B96D75" w:rsidRPr="00042CE0">
        <w:rPr>
          <w:vertAlign w:val="subscript"/>
        </w:rPr>
        <w:t>2</w:t>
      </w:r>
      <w:r w:rsidR="00B96D75" w:rsidRPr="00042CE0">
        <w:t xml:space="preserve"> </w:t>
      </w:r>
      <w:r w:rsidR="00C10616" w:rsidRPr="00042CE0">
        <w:t>to</w:t>
      </w:r>
      <w:r w:rsidR="00B96D75" w:rsidRPr="00042CE0">
        <w:t xml:space="preserve"> </w:t>
      </w:r>
      <w:proofErr w:type="spellStart"/>
      <w:r w:rsidR="00B96D75" w:rsidRPr="00A33AB5">
        <w:rPr>
          <w:highlight w:val="yellow"/>
        </w:rPr>
        <w:t>PdCu</w:t>
      </w:r>
      <w:proofErr w:type="spellEnd"/>
      <w:r w:rsidR="00521773" w:rsidRPr="00042CE0">
        <w:t xml:space="preserve"> surface</w:t>
      </w:r>
      <w:r w:rsidR="00B96D75" w:rsidRPr="00042CE0">
        <w:t xml:space="preserve">, (a) O binding energy at 0% strain for </w:t>
      </w:r>
      <w:proofErr w:type="spellStart"/>
      <w:r w:rsidR="00B96D75" w:rsidRPr="00042CE0">
        <w:t>fcc</w:t>
      </w:r>
      <w:proofErr w:type="spellEnd"/>
      <w:r w:rsidR="00B96D75" w:rsidRPr="00042CE0">
        <w:t>, hcp and top sites, (b) O</w:t>
      </w:r>
      <w:r w:rsidR="00B96D75" w:rsidRPr="00042CE0">
        <w:rPr>
          <w:vertAlign w:val="subscript"/>
        </w:rPr>
        <w:t>2</w:t>
      </w:r>
      <w:r w:rsidR="00B96D75" w:rsidRPr="00042CE0">
        <w:t xml:space="preserve"> binding energy at 0% strain for t-f-b, t-h-b and t-b-t sites, (c) O binding energy at 2% </w:t>
      </w:r>
      <w:r w:rsidR="00B96D75" w:rsidRPr="00042CE0">
        <w:rPr>
          <w:szCs w:val="24"/>
        </w:rPr>
        <w:t>contraction strain</w:t>
      </w:r>
      <w:r w:rsidR="00B96D75" w:rsidRPr="00042CE0">
        <w:t xml:space="preserve"> for </w:t>
      </w:r>
      <w:proofErr w:type="spellStart"/>
      <w:r w:rsidR="00B96D75" w:rsidRPr="00042CE0">
        <w:t>fcc</w:t>
      </w:r>
      <w:proofErr w:type="spellEnd"/>
      <w:r w:rsidR="00B96D75" w:rsidRPr="00042CE0">
        <w:t>, hcp and top sites, (d) O</w:t>
      </w:r>
      <w:r w:rsidR="00B96D75" w:rsidRPr="00042CE0">
        <w:rPr>
          <w:vertAlign w:val="subscript"/>
        </w:rPr>
        <w:t>2</w:t>
      </w:r>
      <w:r w:rsidR="00B96D75" w:rsidRPr="00042CE0">
        <w:t xml:space="preserve"> binding energy at 2% </w:t>
      </w:r>
      <w:r w:rsidR="00B96D75" w:rsidRPr="00042CE0">
        <w:rPr>
          <w:szCs w:val="24"/>
        </w:rPr>
        <w:t>contraction strain</w:t>
      </w:r>
      <w:r w:rsidR="00B96D75" w:rsidRPr="00042CE0">
        <w:t xml:space="preserve"> for t-f-b, t-h-b and t-b-t sites, (e) O binding energy at 2% expansion strain for </w:t>
      </w:r>
      <w:proofErr w:type="spellStart"/>
      <w:r w:rsidR="00B96D75" w:rsidRPr="00042CE0">
        <w:t>fcc</w:t>
      </w:r>
      <w:proofErr w:type="spellEnd"/>
      <w:r w:rsidR="00B96D75" w:rsidRPr="00042CE0">
        <w:t>, hcp and top sites, (f) O</w:t>
      </w:r>
      <w:r w:rsidR="00B96D75" w:rsidRPr="00042CE0">
        <w:rPr>
          <w:vertAlign w:val="subscript"/>
        </w:rPr>
        <w:t>2</w:t>
      </w:r>
      <w:r w:rsidR="00B96D75" w:rsidRPr="00042CE0">
        <w:t xml:space="preserve"> binding energy at</w:t>
      </w:r>
      <w:r w:rsidR="00521773" w:rsidRPr="00042CE0">
        <w:t xml:space="preserve"> </w:t>
      </w:r>
      <w:r w:rsidR="00B96D75" w:rsidRPr="00042CE0">
        <w:t>2% expansion strain for t-f-b, t-h-b and t-b-t sites.</w:t>
      </w:r>
    </w:p>
    <w:p w14:paraId="50DAD03F" w14:textId="63C47849" w:rsidR="00F70247" w:rsidRPr="00042CE0" w:rsidRDefault="00F70247" w:rsidP="00087BC1">
      <w:pPr>
        <w:spacing w:after="240"/>
      </w:pPr>
      <w:r w:rsidRPr="00042CE0">
        <w:rPr>
          <w:b/>
        </w:rPr>
        <w:t xml:space="preserve">Figure </w:t>
      </w:r>
      <w:r w:rsidR="00DD3535" w:rsidRPr="00DD3535">
        <w:rPr>
          <w:b/>
          <w:highlight w:val="yellow"/>
        </w:rPr>
        <w:t>7</w:t>
      </w:r>
      <w:r w:rsidRPr="00042CE0">
        <w:rPr>
          <w:b/>
        </w:rPr>
        <w:t>.</w:t>
      </w:r>
      <w:r w:rsidRPr="00042CE0">
        <w:t xml:space="preserve"> </w:t>
      </w:r>
      <w:r w:rsidR="009B50CE" w:rsidRPr="009B50CE">
        <w:rPr>
          <w:highlight w:val="yellow"/>
        </w:rPr>
        <w:t>(Color online)</w:t>
      </w:r>
      <w:r w:rsidR="009B50CE">
        <w:t xml:space="preserve"> </w:t>
      </w:r>
      <w:r w:rsidR="00F872FD" w:rsidRPr="00042CE0">
        <w:rPr>
          <w:szCs w:val="24"/>
        </w:rPr>
        <w:t xml:space="preserve">Charge density </w:t>
      </w:r>
      <w:r w:rsidR="00210419" w:rsidRPr="00042CE0">
        <w:rPr>
          <w:rFonts w:hint="eastAsia"/>
          <w:szCs w:val="24"/>
        </w:rPr>
        <w:t>distrib</w:t>
      </w:r>
      <w:r w:rsidR="00813BA2" w:rsidRPr="00042CE0">
        <w:rPr>
          <w:szCs w:val="24"/>
        </w:rPr>
        <w:t>u</w:t>
      </w:r>
      <w:r w:rsidR="00210419" w:rsidRPr="00042CE0">
        <w:rPr>
          <w:rFonts w:hint="eastAsia"/>
          <w:szCs w:val="24"/>
        </w:rPr>
        <w:t>tion</w:t>
      </w:r>
      <w:r w:rsidR="00F872FD" w:rsidRPr="00042CE0">
        <w:rPr>
          <w:szCs w:val="24"/>
        </w:rPr>
        <w:t xml:space="preserve"> between </w:t>
      </w:r>
      <w:r w:rsidR="00F872FD" w:rsidRPr="00042CE0">
        <w:t>palladium</w:t>
      </w:r>
      <w:r w:rsidR="00F872FD" w:rsidRPr="00042CE0">
        <w:rPr>
          <w:szCs w:val="24"/>
        </w:rPr>
        <w:t xml:space="preserve"> and oxygen atoms, (a) </w:t>
      </w:r>
      <w:proofErr w:type="spellStart"/>
      <w:r w:rsidR="00F872FD" w:rsidRPr="00042CE0">
        <w:rPr>
          <w:szCs w:val="24"/>
        </w:rPr>
        <w:t>Pd</w:t>
      </w:r>
      <w:proofErr w:type="spellEnd"/>
      <w:r w:rsidR="00F872FD" w:rsidRPr="00042CE0">
        <w:rPr>
          <w:szCs w:val="24"/>
        </w:rPr>
        <w:t xml:space="preserve"> surface with 0% strain, (b) </w:t>
      </w:r>
      <w:proofErr w:type="spellStart"/>
      <w:r w:rsidR="00813BA2" w:rsidRPr="00042CE0">
        <w:rPr>
          <w:szCs w:val="24"/>
        </w:rPr>
        <w:t>Pd</w:t>
      </w:r>
      <w:proofErr w:type="spellEnd"/>
      <w:r w:rsidR="00813BA2" w:rsidRPr="00042CE0">
        <w:rPr>
          <w:szCs w:val="24"/>
        </w:rPr>
        <w:t xml:space="preserve"> surface </w:t>
      </w:r>
      <w:r w:rsidR="00F872FD" w:rsidRPr="00042CE0">
        <w:rPr>
          <w:szCs w:val="24"/>
        </w:rPr>
        <w:t xml:space="preserve">with </w:t>
      </w:r>
      <w:r w:rsidR="00F872FD" w:rsidRPr="00042CE0">
        <w:t xml:space="preserve">2% </w:t>
      </w:r>
      <w:r w:rsidR="00F872FD" w:rsidRPr="00042CE0">
        <w:rPr>
          <w:szCs w:val="24"/>
        </w:rPr>
        <w:t xml:space="preserve">contraction strain and (c) </w:t>
      </w:r>
      <w:proofErr w:type="spellStart"/>
      <w:r w:rsidR="00F872FD" w:rsidRPr="00042CE0">
        <w:rPr>
          <w:szCs w:val="24"/>
        </w:rPr>
        <w:t>PdCu</w:t>
      </w:r>
      <w:proofErr w:type="spellEnd"/>
      <w:r w:rsidR="00F872FD" w:rsidRPr="00042CE0">
        <w:rPr>
          <w:szCs w:val="24"/>
        </w:rPr>
        <w:t xml:space="preserve"> surface with 0% strain.</w:t>
      </w:r>
    </w:p>
    <w:sectPr w:rsidR="00F70247" w:rsidRPr="00042CE0" w:rsidSect="00A6265E">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115A8" w14:textId="77777777" w:rsidR="002D3A0B" w:rsidRDefault="002D3A0B" w:rsidP="00FB0E0D">
      <w:pPr>
        <w:spacing w:after="240" w:line="240" w:lineRule="auto"/>
      </w:pPr>
      <w:r>
        <w:separator/>
      </w:r>
    </w:p>
    <w:p w14:paraId="5DC8A2B3" w14:textId="77777777" w:rsidR="002D3A0B" w:rsidRDefault="002D3A0B">
      <w:pPr>
        <w:spacing w:after="240"/>
      </w:pPr>
    </w:p>
  </w:endnote>
  <w:endnote w:type="continuationSeparator" w:id="0">
    <w:p w14:paraId="7DB67381" w14:textId="77777777" w:rsidR="002D3A0B" w:rsidRDefault="002D3A0B" w:rsidP="00FB0E0D">
      <w:pPr>
        <w:spacing w:after="240" w:line="240" w:lineRule="auto"/>
      </w:pPr>
      <w:r>
        <w:continuationSeparator/>
      </w:r>
    </w:p>
    <w:p w14:paraId="5B7A1CF7" w14:textId="77777777" w:rsidR="002D3A0B" w:rsidRDefault="002D3A0B">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FBC86" w14:textId="77777777" w:rsidR="00CE0CCA" w:rsidRDefault="00CE0CCA">
    <w:pPr>
      <w:pStyle w:val="a9"/>
      <w:spacing w:after="240"/>
    </w:pPr>
  </w:p>
  <w:p w14:paraId="2D003607" w14:textId="77777777" w:rsidR="00CE0CCA" w:rsidRDefault="00CE0CCA">
    <w:pPr>
      <w:spacing w:after="24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A1B02" w14:textId="7D30DC80" w:rsidR="00CE0CCA" w:rsidRDefault="00CE0CCA" w:rsidP="004F1E6C">
    <w:pPr>
      <w:pStyle w:val="a9"/>
      <w:spacing w:after="240"/>
      <w:jc w:val="center"/>
    </w:pPr>
    <w:r>
      <w:fldChar w:fldCharType="begin"/>
    </w:r>
    <w:r>
      <w:instrText>PAGE   \* MERGEFORMAT</w:instrText>
    </w:r>
    <w:r>
      <w:fldChar w:fldCharType="separate"/>
    </w:r>
    <w:r w:rsidR="004F4E0D" w:rsidRPr="004F4E0D">
      <w:rPr>
        <w:noProof/>
        <w:lang w:val="ja-JP"/>
      </w:rPr>
      <w:t>12</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45C68" w14:textId="77777777" w:rsidR="00CE0CCA" w:rsidRDefault="00CE0CCA">
    <w:pPr>
      <w:pStyle w:val="a9"/>
      <w:spacing w:after="2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8F65C" w14:textId="77777777" w:rsidR="002D3A0B" w:rsidRDefault="002D3A0B" w:rsidP="00FB0E0D">
      <w:pPr>
        <w:spacing w:after="240" w:line="240" w:lineRule="auto"/>
      </w:pPr>
      <w:r>
        <w:separator/>
      </w:r>
    </w:p>
    <w:p w14:paraId="4750259A" w14:textId="77777777" w:rsidR="002D3A0B" w:rsidRDefault="002D3A0B">
      <w:pPr>
        <w:spacing w:after="240"/>
      </w:pPr>
    </w:p>
  </w:footnote>
  <w:footnote w:type="continuationSeparator" w:id="0">
    <w:p w14:paraId="0FF79E74" w14:textId="77777777" w:rsidR="002D3A0B" w:rsidRDefault="002D3A0B" w:rsidP="00FB0E0D">
      <w:pPr>
        <w:spacing w:after="240" w:line="240" w:lineRule="auto"/>
      </w:pPr>
      <w:r>
        <w:continuationSeparator/>
      </w:r>
    </w:p>
    <w:p w14:paraId="29868C41" w14:textId="77777777" w:rsidR="002D3A0B" w:rsidRDefault="002D3A0B">
      <w:pPr>
        <w:spacing w:after="24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EC7D2" w14:textId="77777777" w:rsidR="00CE0CCA" w:rsidRDefault="00CE0CCA">
    <w:pPr>
      <w:pStyle w:val="a7"/>
      <w:spacing w:after="240"/>
    </w:pPr>
  </w:p>
  <w:p w14:paraId="26B48A3F" w14:textId="77777777" w:rsidR="00CE0CCA" w:rsidRDefault="00CE0CCA">
    <w:pPr>
      <w:spacing w:after="24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40C56" w14:textId="77777777" w:rsidR="00CE0CCA" w:rsidRDefault="00CE0CCA">
    <w:pPr>
      <w:spacing w:after="24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38512" w14:textId="77777777" w:rsidR="00CE0CCA" w:rsidRDefault="00CE0CCA">
    <w:pPr>
      <w:pStyle w:val="a7"/>
      <w:spacing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506"/>
    <w:rsid w:val="00001247"/>
    <w:rsid w:val="00001675"/>
    <w:rsid w:val="00005992"/>
    <w:rsid w:val="0001069D"/>
    <w:rsid w:val="000117C2"/>
    <w:rsid w:val="000149B1"/>
    <w:rsid w:val="00030419"/>
    <w:rsid w:val="00031FA8"/>
    <w:rsid w:val="00034113"/>
    <w:rsid w:val="00034C95"/>
    <w:rsid w:val="00042BA1"/>
    <w:rsid w:val="00042CE0"/>
    <w:rsid w:val="0004494B"/>
    <w:rsid w:val="00050A6C"/>
    <w:rsid w:val="00050D78"/>
    <w:rsid w:val="00053DC7"/>
    <w:rsid w:val="00053F75"/>
    <w:rsid w:val="0005455C"/>
    <w:rsid w:val="00061022"/>
    <w:rsid w:val="00061D95"/>
    <w:rsid w:val="00061DE1"/>
    <w:rsid w:val="00062A68"/>
    <w:rsid w:val="000802FD"/>
    <w:rsid w:val="00080F25"/>
    <w:rsid w:val="00081075"/>
    <w:rsid w:val="00085FA1"/>
    <w:rsid w:val="00087BC1"/>
    <w:rsid w:val="00087E92"/>
    <w:rsid w:val="000955F3"/>
    <w:rsid w:val="00095C05"/>
    <w:rsid w:val="000A32F0"/>
    <w:rsid w:val="000A6D62"/>
    <w:rsid w:val="000A70DE"/>
    <w:rsid w:val="000B03C7"/>
    <w:rsid w:val="000B74C0"/>
    <w:rsid w:val="000C2B00"/>
    <w:rsid w:val="000C3368"/>
    <w:rsid w:val="000C6CA9"/>
    <w:rsid w:val="000C7882"/>
    <w:rsid w:val="000D54C2"/>
    <w:rsid w:val="000D6418"/>
    <w:rsid w:val="000D65D9"/>
    <w:rsid w:val="000E03CB"/>
    <w:rsid w:val="000E0A71"/>
    <w:rsid w:val="000E3E48"/>
    <w:rsid w:val="000E6723"/>
    <w:rsid w:val="000F1F08"/>
    <w:rsid w:val="00101312"/>
    <w:rsid w:val="00103C8A"/>
    <w:rsid w:val="00107033"/>
    <w:rsid w:val="001160AB"/>
    <w:rsid w:val="00121158"/>
    <w:rsid w:val="00123551"/>
    <w:rsid w:val="001310AD"/>
    <w:rsid w:val="00135DA1"/>
    <w:rsid w:val="00135F23"/>
    <w:rsid w:val="00136C7C"/>
    <w:rsid w:val="0014189E"/>
    <w:rsid w:val="00141D6C"/>
    <w:rsid w:val="00147764"/>
    <w:rsid w:val="00147FB4"/>
    <w:rsid w:val="00151E7F"/>
    <w:rsid w:val="00154187"/>
    <w:rsid w:val="00155FCE"/>
    <w:rsid w:val="00160363"/>
    <w:rsid w:val="00161C0A"/>
    <w:rsid w:val="00162B52"/>
    <w:rsid w:val="0017265E"/>
    <w:rsid w:val="001774B2"/>
    <w:rsid w:val="0018499E"/>
    <w:rsid w:val="00195A62"/>
    <w:rsid w:val="0019722A"/>
    <w:rsid w:val="001A30C1"/>
    <w:rsid w:val="001A6EBD"/>
    <w:rsid w:val="001A785C"/>
    <w:rsid w:val="001B4017"/>
    <w:rsid w:val="001B43D2"/>
    <w:rsid w:val="001B5F5D"/>
    <w:rsid w:val="001C0FC8"/>
    <w:rsid w:val="001C1322"/>
    <w:rsid w:val="001C5102"/>
    <w:rsid w:val="001D46E8"/>
    <w:rsid w:val="001D53FD"/>
    <w:rsid w:val="001D5FD1"/>
    <w:rsid w:val="001E16AC"/>
    <w:rsid w:val="001E7561"/>
    <w:rsid w:val="001F04C6"/>
    <w:rsid w:val="001F2A92"/>
    <w:rsid w:val="001F3B35"/>
    <w:rsid w:val="001F4F3F"/>
    <w:rsid w:val="001F76C1"/>
    <w:rsid w:val="002026B2"/>
    <w:rsid w:val="0020746E"/>
    <w:rsid w:val="00210419"/>
    <w:rsid w:val="002151B7"/>
    <w:rsid w:val="00215220"/>
    <w:rsid w:val="00215F26"/>
    <w:rsid w:val="002163AA"/>
    <w:rsid w:val="00226432"/>
    <w:rsid w:val="00234128"/>
    <w:rsid w:val="00234280"/>
    <w:rsid w:val="00236668"/>
    <w:rsid w:val="00237FF0"/>
    <w:rsid w:val="002412EE"/>
    <w:rsid w:val="00241D5C"/>
    <w:rsid w:val="00241DB6"/>
    <w:rsid w:val="0024212E"/>
    <w:rsid w:val="002424A5"/>
    <w:rsid w:val="0024301E"/>
    <w:rsid w:val="002449EC"/>
    <w:rsid w:val="00251A1F"/>
    <w:rsid w:val="00252A07"/>
    <w:rsid w:val="00256D5C"/>
    <w:rsid w:val="00260F40"/>
    <w:rsid w:val="00263E26"/>
    <w:rsid w:val="00272B4E"/>
    <w:rsid w:val="00276ED2"/>
    <w:rsid w:val="002779D9"/>
    <w:rsid w:val="00281113"/>
    <w:rsid w:val="00281719"/>
    <w:rsid w:val="00293F4D"/>
    <w:rsid w:val="002A1EF3"/>
    <w:rsid w:val="002A3E6A"/>
    <w:rsid w:val="002A4A36"/>
    <w:rsid w:val="002A4DFC"/>
    <w:rsid w:val="002B05D7"/>
    <w:rsid w:val="002B7FE3"/>
    <w:rsid w:val="002C2737"/>
    <w:rsid w:val="002C32E8"/>
    <w:rsid w:val="002C3887"/>
    <w:rsid w:val="002C4741"/>
    <w:rsid w:val="002C5324"/>
    <w:rsid w:val="002D1141"/>
    <w:rsid w:val="002D3A0B"/>
    <w:rsid w:val="002D4109"/>
    <w:rsid w:val="002E0FB1"/>
    <w:rsid w:val="002E1BF3"/>
    <w:rsid w:val="002E1D75"/>
    <w:rsid w:val="002E4CCA"/>
    <w:rsid w:val="002E50C2"/>
    <w:rsid w:val="002F1F91"/>
    <w:rsid w:val="002F273B"/>
    <w:rsid w:val="002F6F08"/>
    <w:rsid w:val="00300110"/>
    <w:rsid w:val="0030146F"/>
    <w:rsid w:val="00307B06"/>
    <w:rsid w:val="00322876"/>
    <w:rsid w:val="003243B0"/>
    <w:rsid w:val="0033396D"/>
    <w:rsid w:val="00333A9F"/>
    <w:rsid w:val="00335E53"/>
    <w:rsid w:val="0034439B"/>
    <w:rsid w:val="00344523"/>
    <w:rsid w:val="00351056"/>
    <w:rsid w:val="003513DC"/>
    <w:rsid w:val="00355DF6"/>
    <w:rsid w:val="003560B4"/>
    <w:rsid w:val="0036213F"/>
    <w:rsid w:val="003724F2"/>
    <w:rsid w:val="0037512A"/>
    <w:rsid w:val="003757D2"/>
    <w:rsid w:val="0037604F"/>
    <w:rsid w:val="003768A8"/>
    <w:rsid w:val="00376B37"/>
    <w:rsid w:val="0038653D"/>
    <w:rsid w:val="003967FC"/>
    <w:rsid w:val="00396D3F"/>
    <w:rsid w:val="003A05C9"/>
    <w:rsid w:val="003A0ED9"/>
    <w:rsid w:val="003A1C75"/>
    <w:rsid w:val="003B0756"/>
    <w:rsid w:val="003B4BC3"/>
    <w:rsid w:val="003B6147"/>
    <w:rsid w:val="003B75D2"/>
    <w:rsid w:val="003C0506"/>
    <w:rsid w:val="003C171C"/>
    <w:rsid w:val="003C5818"/>
    <w:rsid w:val="003D2AD1"/>
    <w:rsid w:val="003D68DE"/>
    <w:rsid w:val="003D7491"/>
    <w:rsid w:val="003E0ACA"/>
    <w:rsid w:val="003F1700"/>
    <w:rsid w:val="003F1C48"/>
    <w:rsid w:val="003F4DDB"/>
    <w:rsid w:val="004043C8"/>
    <w:rsid w:val="004121E5"/>
    <w:rsid w:val="00412C79"/>
    <w:rsid w:val="00424E23"/>
    <w:rsid w:val="00425AFC"/>
    <w:rsid w:val="00425DA8"/>
    <w:rsid w:val="00430E8A"/>
    <w:rsid w:val="00437E87"/>
    <w:rsid w:val="004439A5"/>
    <w:rsid w:val="00444B82"/>
    <w:rsid w:val="00450DD8"/>
    <w:rsid w:val="00451659"/>
    <w:rsid w:val="00457BA9"/>
    <w:rsid w:val="00460BEC"/>
    <w:rsid w:val="004633B3"/>
    <w:rsid w:val="00463A97"/>
    <w:rsid w:val="0046575A"/>
    <w:rsid w:val="00470429"/>
    <w:rsid w:val="0047126E"/>
    <w:rsid w:val="004767D6"/>
    <w:rsid w:val="004823C1"/>
    <w:rsid w:val="00483B55"/>
    <w:rsid w:val="00484787"/>
    <w:rsid w:val="00493680"/>
    <w:rsid w:val="0049378F"/>
    <w:rsid w:val="004B0435"/>
    <w:rsid w:val="004B1B18"/>
    <w:rsid w:val="004C1BE7"/>
    <w:rsid w:val="004C4132"/>
    <w:rsid w:val="004D4404"/>
    <w:rsid w:val="004D511C"/>
    <w:rsid w:val="004D75D1"/>
    <w:rsid w:val="004E12DE"/>
    <w:rsid w:val="004E1492"/>
    <w:rsid w:val="004E2968"/>
    <w:rsid w:val="004F1E6C"/>
    <w:rsid w:val="004F49A6"/>
    <w:rsid w:val="004F4E0D"/>
    <w:rsid w:val="00505173"/>
    <w:rsid w:val="00512EFB"/>
    <w:rsid w:val="005167C5"/>
    <w:rsid w:val="00516D22"/>
    <w:rsid w:val="00520E54"/>
    <w:rsid w:val="00521773"/>
    <w:rsid w:val="005345FB"/>
    <w:rsid w:val="00541F8C"/>
    <w:rsid w:val="005421CB"/>
    <w:rsid w:val="005449ED"/>
    <w:rsid w:val="00546640"/>
    <w:rsid w:val="00550566"/>
    <w:rsid w:val="00562CCE"/>
    <w:rsid w:val="0056482F"/>
    <w:rsid w:val="00564BF3"/>
    <w:rsid w:val="00565656"/>
    <w:rsid w:val="005821F7"/>
    <w:rsid w:val="00583E56"/>
    <w:rsid w:val="00586184"/>
    <w:rsid w:val="00587581"/>
    <w:rsid w:val="0059459F"/>
    <w:rsid w:val="0059550A"/>
    <w:rsid w:val="005A0754"/>
    <w:rsid w:val="005A146B"/>
    <w:rsid w:val="005B40F1"/>
    <w:rsid w:val="005B48DB"/>
    <w:rsid w:val="005C1F7A"/>
    <w:rsid w:val="005C3EBA"/>
    <w:rsid w:val="005C6A04"/>
    <w:rsid w:val="005D2D53"/>
    <w:rsid w:val="005D46B5"/>
    <w:rsid w:val="005E176A"/>
    <w:rsid w:val="005E18CF"/>
    <w:rsid w:val="005E468D"/>
    <w:rsid w:val="005E4AA5"/>
    <w:rsid w:val="005F186C"/>
    <w:rsid w:val="005F6946"/>
    <w:rsid w:val="00601855"/>
    <w:rsid w:val="00602FEC"/>
    <w:rsid w:val="0060508E"/>
    <w:rsid w:val="0060746F"/>
    <w:rsid w:val="00612A8A"/>
    <w:rsid w:val="00614E6D"/>
    <w:rsid w:val="006160BD"/>
    <w:rsid w:val="0061722C"/>
    <w:rsid w:val="006242BD"/>
    <w:rsid w:val="006245F2"/>
    <w:rsid w:val="00632242"/>
    <w:rsid w:val="006327C1"/>
    <w:rsid w:val="0063574F"/>
    <w:rsid w:val="00636B11"/>
    <w:rsid w:val="00636D64"/>
    <w:rsid w:val="006410C7"/>
    <w:rsid w:val="00641CB6"/>
    <w:rsid w:val="00653588"/>
    <w:rsid w:val="0065797A"/>
    <w:rsid w:val="00660F8C"/>
    <w:rsid w:val="00661ADF"/>
    <w:rsid w:val="00661F86"/>
    <w:rsid w:val="006620D1"/>
    <w:rsid w:val="006670A8"/>
    <w:rsid w:val="00667EDE"/>
    <w:rsid w:val="00667F63"/>
    <w:rsid w:val="006705A0"/>
    <w:rsid w:val="0067190B"/>
    <w:rsid w:val="0067197B"/>
    <w:rsid w:val="0067217D"/>
    <w:rsid w:val="00672F01"/>
    <w:rsid w:val="00674B0D"/>
    <w:rsid w:val="00674DEC"/>
    <w:rsid w:val="006769FB"/>
    <w:rsid w:val="0068047A"/>
    <w:rsid w:val="0068068C"/>
    <w:rsid w:val="00684191"/>
    <w:rsid w:val="00686E26"/>
    <w:rsid w:val="006976AE"/>
    <w:rsid w:val="006A0341"/>
    <w:rsid w:val="006A6E03"/>
    <w:rsid w:val="006B1862"/>
    <w:rsid w:val="006B6DF0"/>
    <w:rsid w:val="006C11CE"/>
    <w:rsid w:val="006C2B42"/>
    <w:rsid w:val="006C655A"/>
    <w:rsid w:val="006D36A6"/>
    <w:rsid w:val="006D3D40"/>
    <w:rsid w:val="006D5014"/>
    <w:rsid w:val="006E1CA2"/>
    <w:rsid w:val="006E45BE"/>
    <w:rsid w:val="007165ED"/>
    <w:rsid w:val="00720481"/>
    <w:rsid w:val="00726ECA"/>
    <w:rsid w:val="00731F8F"/>
    <w:rsid w:val="00735C11"/>
    <w:rsid w:val="00741E3B"/>
    <w:rsid w:val="007456AE"/>
    <w:rsid w:val="00753178"/>
    <w:rsid w:val="00762486"/>
    <w:rsid w:val="00762F3B"/>
    <w:rsid w:val="00763160"/>
    <w:rsid w:val="00764C20"/>
    <w:rsid w:val="00765276"/>
    <w:rsid w:val="00771A17"/>
    <w:rsid w:val="00772073"/>
    <w:rsid w:val="00776284"/>
    <w:rsid w:val="00777192"/>
    <w:rsid w:val="00777389"/>
    <w:rsid w:val="00780008"/>
    <w:rsid w:val="00785AA5"/>
    <w:rsid w:val="007A4792"/>
    <w:rsid w:val="007A4EE3"/>
    <w:rsid w:val="007A6E47"/>
    <w:rsid w:val="007B0989"/>
    <w:rsid w:val="007C020C"/>
    <w:rsid w:val="007C0F8F"/>
    <w:rsid w:val="007C16A2"/>
    <w:rsid w:val="007C1D68"/>
    <w:rsid w:val="007D4166"/>
    <w:rsid w:val="007D4CCE"/>
    <w:rsid w:val="007D682B"/>
    <w:rsid w:val="007E0153"/>
    <w:rsid w:val="007E604A"/>
    <w:rsid w:val="007F0285"/>
    <w:rsid w:val="007F03BB"/>
    <w:rsid w:val="007F08BC"/>
    <w:rsid w:val="007F27E9"/>
    <w:rsid w:val="007F58B1"/>
    <w:rsid w:val="00802EE9"/>
    <w:rsid w:val="00813BA2"/>
    <w:rsid w:val="00816BB1"/>
    <w:rsid w:val="00831CA8"/>
    <w:rsid w:val="00832CAD"/>
    <w:rsid w:val="00833133"/>
    <w:rsid w:val="00833EAB"/>
    <w:rsid w:val="0083402D"/>
    <w:rsid w:val="00836D90"/>
    <w:rsid w:val="00841FEF"/>
    <w:rsid w:val="0084254F"/>
    <w:rsid w:val="00843967"/>
    <w:rsid w:val="008533C9"/>
    <w:rsid w:val="00853986"/>
    <w:rsid w:val="00863514"/>
    <w:rsid w:val="00867BC7"/>
    <w:rsid w:val="00871785"/>
    <w:rsid w:val="00877B27"/>
    <w:rsid w:val="0088047A"/>
    <w:rsid w:val="00880C39"/>
    <w:rsid w:val="00883D9A"/>
    <w:rsid w:val="00883E6E"/>
    <w:rsid w:val="00884591"/>
    <w:rsid w:val="00886304"/>
    <w:rsid w:val="008A0AB3"/>
    <w:rsid w:val="008A300E"/>
    <w:rsid w:val="008B0281"/>
    <w:rsid w:val="008B62D3"/>
    <w:rsid w:val="008C4157"/>
    <w:rsid w:val="008C73C2"/>
    <w:rsid w:val="008C7A33"/>
    <w:rsid w:val="008D4241"/>
    <w:rsid w:val="008D4A46"/>
    <w:rsid w:val="008D5ABF"/>
    <w:rsid w:val="008E18F6"/>
    <w:rsid w:val="008F1106"/>
    <w:rsid w:val="008F2652"/>
    <w:rsid w:val="008F2ACE"/>
    <w:rsid w:val="009022CF"/>
    <w:rsid w:val="00903B6D"/>
    <w:rsid w:val="00910182"/>
    <w:rsid w:val="0091030B"/>
    <w:rsid w:val="00910411"/>
    <w:rsid w:val="00911897"/>
    <w:rsid w:val="00912812"/>
    <w:rsid w:val="00925C95"/>
    <w:rsid w:val="00926FA9"/>
    <w:rsid w:val="00931EBE"/>
    <w:rsid w:val="009332AD"/>
    <w:rsid w:val="00934043"/>
    <w:rsid w:val="00934E37"/>
    <w:rsid w:val="00940FBB"/>
    <w:rsid w:val="009426EE"/>
    <w:rsid w:val="00945133"/>
    <w:rsid w:val="009502AF"/>
    <w:rsid w:val="00951C24"/>
    <w:rsid w:val="0095322B"/>
    <w:rsid w:val="0096020F"/>
    <w:rsid w:val="00970B4A"/>
    <w:rsid w:val="00972140"/>
    <w:rsid w:val="009726F5"/>
    <w:rsid w:val="0097439C"/>
    <w:rsid w:val="00980B78"/>
    <w:rsid w:val="00983001"/>
    <w:rsid w:val="00985A7F"/>
    <w:rsid w:val="009906A6"/>
    <w:rsid w:val="00992E66"/>
    <w:rsid w:val="009956B9"/>
    <w:rsid w:val="00995ACF"/>
    <w:rsid w:val="00997BEB"/>
    <w:rsid w:val="009A24FE"/>
    <w:rsid w:val="009A4FBA"/>
    <w:rsid w:val="009B50CE"/>
    <w:rsid w:val="009B5E1E"/>
    <w:rsid w:val="009C262E"/>
    <w:rsid w:val="009D631F"/>
    <w:rsid w:val="009E2FCF"/>
    <w:rsid w:val="009E4FC7"/>
    <w:rsid w:val="009E7C26"/>
    <w:rsid w:val="009F278C"/>
    <w:rsid w:val="009F2F52"/>
    <w:rsid w:val="009F450C"/>
    <w:rsid w:val="009F7696"/>
    <w:rsid w:val="00A063BB"/>
    <w:rsid w:val="00A0699B"/>
    <w:rsid w:val="00A07943"/>
    <w:rsid w:val="00A1056B"/>
    <w:rsid w:val="00A15445"/>
    <w:rsid w:val="00A15AED"/>
    <w:rsid w:val="00A17EF5"/>
    <w:rsid w:val="00A20051"/>
    <w:rsid w:val="00A206B7"/>
    <w:rsid w:val="00A221C4"/>
    <w:rsid w:val="00A22571"/>
    <w:rsid w:val="00A24AC8"/>
    <w:rsid w:val="00A30E99"/>
    <w:rsid w:val="00A31C31"/>
    <w:rsid w:val="00A33AB5"/>
    <w:rsid w:val="00A4072C"/>
    <w:rsid w:val="00A41D7D"/>
    <w:rsid w:val="00A4547F"/>
    <w:rsid w:val="00A57B72"/>
    <w:rsid w:val="00A6265E"/>
    <w:rsid w:val="00A62E6C"/>
    <w:rsid w:val="00A63B1F"/>
    <w:rsid w:val="00A64A10"/>
    <w:rsid w:val="00A650FC"/>
    <w:rsid w:val="00A71B58"/>
    <w:rsid w:val="00A80C14"/>
    <w:rsid w:val="00A844FF"/>
    <w:rsid w:val="00A861F2"/>
    <w:rsid w:val="00A9222A"/>
    <w:rsid w:val="00A93EB8"/>
    <w:rsid w:val="00A96FC0"/>
    <w:rsid w:val="00AA5542"/>
    <w:rsid w:val="00AB218F"/>
    <w:rsid w:val="00AB3340"/>
    <w:rsid w:val="00AC0DBE"/>
    <w:rsid w:val="00AC0E24"/>
    <w:rsid w:val="00AC1787"/>
    <w:rsid w:val="00AC2646"/>
    <w:rsid w:val="00AC4587"/>
    <w:rsid w:val="00AC4EDC"/>
    <w:rsid w:val="00AC4FAC"/>
    <w:rsid w:val="00AC5BC0"/>
    <w:rsid w:val="00AC788C"/>
    <w:rsid w:val="00AD310C"/>
    <w:rsid w:val="00AE0AAD"/>
    <w:rsid w:val="00AE2407"/>
    <w:rsid w:val="00AE3CA8"/>
    <w:rsid w:val="00AE6AD9"/>
    <w:rsid w:val="00AF086B"/>
    <w:rsid w:val="00AF18A8"/>
    <w:rsid w:val="00AF623C"/>
    <w:rsid w:val="00B06C63"/>
    <w:rsid w:val="00B07697"/>
    <w:rsid w:val="00B14744"/>
    <w:rsid w:val="00B24723"/>
    <w:rsid w:val="00B25646"/>
    <w:rsid w:val="00B25ABF"/>
    <w:rsid w:val="00B31BC2"/>
    <w:rsid w:val="00B31EE2"/>
    <w:rsid w:val="00B32173"/>
    <w:rsid w:val="00B33E31"/>
    <w:rsid w:val="00B3489B"/>
    <w:rsid w:val="00B35BB1"/>
    <w:rsid w:val="00B41B19"/>
    <w:rsid w:val="00B44FB8"/>
    <w:rsid w:val="00B503E6"/>
    <w:rsid w:val="00B530C4"/>
    <w:rsid w:val="00B54F41"/>
    <w:rsid w:val="00B57D18"/>
    <w:rsid w:val="00B60311"/>
    <w:rsid w:val="00B61872"/>
    <w:rsid w:val="00B623E1"/>
    <w:rsid w:val="00B70B1C"/>
    <w:rsid w:val="00B71AE0"/>
    <w:rsid w:val="00B74C1C"/>
    <w:rsid w:val="00B7618F"/>
    <w:rsid w:val="00B802C7"/>
    <w:rsid w:val="00B829F2"/>
    <w:rsid w:val="00B85F04"/>
    <w:rsid w:val="00B9618F"/>
    <w:rsid w:val="00B96D75"/>
    <w:rsid w:val="00BA0F25"/>
    <w:rsid w:val="00BA2114"/>
    <w:rsid w:val="00BA5500"/>
    <w:rsid w:val="00BA753F"/>
    <w:rsid w:val="00BB23C5"/>
    <w:rsid w:val="00BB5F78"/>
    <w:rsid w:val="00BB68CE"/>
    <w:rsid w:val="00BD47E4"/>
    <w:rsid w:val="00BD51FB"/>
    <w:rsid w:val="00BE4B62"/>
    <w:rsid w:val="00BE7B68"/>
    <w:rsid w:val="00BE7CC5"/>
    <w:rsid w:val="00BF1249"/>
    <w:rsid w:val="00BF1CE1"/>
    <w:rsid w:val="00BF2392"/>
    <w:rsid w:val="00BF71BE"/>
    <w:rsid w:val="00C0144D"/>
    <w:rsid w:val="00C0357B"/>
    <w:rsid w:val="00C03F19"/>
    <w:rsid w:val="00C0427B"/>
    <w:rsid w:val="00C049A9"/>
    <w:rsid w:val="00C0502B"/>
    <w:rsid w:val="00C10616"/>
    <w:rsid w:val="00C11BE2"/>
    <w:rsid w:val="00C16814"/>
    <w:rsid w:val="00C17834"/>
    <w:rsid w:val="00C17D82"/>
    <w:rsid w:val="00C21A48"/>
    <w:rsid w:val="00C22CA3"/>
    <w:rsid w:val="00C2592D"/>
    <w:rsid w:val="00C26791"/>
    <w:rsid w:val="00C26A58"/>
    <w:rsid w:val="00C34797"/>
    <w:rsid w:val="00C3554F"/>
    <w:rsid w:val="00C366E1"/>
    <w:rsid w:val="00C369D0"/>
    <w:rsid w:val="00C401D6"/>
    <w:rsid w:val="00C411B5"/>
    <w:rsid w:val="00C44DB6"/>
    <w:rsid w:val="00C46F7A"/>
    <w:rsid w:val="00C53EF9"/>
    <w:rsid w:val="00C54227"/>
    <w:rsid w:val="00C72337"/>
    <w:rsid w:val="00C7521A"/>
    <w:rsid w:val="00C7607A"/>
    <w:rsid w:val="00C84534"/>
    <w:rsid w:val="00C84F95"/>
    <w:rsid w:val="00C85647"/>
    <w:rsid w:val="00C94F45"/>
    <w:rsid w:val="00CA2987"/>
    <w:rsid w:val="00CB0256"/>
    <w:rsid w:val="00CB110C"/>
    <w:rsid w:val="00CB33AE"/>
    <w:rsid w:val="00CB3616"/>
    <w:rsid w:val="00CB6435"/>
    <w:rsid w:val="00CC054F"/>
    <w:rsid w:val="00CC2FBE"/>
    <w:rsid w:val="00CD0221"/>
    <w:rsid w:val="00CD2A99"/>
    <w:rsid w:val="00CD38E7"/>
    <w:rsid w:val="00CE0CCA"/>
    <w:rsid w:val="00CE0E00"/>
    <w:rsid w:val="00CE78B8"/>
    <w:rsid w:val="00CF11EF"/>
    <w:rsid w:val="00D00592"/>
    <w:rsid w:val="00D01541"/>
    <w:rsid w:val="00D06660"/>
    <w:rsid w:val="00D13A6F"/>
    <w:rsid w:val="00D16F07"/>
    <w:rsid w:val="00D23C05"/>
    <w:rsid w:val="00D27C05"/>
    <w:rsid w:val="00D27EB5"/>
    <w:rsid w:val="00D3278D"/>
    <w:rsid w:val="00D3533E"/>
    <w:rsid w:val="00D36EE9"/>
    <w:rsid w:val="00D401FA"/>
    <w:rsid w:val="00D409B5"/>
    <w:rsid w:val="00D4363E"/>
    <w:rsid w:val="00D4461B"/>
    <w:rsid w:val="00D46909"/>
    <w:rsid w:val="00D5662A"/>
    <w:rsid w:val="00D567F5"/>
    <w:rsid w:val="00D63CA4"/>
    <w:rsid w:val="00D6710E"/>
    <w:rsid w:val="00D721AB"/>
    <w:rsid w:val="00D72A63"/>
    <w:rsid w:val="00D72E1C"/>
    <w:rsid w:val="00D73180"/>
    <w:rsid w:val="00D77EFF"/>
    <w:rsid w:val="00D8108E"/>
    <w:rsid w:val="00D85F23"/>
    <w:rsid w:val="00D87716"/>
    <w:rsid w:val="00D87A24"/>
    <w:rsid w:val="00D87A95"/>
    <w:rsid w:val="00D87E14"/>
    <w:rsid w:val="00D92449"/>
    <w:rsid w:val="00D9498A"/>
    <w:rsid w:val="00D97D0D"/>
    <w:rsid w:val="00DA19D0"/>
    <w:rsid w:val="00DA36AB"/>
    <w:rsid w:val="00DA485A"/>
    <w:rsid w:val="00DA79CA"/>
    <w:rsid w:val="00DA7C8C"/>
    <w:rsid w:val="00DB1753"/>
    <w:rsid w:val="00DB6484"/>
    <w:rsid w:val="00DB7404"/>
    <w:rsid w:val="00DC050F"/>
    <w:rsid w:val="00DC0B2B"/>
    <w:rsid w:val="00DC659F"/>
    <w:rsid w:val="00DC7F3C"/>
    <w:rsid w:val="00DD2DD7"/>
    <w:rsid w:val="00DD3535"/>
    <w:rsid w:val="00DD3DFB"/>
    <w:rsid w:val="00DD5E0D"/>
    <w:rsid w:val="00DD725D"/>
    <w:rsid w:val="00DE3F1B"/>
    <w:rsid w:val="00DE6159"/>
    <w:rsid w:val="00DF766E"/>
    <w:rsid w:val="00E02F5B"/>
    <w:rsid w:val="00E11BCD"/>
    <w:rsid w:val="00E12043"/>
    <w:rsid w:val="00E1218C"/>
    <w:rsid w:val="00E13004"/>
    <w:rsid w:val="00E1307D"/>
    <w:rsid w:val="00E15AC5"/>
    <w:rsid w:val="00E20FF1"/>
    <w:rsid w:val="00E24231"/>
    <w:rsid w:val="00E24E24"/>
    <w:rsid w:val="00E27171"/>
    <w:rsid w:val="00E3003D"/>
    <w:rsid w:val="00E3224B"/>
    <w:rsid w:val="00E33504"/>
    <w:rsid w:val="00E33F9E"/>
    <w:rsid w:val="00E34E97"/>
    <w:rsid w:val="00E36E6A"/>
    <w:rsid w:val="00E43A66"/>
    <w:rsid w:val="00E43CD7"/>
    <w:rsid w:val="00E44DB7"/>
    <w:rsid w:val="00E5195F"/>
    <w:rsid w:val="00E839A5"/>
    <w:rsid w:val="00E85D0B"/>
    <w:rsid w:val="00E87749"/>
    <w:rsid w:val="00E90805"/>
    <w:rsid w:val="00E94796"/>
    <w:rsid w:val="00E958A9"/>
    <w:rsid w:val="00EA1259"/>
    <w:rsid w:val="00EA213C"/>
    <w:rsid w:val="00EA23F3"/>
    <w:rsid w:val="00EA2E7E"/>
    <w:rsid w:val="00EA6419"/>
    <w:rsid w:val="00EA6DF2"/>
    <w:rsid w:val="00EA757E"/>
    <w:rsid w:val="00EC0E0C"/>
    <w:rsid w:val="00EC3226"/>
    <w:rsid w:val="00EC469E"/>
    <w:rsid w:val="00EC6477"/>
    <w:rsid w:val="00ED3F74"/>
    <w:rsid w:val="00ED5408"/>
    <w:rsid w:val="00EE24DB"/>
    <w:rsid w:val="00EE7D05"/>
    <w:rsid w:val="00EF07B7"/>
    <w:rsid w:val="00EF3944"/>
    <w:rsid w:val="00F0285C"/>
    <w:rsid w:val="00F06061"/>
    <w:rsid w:val="00F129A7"/>
    <w:rsid w:val="00F14F85"/>
    <w:rsid w:val="00F17564"/>
    <w:rsid w:val="00F23111"/>
    <w:rsid w:val="00F23FB9"/>
    <w:rsid w:val="00F24C22"/>
    <w:rsid w:val="00F271C5"/>
    <w:rsid w:val="00F311A1"/>
    <w:rsid w:val="00F3186D"/>
    <w:rsid w:val="00F34180"/>
    <w:rsid w:val="00F3710B"/>
    <w:rsid w:val="00F4596F"/>
    <w:rsid w:val="00F473C5"/>
    <w:rsid w:val="00F566A7"/>
    <w:rsid w:val="00F67AF1"/>
    <w:rsid w:val="00F70247"/>
    <w:rsid w:val="00F702C4"/>
    <w:rsid w:val="00F722A0"/>
    <w:rsid w:val="00F75AB6"/>
    <w:rsid w:val="00F83969"/>
    <w:rsid w:val="00F872FD"/>
    <w:rsid w:val="00F87E06"/>
    <w:rsid w:val="00F90D1A"/>
    <w:rsid w:val="00F94B9E"/>
    <w:rsid w:val="00F94E15"/>
    <w:rsid w:val="00F97591"/>
    <w:rsid w:val="00FA4026"/>
    <w:rsid w:val="00FA41C5"/>
    <w:rsid w:val="00FA547A"/>
    <w:rsid w:val="00FB0E0D"/>
    <w:rsid w:val="00FC1D4F"/>
    <w:rsid w:val="00FD6E9B"/>
    <w:rsid w:val="00FD75C4"/>
    <w:rsid w:val="00FE3B08"/>
    <w:rsid w:val="00FE5C68"/>
    <w:rsid w:val="00FF4CB5"/>
    <w:rsid w:val="00FF666A"/>
    <w:rsid w:val="00FF7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629625"/>
  <w15:docId w15:val="{469AAE94-5402-4F14-A451-079BC3E89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986"/>
    <w:pPr>
      <w:widowControl w:val="0"/>
      <w:topLinePunct/>
      <w:spacing w:afterLines="100" w:after="100" w:line="480" w:lineRule="auto"/>
      <w:jc w:val="both"/>
    </w:pPr>
    <w:rPr>
      <w:sz w:val="24"/>
    </w:rPr>
  </w:style>
  <w:style w:type="paragraph" w:styleId="1">
    <w:name w:val="heading 1"/>
    <w:basedOn w:val="a"/>
    <w:next w:val="a"/>
    <w:link w:val="10"/>
    <w:uiPriority w:val="9"/>
    <w:qFormat/>
    <w:rsid w:val="00C85647"/>
    <w:pPr>
      <w:keepNext/>
      <w:outlineLvl w:val="0"/>
    </w:pPr>
    <w:rPr>
      <w:rFonts w:asciiTheme="majorHAnsi" w:eastAsiaTheme="majorEastAsia" w:hAnsiTheme="majorHAnsi" w:cstheme="majorBidi"/>
      <w:b/>
      <w:szCs w:val="24"/>
    </w:rPr>
  </w:style>
  <w:style w:type="paragraph" w:styleId="2">
    <w:name w:val="heading 2"/>
    <w:basedOn w:val="a"/>
    <w:next w:val="a"/>
    <w:link w:val="20"/>
    <w:uiPriority w:val="9"/>
    <w:semiHidden/>
    <w:unhideWhenUsed/>
    <w:qFormat/>
    <w:rsid w:val="00E8774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5647"/>
    <w:rPr>
      <w:rFonts w:asciiTheme="majorHAnsi" w:eastAsiaTheme="majorEastAsia" w:hAnsiTheme="majorHAnsi" w:cstheme="majorBidi"/>
      <w:b/>
      <w:sz w:val="24"/>
      <w:szCs w:val="24"/>
    </w:rPr>
  </w:style>
  <w:style w:type="paragraph" w:styleId="a3">
    <w:name w:val="Title"/>
    <w:basedOn w:val="a"/>
    <w:next w:val="a"/>
    <w:link w:val="a4"/>
    <w:uiPriority w:val="10"/>
    <w:qFormat/>
    <w:rsid w:val="00780008"/>
    <w:pPr>
      <w:spacing w:before="240" w:after="120"/>
      <w:jc w:val="center"/>
      <w:outlineLvl w:val="0"/>
    </w:pPr>
    <w:rPr>
      <w:rFonts w:asciiTheme="majorHAnsi" w:eastAsia="游ゴシック" w:hAnsiTheme="majorHAnsi" w:cstheme="majorBidi"/>
      <w:b/>
      <w:sz w:val="32"/>
      <w:szCs w:val="32"/>
    </w:rPr>
  </w:style>
  <w:style w:type="character" w:customStyle="1" w:styleId="a4">
    <w:name w:val="表題 (文字)"/>
    <w:basedOn w:val="a0"/>
    <w:link w:val="a3"/>
    <w:uiPriority w:val="10"/>
    <w:rsid w:val="00780008"/>
    <w:rPr>
      <w:rFonts w:asciiTheme="majorHAnsi" w:eastAsia="游ゴシック" w:hAnsiTheme="majorHAnsi" w:cstheme="majorBidi"/>
      <w:b/>
      <w:sz w:val="32"/>
      <w:szCs w:val="32"/>
    </w:rPr>
  </w:style>
  <w:style w:type="paragraph" w:customStyle="1" w:styleId="a5">
    <w:name w:val="著者名"/>
    <w:basedOn w:val="a"/>
    <w:next w:val="a"/>
    <w:qFormat/>
    <w:rsid w:val="00780008"/>
    <w:pPr>
      <w:spacing w:beforeLines="50" w:before="50" w:afterLines="50" w:after="50"/>
      <w:jc w:val="center"/>
    </w:pPr>
    <w:rPr>
      <w:rFonts w:eastAsia="游ゴシック"/>
    </w:rPr>
  </w:style>
  <w:style w:type="character" w:styleId="a6">
    <w:name w:val="Placeholder Text"/>
    <w:basedOn w:val="a0"/>
    <w:uiPriority w:val="99"/>
    <w:semiHidden/>
    <w:rsid w:val="00674B0D"/>
    <w:rPr>
      <w:color w:val="808080"/>
    </w:rPr>
  </w:style>
  <w:style w:type="paragraph" w:styleId="a7">
    <w:name w:val="header"/>
    <w:basedOn w:val="a"/>
    <w:link w:val="a8"/>
    <w:uiPriority w:val="99"/>
    <w:unhideWhenUsed/>
    <w:rsid w:val="00FB0E0D"/>
    <w:pPr>
      <w:tabs>
        <w:tab w:val="center" w:pos="4252"/>
        <w:tab w:val="right" w:pos="8504"/>
      </w:tabs>
      <w:snapToGrid w:val="0"/>
    </w:pPr>
  </w:style>
  <w:style w:type="character" w:customStyle="1" w:styleId="a8">
    <w:name w:val="ヘッダー (文字)"/>
    <w:basedOn w:val="a0"/>
    <w:link w:val="a7"/>
    <w:uiPriority w:val="99"/>
    <w:rsid w:val="00FB0E0D"/>
    <w:rPr>
      <w:sz w:val="24"/>
    </w:rPr>
  </w:style>
  <w:style w:type="paragraph" w:styleId="a9">
    <w:name w:val="footer"/>
    <w:basedOn w:val="a"/>
    <w:link w:val="aa"/>
    <w:uiPriority w:val="99"/>
    <w:unhideWhenUsed/>
    <w:rsid w:val="00FB0E0D"/>
    <w:pPr>
      <w:tabs>
        <w:tab w:val="center" w:pos="4252"/>
        <w:tab w:val="right" w:pos="8504"/>
      </w:tabs>
      <w:snapToGrid w:val="0"/>
    </w:pPr>
  </w:style>
  <w:style w:type="character" w:customStyle="1" w:styleId="aa">
    <w:name w:val="フッター (文字)"/>
    <w:basedOn w:val="a0"/>
    <w:link w:val="a9"/>
    <w:uiPriority w:val="99"/>
    <w:rsid w:val="00FB0E0D"/>
    <w:rPr>
      <w:sz w:val="24"/>
    </w:rPr>
  </w:style>
  <w:style w:type="paragraph" w:styleId="Web">
    <w:name w:val="Normal (Web)"/>
    <w:basedOn w:val="a"/>
    <w:uiPriority w:val="99"/>
    <w:semiHidden/>
    <w:unhideWhenUsed/>
    <w:rsid w:val="006D3D40"/>
    <w:pPr>
      <w:widowControl/>
      <w:topLinePunct w:val="0"/>
      <w:spacing w:before="100" w:beforeAutospacing="1" w:afterLines="0" w:afterAutospacing="1" w:line="240" w:lineRule="auto"/>
      <w:jc w:val="left"/>
    </w:pPr>
    <w:rPr>
      <w:rFonts w:ascii="ＭＳ Ｐゴシック" w:eastAsia="ＭＳ Ｐゴシック" w:hAnsi="ＭＳ Ｐゴシック" w:cs="ＭＳ Ｐゴシック"/>
      <w:kern w:val="0"/>
      <w:szCs w:val="24"/>
    </w:rPr>
  </w:style>
  <w:style w:type="paragraph" w:styleId="ab">
    <w:name w:val="Balloon Text"/>
    <w:basedOn w:val="a"/>
    <w:link w:val="ac"/>
    <w:uiPriority w:val="99"/>
    <w:semiHidden/>
    <w:unhideWhenUsed/>
    <w:rsid w:val="00884591"/>
    <w:pPr>
      <w:spacing w:after="0"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84591"/>
    <w:rPr>
      <w:rFonts w:asciiTheme="majorHAnsi" w:eastAsiaTheme="majorEastAsia" w:hAnsiTheme="majorHAnsi" w:cstheme="majorBidi"/>
      <w:sz w:val="18"/>
      <w:szCs w:val="18"/>
    </w:rPr>
  </w:style>
  <w:style w:type="character" w:styleId="ad">
    <w:name w:val="annotation reference"/>
    <w:basedOn w:val="a0"/>
    <w:uiPriority w:val="99"/>
    <w:semiHidden/>
    <w:unhideWhenUsed/>
    <w:rsid w:val="00EE24DB"/>
    <w:rPr>
      <w:sz w:val="16"/>
      <w:szCs w:val="16"/>
    </w:rPr>
  </w:style>
  <w:style w:type="paragraph" w:styleId="ae">
    <w:name w:val="annotation text"/>
    <w:basedOn w:val="a"/>
    <w:link w:val="af"/>
    <w:uiPriority w:val="99"/>
    <w:semiHidden/>
    <w:unhideWhenUsed/>
    <w:rsid w:val="00EE24DB"/>
    <w:pPr>
      <w:spacing w:line="240" w:lineRule="auto"/>
    </w:pPr>
    <w:rPr>
      <w:sz w:val="20"/>
      <w:szCs w:val="20"/>
    </w:rPr>
  </w:style>
  <w:style w:type="character" w:customStyle="1" w:styleId="af">
    <w:name w:val="コメント文字列 (文字)"/>
    <w:basedOn w:val="a0"/>
    <w:link w:val="ae"/>
    <w:uiPriority w:val="99"/>
    <w:semiHidden/>
    <w:rsid w:val="00EE24DB"/>
    <w:rPr>
      <w:sz w:val="20"/>
      <w:szCs w:val="20"/>
    </w:rPr>
  </w:style>
  <w:style w:type="paragraph" w:styleId="af0">
    <w:name w:val="annotation subject"/>
    <w:basedOn w:val="ae"/>
    <w:next w:val="ae"/>
    <w:link w:val="af1"/>
    <w:uiPriority w:val="99"/>
    <w:semiHidden/>
    <w:unhideWhenUsed/>
    <w:rsid w:val="00EE24DB"/>
    <w:rPr>
      <w:b/>
      <w:bCs/>
    </w:rPr>
  </w:style>
  <w:style w:type="character" w:customStyle="1" w:styleId="af1">
    <w:name w:val="コメント内容 (文字)"/>
    <w:basedOn w:val="af"/>
    <w:link w:val="af0"/>
    <w:uiPriority w:val="99"/>
    <w:semiHidden/>
    <w:rsid w:val="00EE24DB"/>
    <w:rPr>
      <w:b/>
      <w:bCs/>
      <w:sz w:val="20"/>
      <w:szCs w:val="20"/>
    </w:rPr>
  </w:style>
  <w:style w:type="paragraph" w:styleId="af2">
    <w:name w:val="List Paragraph"/>
    <w:basedOn w:val="a"/>
    <w:uiPriority w:val="34"/>
    <w:qFormat/>
    <w:rsid w:val="00F311A1"/>
    <w:pPr>
      <w:ind w:leftChars="400" w:left="840"/>
    </w:pPr>
  </w:style>
  <w:style w:type="character" w:styleId="af3">
    <w:name w:val="Hyperlink"/>
    <w:basedOn w:val="a0"/>
    <w:uiPriority w:val="99"/>
    <w:unhideWhenUsed/>
    <w:rsid w:val="00F311A1"/>
    <w:rPr>
      <w:color w:val="0563C1" w:themeColor="hyperlink"/>
      <w:u w:val="single"/>
    </w:rPr>
  </w:style>
  <w:style w:type="paragraph" w:styleId="af4">
    <w:name w:val="caption"/>
    <w:basedOn w:val="a"/>
    <w:next w:val="a"/>
    <w:uiPriority w:val="35"/>
    <w:unhideWhenUsed/>
    <w:qFormat/>
    <w:rsid w:val="000117C2"/>
    <w:rPr>
      <w:b/>
      <w:bCs/>
      <w:sz w:val="21"/>
      <w:szCs w:val="21"/>
    </w:rPr>
  </w:style>
  <w:style w:type="paragraph" w:styleId="HTML">
    <w:name w:val="HTML Preformatted"/>
    <w:basedOn w:val="a"/>
    <w:link w:val="HTML0"/>
    <w:uiPriority w:val="99"/>
    <w:semiHidden/>
    <w:unhideWhenUsed/>
    <w:rsid w:val="002A4DFC"/>
    <w:rPr>
      <w:rFonts w:ascii="Courier New" w:hAnsi="Courier New" w:cs="Courier New"/>
      <w:sz w:val="20"/>
      <w:szCs w:val="20"/>
    </w:rPr>
  </w:style>
  <w:style w:type="character" w:customStyle="1" w:styleId="HTML0">
    <w:name w:val="HTML 書式付き (文字)"/>
    <w:basedOn w:val="a0"/>
    <w:link w:val="HTML"/>
    <w:uiPriority w:val="99"/>
    <w:semiHidden/>
    <w:rsid w:val="002A4DFC"/>
    <w:rPr>
      <w:rFonts w:ascii="Courier New" w:hAnsi="Courier New" w:cs="Courier New"/>
      <w:sz w:val="20"/>
      <w:szCs w:val="20"/>
    </w:rPr>
  </w:style>
  <w:style w:type="character" w:customStyle="1" w:styleId="20">
    <w:name w:val="見出し 2 (文字)"/>
    <w:basedOn w:val="a0"/>
    <w:link w:val="2"/>
    <w:uiPriority w:val="9"/>
    <w:semiHidden/>
    <w:rsid w:val="00E87749"/>
    <w:rPr>
      <w:rFonts w:asciiTheme="majorHAnsi" w:eastAsiaTheme="majorEastAsia" w:hAnsiTheme="majorHAnsi" w:cstheme="majorBidi"/>
      <w:sz w:val="24"/>
    </w:rPr>
  </w:style>
  <w:style w:type="table" w:styleId="af5">
    <w:name w:val="Table Grid"/>
    <w:basedOn w:val="a1"/>
    <w:uiPriority w:val="39"/>
    <w:rsid w:val="00FA4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D92449"/>
    <w:pPr>
      <w:widowControl w:val="0"/>
      <w:topLinePunct/>
      <w:spacing w:afterLines="10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6036">
      <w:bodyDiv w:val="1"/>
      <w:marLeft w:val="0"/>
      <w:marRight w:val="0"/>
      <w:marTop w:val="0"/>
      <w:marBottom w:val="0"/>
      <w:divBdr>
        <w:top w:val="none" w:sz="0" w:space="0" w:color="auto"/>
        <w:left w:val="none" w:sz="0" w:space="0" w:color="auto"/>
        <w:bottom w:val="none" w:sz="0" w:space="0" w:color="auto"/>
        <w:right w:val="none" w:sz="0" w:space="0" w:color="auto"/>
      </w:divBdr>
    </w:div>
    <w:div w:id="836463777">
      <w:bodyDiv w:val="1"/>
      <w:marLeft w:val="0"/>
      <w:marRight w:val="0"/>
      <w:marTop w:val="0"/>
      <w:marBottom w:val="0"/>
      <w:divBdr>
        <w:top w:val="none" w:sz="0" w:space="0" w:color="auto"/>
        <w:left w:val="none" w:sz="0" w:space="0" w:color="auto"/>
        <w:bottom w:val="none" w:sz="0" w:space="0" w:color="auto"/>
        <w:right w:val="none" w:sz="0" w:space="0" w:color="auto"/>
      </w:divBdr>
    </w:div>
    <w:div w:id="930504337">
      <w:bodyDiv w:val="1"/>
      <w:marLeft w:val="0"/>
      <w:marRight w:val="0"/>
      <w:marTop w:val="0"/>
      <w:marBottom w:val="0"/>
      <w:divBdr>
        <w:top w:val="none" w:sz="0" w:space="0" w:color="auto"/>
        <w:left w:val="none" w:sz="0" w:space="0" w:color="auto"/>
        <w:bottom w:val="none" w:sz="0" w:space="0" w:color="auto"/>
        <w:right w:val="none" w:sz="0" w:space="0" w:color="auto"/>
      </w:divBdr>
    </w:div>
    <w:div w:id="1043598256">
      <w:bodyDiv w:val="1"/>
      <w:marLeft w:val="0"/>
      <w:marRight w:val="0"/>
      <w:marTop w:val="0"/>
      <w:marBottom w:val="0"/>
      <w:divBdr>
        <w:top w:val="none" w:sz="0" w:space="0" w:color="auto"/>
        <w:left w:val="none" w:sz="0" w:space="0" w:color="auto"/>
        <w:bottom w:val="none" w:sz="0" w:space="0" w:color="auto"/>
        <w:right w:val="none" w:sz="0" w:space="0" w:color="auto"/>
      </w:divBdr>
    </w:div>
    <w:div w:id="1063337362">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278875879">
      <w:bodyDiv w:val="1"/>
      <w:marLeft w:val="0"/>
      <w:marRight w:val="0"/>
      <w:marTop w:val="0"/>
      <w:marBottom w:val="0"/>
      <w:divBdr>
        <w:top w:val="none" w:sz="0" w:space="0" w:color="auto"/>
        <w:left w:val="none" w:sz="0" w:space="0" w:color="auto"/>
        <w:bottom w:val="none" w:sz="0" w:space="0" w:color="auto"/>
        <w:right w:val="none" w:sz="0" w:space="0" w:color="auto"/>
      </w:divBdr>
    </w:div>
    <w:div w:id="1356419936">
      <w:bodyDiv w:val="1"/>
      <w:marLeft w:val="0"/>
      <w:marRight w:val="0"/>
      <w:marTop w:val="0"/>
      <w:marBottom w:val="0"/>
      <w:divBdr>
        <w:top w:val="none" w:sz="0" w:space="0" w:color="auto"/>
        <w:left w:val="none" w:sz="0" w:space="0" w:color="auto"/>
        <w:bottom w:val="none" w:sz="0" w:space="0" w:color="auto"/>
        <w:right w:val="none" w:sz="0" w:space="0" w:color="auto"/>
      </w:divBdr>
    </w:div>
    <w:div w:id="1403601724">
      <w:bodyDiv w:val="1"/>
      <w:marLeft w:val="0"/>
      <w:marRight w:val="0"/>
      <w:marTop w:val="0"/>
      <w:marBottom w:val="0"/>
      <w:divBdr>
        <w:top w:val="none" w:sz="0" w:space="0" w:color="auto"/>
        <w:left w:val="none" w:sz="0" w:space="0" w:color="auto"/>
        <w:bottom w:val="none" w:sz="0" w:space="0" w:color="auto"/>
        <w:right w:val="none" w:sz="0" w:space="0" w:color="auto"/>
      </w:divBdr>
    </w:div>
    <w:div w:id="1538160352">
      <w:bodyDiv w:val="1"/>
      <w:marLeft w:val="0"/>
      <w:marRight w:val="0"/>
      <w:marTop w:val="0"/>
      <w:marBottom w:val="0"/>
      <w:divBdr>
        <w:top w:val="none" w:sz="0" w:space="0" w:color="auto"/>
        <w:left w:val="none" w:sz="0" w:space="0" w:color="auto"/>
        <w:bottom w:val="none" w:sz="0" w:space="0" w:color="auto"/>
        <w:right w:val="none" w:sz="0" w:space="0" w:color="auto"/>
      </w:divBdr>
    </w:div>
    <w:div w:id="1612736493">
      <w:bodyDiv w:val="1"/>
      <w:marLeft w:val="0"/>
      <w:marRight w:val="0"/>
      <w:marTop w:val="0"/>
      <w:marBottom w:val="0"/>
      <w:divBdr>
        <w:top w:val="none" w:sz="0" w:space="0" w:color="auto"/>
        <w:left w:val="none" w:sz="0" w:space="0" w:color="auto"/>
        <w:bottom w:val="none" w:sz="0" w:space="0" w:color="auto"/>
        <w:right w:val="none" w:sz="0" w:space="0" w:color="auto"/>
      </w:divBdr>
    </w:div>
    <w:div w:id="1663315560">
      <w:bodyDiv w:val="1"/>
      <w:marLeft w:val="0"/>
      <w:marRight w:val="0"/>
      <w:marTop w:val="0"/>
      <w:marBottom w:val="0"/>
      <w:divBdr>
        <w:top w:val="none" w:sz="0" w:space="0" w:color="auto"/>
        <w:left w:val="none" w:sz="0" w:space="0" w:color="auto"/>
        <w:bottom w:val="none" w:sz="0" w:space="0" w:color="auto"/>
        <w:right w:val="none" w:sz="0" w:space="0" w:color="auto"/>
      </w:divBdr>
    </w:div>
    <w:div w:id="1678725168">
      <w:bodyDiv w:val="1"/>
      <w:marLeft w:val="0"/>
      <w:marRight w:val="0"/>
      <w:marTop w:val="0"/>
      <w:marBottom w:val="0"/>
      <w:divBdr>
        <w:top w:val="none" w:sz="0" w:space="0" w:color="auto"/>
        <w:left w:val="none" w:sz="0" w:space="0" w:color="auto"/>
        <w:bottom w:val="none" w:sz="0" w:space="0" w:color="auto"/>
        <w:right w:val="none" w:sz="0" w:space="0" w:color="auto"/>
      </w:divBdr>
    </w:div>
    <w:div w:id="1698847735">
      <w:bodyDiv w:val="1"/>
      <w:marLeft w:val="0"/>
      <w:marRight w:val="0"/>
      <w:marTop w:val="0"/>
      <w:marBottom w:val="0"/>
      <w:divBdr>
        <w:top w:val="none" w:sz="0" w:space="0" w:color="auto"/>
        <w:left w:val="none" w:sz="0" w:space="0" w:color="auto"/>
        <w:bottom w:val="none" w:sz="0" w:space="0" w:color="auto"/>
        <w:right w:val="none" w:sz="0" w:space="0" w:color="auto"/>
      </w:divBdr>
    </w:div>
    <w:div w:id="1978367056">
      <w:bodyDiv w:val="1"/>
      <w:marLeft w:val="0"/>
      <w:marRight w:val="0"/>
      <w:marTop w:val="0"/>
      <w:marBottom w:val="0"/>
      <w:divBdr>
        <w:top w:val="none" w:sz="0" w:space="0" w:color="auto"/>
        <w:left w:val="none" w:sz="0" w:space="0" w:color="auto"/>
        <w:bottom w:val="none" w:sz="0" w:space="0" w:color="auto"/>
        <w:right w:val="none" w:sz="0" w:space="0" w:color="auto"/>
      </w:divBdr>
    </w:div>
    <w:div w:id="2043633506">
      <w:bodyDiv w:val="1"/>
      <w:marLeft w:val="0"/>
      <w:marRight w:val="0"/>
      <w:marTop w:val="0"/>
      <w:marBottom w:val="0"/>
      <w:divBdr>
        <w:top w:val="none" w:sz="0" w:space="0" w:color="auto"/>
        <w:left w:val="none" w:sz="0" w:space="0" w:color="auto"/>
        <w:bottom w:val="none" w:sz="0" w:space="0" w:color="auto"/>
        <w:right w:val="none" w:sz="0" w:space="0" w:color="auto"/>
      </w:divBdr>
    </w:div>
    <w:div w:id="211651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akamada.masataka.3x@kyoto-u.ac.jp"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aramond">
      <a:majorFont>
        <a:latin typeface="Garamond"/>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21A25-C8D7-415B-8A14-B88949742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22</Pages>
  <Words>4836</Words>
  <Characters>27570</Characters>
  <Application>Microsoft Office Word</Application>
  <DocSecurity>0</DocSecurity>
  <Lines>229</Lines>
  <Paragraphs>64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HAKAMADA Masataka</dc:creator>
  <cp:lastModifiedBy>Masataka HAKAMADA</cp:lastModifiedBy>
  <cp:revision>17</cp:revision>
  <cp:lastPrinted>2019-01-09T03:42:00Z</cp:lastPrinted>
  <dcterms:created xsi:type="dcterms:W3CDTF">2019-03-27T07:16:00Z</dcterms:created>
  <dcterms:modified xsi:type="dcterms:W3CDTF">2019-03-31T14:48:00Z</dcterms:modified>
</cp:coreProperties>
</file>