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38D0E3" w14:textId="77777777" w:rsidR="00610DCE" w:rsidRDefault="00610DCE" w:rsidP="00A8083E">
      <w:pPr>
        <w:jc w:val="both"/>
        <w:rPr>
          <w:rFonts w:ascii="Helvetica" w:hAnsi="Helvetica" w:cs="Helvetica"/>
          <w:color w:val="000000"/>
        </w:rPr>
      </w:pPr>
      <w:bookmarkStart w:id="0" w:name="_GoBack"/>
      <w:bookmarkEnd w:id="0"/>
      <w:r>
        <w:rPr>
          <w:rFonts w:ascii="Helvetica" w:hAnsi="Helvetica" w:cs="Helvetica"/>
          <w:noProof/>
          <w:color w:val="000000"/>
        </w:rPr>
        <w:drawing>
          <wp:inline distT="0" distB="0" distL="0" distR="0" wp14:anchorId="568B785C" wp14:editId="3282B0C8">
            <wp:extent cx="2743200" cy="228695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allwithImage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286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</w:rPr>
        <w:drawing>
          <wp:inline distT="0" distB="0" distL="0" distR="0" wp14:anchorId="5ACA4E1D" wp14:editId="10D16D82">
            <wp:extent cx="2727960" cy="2273300"/>
            <wp:effectExtent l="0" t="0" r="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_CvsL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25C53" w14:textId="77777777" w:rsidR="00610DCE" w:rsidRDefault="00610DCE" w:rsidP="00A8083E">
      <w:pPr>
        <w:jc w:val="both"/>
        <w:rPr>
          <w:rFonts w:ascii="Helvetica" w:hAnsi="Helvetica" w:cs="Helvetica"/>
          <w:color w:val="000000"/>
        </w:rPr>
      </w:pPr>
    </w:p>
    <w:p w14:paraId="328C970C" w14:textId="512B65E6" w:rsidR="007755CA" w:rsidRDefault="00C83C57" w:rsidP="00A8083E">
      <w:pPr>
        <w:jc w:val="both"/>
      </w:pPr>
      <w:r>
        <w:rPr>
          <w:rFonts w:ascii="Helvetica" w:hAnsi="Helvetica" w:cs="Helvetica"/>
          <w:color w:val="000000"/>
        </w:rPr>
        <w:t>FIG.</w:t>
      </w:r>
      <w:r w:rsidR="00A8083E">
        <w:rPr>
          <w:rFonts w:ascii="Helvetica" w:hAnsi="Helvetica" w:cs="Helvetica"/>
          <w:color w:val="000000"/>
        </w:rPr>
        <w:t xml:space="preserve"> S1: (a) Force-deflection data measured at multiple locations along the length of the cantilever. The data at the tip shows only a very slight deviation in response when transitioning from the approach segment to active loading, due to the very low stiffness increment relative to the spring stiffness. The data at a location close to the root of the cantilever shows higher stiffness relative to the approach segment. (b) Measured compliance as a function of beam length, as described by Equation 6</w:t>
      </w:r>
    </w:p>
    <w:sectPr w:rsidR="007755CA" w:rsidSect="007755C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083E"/>
    <w:rsid w:val="005605EC"/>
    <w:rsid w:val="00610DCE"/>
    <w:rsid w:val="00746719"/>
    <w:rsid w:val="007755CA"/>
    <w:rsid w:val="00A8083E"/>
    <w:rsid w:val="00B10013"/>
    <w:rsid w:val="00C83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6CD748B"/>
  <w14:defaultImageDpi w14:val="300"/>
  <w15:docId w15:val="{D5B0FC55-31A3-459F-A020-17AE18422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Harvard University</Company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Gayatri  Cuddalorepatta</dc:creator>
  <cp:keywords/>
  <dc:description/>
  <cp:lastModifiedBy>Technica</cp:lastModifiedBy>
  <cp:revision>2</cp:revision>
  <dcterms:created xsi:type="dcterms:W3CDTF">2019-08-30T19:17:00Z</dcterms:created>
  <dcterms:modified xsi:type="dcterms:W3CDTF">2019-08-30T19:17:00Z</dcterms:modified>
</cp:coreProperties>
</file>