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FC" w:rsidRPr="00B97AC6" w:rsidRDefault="00C721FC" w:rsidP="00C721FC">
      <w:pPr>
        <w:pStyle w:val="Title1"/>
        <w:spacing w:line="276" w:lineRule="auto"/>
        <w:jc w:val="center"/>
        <w:rPr>
          <w:lang w:val="en-US"/>
        </w:rPr>
      </w:pPr>
      <w:r w:rsidRPr="00B97AC6">
        <w:rPr>
          <w:rFonts w:ascii="Times New Roman" w:hAnsi="Times New Roman"/>
          <w:sz w:val="28"/>
          <w:lang w:val="en-US"/>
        </w:rPr>
        <w:t xml:space="preserve">Synergic effect of </w:t>
      </w:r>
      <w:proofErr w:type="spellStart"/>
      <w:r w:rsidRPr="00B97AC6">
        <w:rPr>
          <w:rFonts w:ascii="Times New Roman" w:hAnsi="Times New Roman"/>
          <w:sz w:val="28"/>
          <w:lang w:val="en-US"/>
        </w:rPr>
        <w:t>Nanostructuring</w:t>
      </w:r>
      <w:proofErr w:type="spellEnd"/>
      <w:r w:rsidRPr="00B97AC6">
        <w:rPr>
          <w:rFonts w:ascii="Times New Roman" w:hAnsi="Times New Roman"/>
          <w:sz w:val="28"/>
          <w:lang w:val="en-US"/>
        </w:rPr>
        <w:t xml:space="preserve"> and Excess Mn</w:t>
      </w:r>
      <w:r w:rsidRPr="00B97AC6">
        <w:rPr>
          <w:rFonts w:ascii="Times New Roman" w:hAnsi="Times New Roman"/>
          <w:sz w:val="28"/>
          <w:vertAlign w:val="superscript"/>
          <w:lang w:val="en-US"/>
        </w:rPr>
        <w:t>3+</w:t>
      </w:r>
      <w:r w:rsidRPr="00B97AC6">
        <w:rPr>
          <w:rFonts w:ascii="Times New Roman" w:hAnsi="Times New Roman"/>
          <w:sz w:val="28"/>
          <w:lang w:val="en-US"/>
        </w:rPr>
        <w:t xml:space="preserve"> Content in the Electrochemical Performance of Li</w:t>
      </w:r>
      <w:r w:rsidRPr="00B97AC6">
        <w:rPr>
          <w:rFonts w:ascii="Times New Roman" w:hAnsi="Times New Roman"/>
          <w:sz w:val="28"/>
          <w:vertAlign w:val="subscript"/>
          <w:lang w:val="en-US"/>
        </w:rPr>
        <w:t>4</w:t>
      </w:r>
      <w:r w:rsidRPr="00B97AC6">
        <w:rPr>
          <w:rFonts w:ascii="Times New Roman" w:hAnsi="Times New Roman"/>
          <w:sz w:val="28"/>
          <w:lang w:val="en-US"/>
        </w:rPr>
        <w:t>Ti</w:t>
      </w:r>
      <w:r w:rsidRPr="00B97AC6">
        <w:rPr>
          <w:rFonts w:ascii="Times New Roman" w:hAnsi="Times New Roman"/>
          <w:sz w:val="28"/>
          <w:vertAlign w:val="subscript"/>
          <w:lang w:val="en-US"/>
        </w:rPr>
        <w:t>5</w:t>
      </w:r>
      <w:r w:rsidRPr="00B97AC6">
        <w:rPr>
          <w:rFonts w:ascii="Times New Roman" w:hAnsi="Times New Roman"/>
          <w:sz w:val="28"/>
          <w:lang w:val="en-US"/>
        </w:rPr>
        <w:t>O</w:t>
      </w:r>
      <w:r w:rsidRPr="00B97AC6">
        <w:rPr>
          <w:rFonts w:ascii="Times New Roman" w:hAnsi="Times New Roman"/>
          <w:sz w:val="28"/>
          <w:vertAlign w:val="subscript"/>
          <w:lang w:val="en-US"/>
        </w:rPr>
        <w:t xml:space="preserve">12 </w:t>
      </w:r>
      <w:r w:rsidRPr="00B97AC6">
        <w:rPr>
          <w:rFonts w:ascii="Times New Roman" w:hAnsi="Times New Roman"/>
          <w:sz w:val="28"/>
        </w:rPr>
        <w:t>–</w:t>
      </w:r>
      <w:r w:rsidRPr="00B97AC6">
        <w:rPr>
          <w:rFonts w:ascii="Times New Roman" w:hAnsi="Times New Roman"/>
          <w:sz w:val="28"/>
          <w:lang w:val="en-US"/>
        </w:rPr>
        <w:t>LiNi</w:t>
      </w:r>
      <w:r w:rsidRPr="00B97AC6">
        <w:rPr>
          <w:rFonts w:ascii="Times New Roman" w:hAnsi="Times New Roman"/>
          <w:sz w:val="28"/>
          <w:vertAlign w:val="subscript"/>
          <w:lang w:val="en-US"/>
        </w:rPr>
        <w:t>0.5</w:t>
      </w:r>
      <w:r w:rsidRPr="00B97AC6">
        <w:rPr>
          <w:rFonts w:ascii="Times New Roman" w:hAnsi="Times New Roman"/>
          <w:sz w:val="28"/>
          <w:lang w:val="en-US"/>
        </w:rPr>
        <w:t>Mn</w:t>
      </w:r>
      <w:r w:rsidRPr="00B97AC6">
        <w:rPr>
          <w:rFonts w:ascii="Times New Roman" w:hAnsi="Times New Roman"/>
          <w:sz w:val="28"/>
          <w:vertAlign w:val="subscript"/>
          <w:lang w:val="en-US"/>
        </w:rPr>
        <w:t>1.5</w:t>
      </w:r>
      <w:r w:rsidRPr="00B97AC6">
        <w:rPr>
          <w:rFonts w:ascii="Times New Roman" w:hAnsi="Times New Roman"/>
          <w:sz w:val="28"/>
          <w:lang w:val="en-US"/>
        </w:rPr>
        <w:t>O</w:t>
      </w:r>
      <w:r w:rsidRPr="00B97AC6">
        <w:rPr>
          <w:rFonts w:ascii="Times New Roman" w:hAnsi="Times New Roman"/>
          <w:sz w:val="28"/>
          <w:vertAlign w:val="subscript"/>
          <w:lang w:val="en-US"/>
        </w:rPr>
        <w:t xml:space="preserve">4 </w:t>
      </w:r>
      <w:r w:rsidRPr="00B97AC6">
        <w:rPr>
          <w:rFonts w:ascii="Times New Roman" w:hAnsi="Times New Roman"/>
          <w:sz w:val="28"/>
          <w:lang w:val="en-US"/>
        </w:rPr>
        <w:t>Li-Ion Full-cells</w:t>
      </w:r>
    </w:p>
    <w:p w:rsidR="00C721FC" w:rsidRPr="00B97AC6" w:rsidRDefault="00C721FC" w:rsidP="00C721FC">
      <w:pPr>
        <w:pStyle w:val="Authors"/>
        <w:spacing w:line="276" w:lineRule="auto"/>
        <w:jc w:val="center"/>
        <w:rPr>
          <w:rFonts w:ascii="Times New Roman" w:hAnsi="Times New Roman"/>
          <w:sz w:val="24"/>
          <w:vertAlign w:val="superscript"/>
        </w:rPr>
      </w:pPr>
      <w:proofErr w:type="spellStart"/>
      <w:r w:rsidRPr="00B97AC6">
        <w:rPr>
          <w:rFonts w:ascii="Times New Roman" w:hAnsi="Times New Roman"/>
          <w:sz w:val="24"/>
        </w:rPr>
        <w:t>Anulekha</w:t>
      </w:r>
      <w:proofErr w:type="spellEnd"/>
      <w:r w:rsidRPr="00B97AC6">
        <w:rPr>
          <w:rFonts w:ascii="Times New Roman" w:hAnsi="Times New Roman"/>
          <w:sz w:val="24"/>
        </w:rPr>
        <w:t xml:space="preserve"> K. </w:t>
      </w:r>
      <w:proofErr w:type="spellStart"/>
      <w:r w:rsidRPr="00B97AC6">
        <w:rPr>
          <w:rFonts w:ascii="Times New Roman" w:hAnsi="Times New Roman"/>
          <w:sz w:val="24"/>
        </w:rPr>
        <w:t>Haridas</w:t>
      </w:r>
      <w:proofErr w:type="spellEnd"/>
      <w:r w:rsidRPr="00B97AC6">
        <w:rPr>
          <w:rFonts w:ascii="Times New Roman" w:hAnsi="Times New Roman"/>
          <w:sz w:val="24"/>
        </w:rPr>
        <w:t xml:space="preserve"> </w:t>
      </w:r>
      <w:r w:rsidRPr="00B97AC6">
        <w:rPr>
          <w:rFonts w:ascii="Times New Roman" w:hAnsi="Times New Roman"/>
          <w:sz w:val="24"/>
          <w:vertAlign w:val="superscript"/>
        </w:rPr>
        <w:t>1, 2, #</w:t>
      </w:r>
      <w:r w:rsidRPr="00B97AC6">
        <w:rPr>
          <w:rFonts w:ascii="Times New Roman" w:hAnsi="Times New Roman"/>
          <w:sz w:val="24"/>
        </w:rPr>
        <w:t xml:space="preserve">, A. </w:t>
      </w:r>
      <w:proofErr w:type="spellStart"/>
      <w:r w:rsidRPr="00B97AC6">
        <w:rPr>
          <w:rFonts w:ascii="Times New Roman" w:hAnsi="Times New Roman"/>
          <w:sz w:val="24"/>
        </w:rPr>
        <w:t>Jyothirmayi</w:t>
      </w:r>
      <w:proofErr w:type="spellEnd"/>
      <w:r w:rsidRPr="00B97AC6">
        <w:rPr>
          <w:rFonts w:ascii="Times New Roman" w:hAnsi="Times New Roman"/>
          <w:sz w:val="24"/>
        </w:rPr>
        <w:t xml:space="preserve"> </w:t>
      </w:r>
      <w:r w:rsidRPr="00B97AC6">
        <w:rPr>
          <w:rFonts w:ascii="Times New Roman" w:hAnsi="Times New Roman"/>
          <w:sz w:val="24"/>
          <w:vertAlign w:val="superscript"/>
        </w:rPr>
        <w:t>1</w:t>
      </w:r>
      <w:r w:rsidRPr="00B97AC6">
        <w:rPr>
          <w:rFonts w:ascii="Times New Roman" w:hAnsi="Times New Roman"/>
          <w:sz w:val="24"/>
        </w:rPr>
        <w:t xml:space="preserve">, Chandra S. Sharma </w:t>
      </w:r>
      <w:r w:rsidRPr="00B97AC6">
        <w:rPr>
          <w:rFonts w:ascii="Times New Roman" w:hAnsi="Times New Roman"/>
          <w:sz w:val="24"/>
          <w:vertAlign w:val="superscript"/>
        </w:rPr>
        <w:t>2*</w:t>
      </w:r>
      <w:r w:rsidRPr="00B97AC6">
        <w:rPr>
          <w:rFonts w:ascii="Times New Roman" w:hAnsi="Times New Roman"/>
          <w:sz w:val="24"/>
        </w:rPr>
        <w:t xml:space="preserve"> and Tata N. Rao </w:t>
      </w:r>
      <w:r w:rsidRPr="00B97AC6">
        <w:rPr>
          <w:rFonts w:ascii="Times New Roman" w:hAnsi="Times New Roman"/>
          <w:sz w:val="24"/>
          <w:vertAlign w:val="superscript"/>
        </w:rPr>
        <w:t>1*</w:t>
      </w:r>
    </w:p>
    <w:p w:rsidR="00C721FC" w:rsidRPr="00B97AC6" w:rsidRDefault="00C721FC" w:rsidP="00C721FC">
      <w:pPr>
        <w:pStyle w:val="Authors"/>
        <w:spacing w:line="276" w:lineRule="auto"/>
        <w:jc w:val="center"/>
        <w:rPr>
          <w:rFonts w:ascii="Times New Roman" w:hAnsi="Times New Roman"/>
          <w:sz w:val="24"/>
        </w:rPr>
      </w:pPr>
    </w:p>
    <w:p w:rsidR="00C721FC" w:rsidRPr="00B97AC6" w:rsidRDefault="00C721FC" w:rsidP="00C721FC">
      <w:pPr>
        <w:pStyle w:val="Adress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B97AC6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B97AC6">
        <w:rPr>
          <w:rFonts w:ascii="Times New Roman" w:hAnsi="Times New Roman"/>
          <w:sz w:val="24"/>
          <w:szCs w:val="24"/>
        </w:rPr>
        <w:t>International Advanced Research Centre for Powder Metallurgy and New Materials (ARCI),</w:t>
      </w:r>
      <w:r w:rsidRPr="00B97AC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97AC6">
        <w:rPr>
          <w:rFonts w:ascii="Times New Roman" w:hAnsi="Times New Roman"/>
          <w:sz w:val="24"/>
          <w:szCs w:val="24"/>
        </w:rPr>
        <w:t>Hyderabad, Telangana, India.</w:t>
      </w:r>
    </w:p>
    <w:p w:rsidR="00C721FC" w:rsidRPr="00B97AC6" w:rsidRDefault="00C721FC" w:rsidP="00C721FC">
      <w:pPr>
        <w:pStyle w:val="Adress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97AC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97AC6">
        <w:rPr>
          <w:rFonts w:ascii="Times New Roman" w:hAnsi="Times New Roman"/>
          <w:sz w:val="24"/>
          <w:szCs w:val="24"/>
        </w:rPr>
        <w:t>Creative &amp; Advanced Research Based on Nanomaterials (CARBON) Laboratory, Department of Chemical Engineering, Indian Institute of Technology Hyderabad, Kandi, Sangareddy, 502285, Telangana, India.</w:t>
      </w:r>
    </w:p>
    <w:p w:rsidR="00C721FC" w:rsidRPr="00B97AC6" w:rsidRDefault="00C721FC" w:rsidP="00C721FC">
      <w:pPr>
        <w:pStyle w:val="Adress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C721FC" w:rsidRPr="00B97AC6" w:rsidRDefault="00C721FC" w:rsidP="00C721FC">
      <w:pPr>
        <w:pStyle w:val="Authors"/>
        <w:spacing w:line="480" w:lineRule="auto"/>
        <w:jc w:val="center"/>
        <w:rPr>
          <w:rFonts w:ascii="Times New Roman" w:hAnsi="Times New Roman"/>
          <w:sz w:val="24"/>
          <w:lang w:val="en-US"/>
        </w:rPr>
      </w:pPr>
      <w:r w:rsidRPr="00B97AC6">
        <w:rPr>
          <w:rFonts w:ascii="Times New Roman" w:hAnsi="Times New Roman"/>
          <w:sz w:val="24"/>
          <w:vertAlign w:val="superscript"/>
          <w:lang w:val="en-US"/>
        </w:rPr>
        <w:t>*</w:t>
      </w:r>
      <w:r w:rsidRPr="00B97AC6">
        <w:rPr>
          <w:rFonts w:ascii="Times New Roman" w:hAnsi="Times New Roman"/>
          <w:sz w:val="24"/>
          <w:lang w:val="en-US"/>
        </w:rPr>
        <w:t xml:space="preserve">Corresponding authors: </w:t>
      </w:r>
      <w:hyperlink r:id="rId4" w:history="1">
        <w:r w:rsidRPr="00B97AC6">
          <w:rPr>
            <w:rStyle w:val="Hyperlink"/>
            <w:rFonts w:ascii="Times New Roman" w:hAnsi="Times New Roman"/>
            <w:color w:val="auto"/>
            <w:sz w:val="24"/>
          </w:rPr>
          <w:t>cssharma@iith.ac.in</w:t>
        </w:r>
      </w:hyperlink>
      <w:r w:rsidRPr="00B97AC6">
        <w:rPr>
          <w:rFonts w:ascii="Times New Roman" w:hAnsi="Times New Roman"/>
          <w:sz w:val="24"/>
          <w:lang w:val="en-US"/>
        </w:rPr>
        <w:t xml:space="preserve">, </w:t>
      </w:r>
      <w:hyperlink r:id="rId5" w:history="1">
        <w:r w:rsidRPr="00B97AC6">
          <w:rPr>
            <w:rStyle w:val="Hyperlink"/>
            <w:rFonts w:ascii="Times New Roman" w:eastAsia="Calibri" w:hAnsi="Times New Roman"/>
            <w:iCs/>
            <w:color w:val="auto"/>
            <w:sz w:val="24"/>
          </w:rPr>
          <w:t>tata@arci.ac.in</w:t>
        </w:r>
      </w:hyperlink>
      <w:r w:rsidRPr="00B97AC6">
        <w:rPr>
          <w:rFonts w:ascii="Times New Roman" w:eastAsia="Calibri" w:hAnsi="Times New Roman"/>
          <w:iCs/>
          <w:sz w:val="24"/>
        </w:rPr>
        <w:t xml:space="preserve"> </w:t>
      </w:r>
      <w:r w:rsidRPr="00B97AC6">
        <w:rPr>
          <w:rFonts w:ascii="Times New Roman" w:hAnsi="Times New Roman"/>
          <w:sz w:val="24"/>
          <w:lang w:val="en-US"/>
        </w:rPr>
        <w:t xml:space="preserve">  </w:t>
      </w:r>
    </w:p>
    <w:p w:rsidR="00C721FC" w:rsidRPr="00B97AC6" w:rsidRDefault="00C721FC" w:rsidP="00C721FC">
      <w:pPr>
        <w:pStyle w:val="Authors"/>
        <w:spacing w:line="240" w:lineRule="auto"/>
        <w:jc w:val="center"/>
        <w:rPr>
          <w:rFonts w:ascii="Times New Roman" w:hAnsi="Times New Roman"/>
          <w:sz w:val="24"/>
        </w:rPr>
      </w:pPr>
      <w:r w:rsidRPr="00B97AC6">
        <w:rPr>
          <w:rFonts w:ascii="Times New Roman" w:hAnsi="Times New Roman"/>
          <w:sz w:val="24"/>
          <w:vertAlign w:val="superscript"/>
        </w:rPr>
        <w:t xml:space="preserve"># </w:t>
      </w:r>
      <w:r w:rsidRPr="00B97AC6">
        <w:rPr>
          <w:rFonts w:ascii="Times New Roman" w:hAnsi="Times New Roman"/>
          <w:sz w:val="24"/>
        </w:rPr>
        <w:t>Current address: Department of Chemical and Bio-molecular Engineering, Rice University, Houston, Texas, United States.</w:t>
      </w:r>
    </w:p>
    <w:p w:rsidR="00C721FC" w:rsidRPr="00B97AC6" w:rsidRDefault="00C721FC" w:rsidP="00C721FC">
      <w:pPr>
        <w:pStyle w:val="Authors"/>
        <w:spacing w:line="240" w:lineRule="auto"/>
        <w:jc w:val="center"/>
        <w:rPr>
          <w:rFonts w:ascii="Times New Roman" w:hAnsi="Times New Roman"/>
          <w:sz w:val="24"/>
        </w:rPr>
      </w:pPr>
    </w:p>
    <w:p w:rsidR="00C721FC" w:rsidRPr="00B97AC6" w:rsidRDefault="00C721FC" w:rsidP="00C721FC">
      <w:pPr>
        <w:spacing w:before="120" w:after="120" w:line="480" w:lineRule="auto"/>
        <w:jc w:val="both"/>
        <w:rPr>
          <w:rFonts w:eastAsia="Calibri"/>
          <w:b/>
          <w:bCs/>
          <w:iCs/>
          <w:lang w:val="en-IN" w:eastAsia="en-US"/>
        </w:rPr>
      </w:pPr>
      <w:r w:rsidRPr="00B97AC6">
        <w:rPr>
          <w:rFonts w:eastAsia="Calibri"/>
          <w:b/>
          <w:bCs/>
          <w:iCs/>
          <w:lang w:val="en-IN" w:eastAsia="en-US"/>
        </w:rPr>
        <w:t>Supporting Information</w:t>
      </w:r>
    </w:p>
    <w:p w:rsidR="00C721FC" w:rsidRPr="00B97AC6" w:rsidRDefault="00C721FC" w:rsidP="00C721FC">
      <w:pPr>
        <w:spacing w:line="480" w:lineRule="auto"/>
        <w:ind w:hanging="187"/>
        <w:jc w:val="both"/>
        <w:rPr>
          <w:rFonts w:eastAsia="Calibri"/>
          <w:iCs/>
          <w:lang w:val="en-IN" w:eastAsia="en-US"/>
        </w:rPr>
      </w:pPr>
    </w:p>
    <w:p w:rsidR="00C721FC" w:rsidRPr="00B97AC6" w:rsidRDefault="00C721FC" w:rsidP="00C721FC">
      <w:pPr>
        <w:spacing w:line="480" w:lineRule="auto"/>
        <w:ind w:hanging="187"/>
        <w:jc w:val="both"/>
        <w:rPr>
          <w:rFonts w:eastAsia="Calibri"/>
          <w:iCs/>
          <w:lang w:val="en-IN" w:eastAsia="en-US"/>
        </w:rPr>
      </w:pPr>
      <w:r w:rsidRPr="00B97AC6">
        <w:rPr>
          <w:rFonts w:eastAsia="Calibri"/>
          <w:noProof/>
          <w:lang w:val="en-US" w:eastAsia="en-US"/>
        </w:rPr>
        <w:drawing>
          <wp:inline distT="0" distB="0" distL="0" distR="0" wp14:anchorId="6285E4DA" wp14:editId="45A959EF">
            <wp:extent cx="6448370" cy="2231139"/>
            <wp:effectExtent l="0" t="0" r="0" b="0"/>
            <wp:docPr id="7" name="Picture 7" descr="C:\Users\User\Desktop\Fullcell paper\Full cell combin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ullcell paper\Full cell combinati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01" cy="223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C" w:rsidRDefault="00C721FC" w:rsidP="00C721FC">
      <w:pPr>
        <w:jc w:val="both"/>
        <w:rPr>
          <w:rFonts w:eastAsia="Calibri"/>
          <w:lang w:val="en-IN" w:eastAsia="en-US"/>
        </w:rPr>
      </w:pPr>
      <w:r w:rsidRPr="00B97AC6">
        <w:rPr>
          <w:rFonts w:eastAsia="Calibri"/>
          <w:b/>
          <w:bCs/>
          <w:iCs/>
          <w:lang w:val="en-IN" w:eastAsia="en-US"/>
        </w:rPr>
        <w:t>Figure S1:</w:t>
      </w:r>
      <w:r w:rsidRPr="00B97AC6">
        <w:rPr>
          <w:rFonts w:eastAsia="Calibri"/>
          <w:lang w:val="en-IN" w:eastAsia="en-US"/>
        </w:rPr>
        <w:t xml:space="preserve"> A representation of various full cell combinations of Li ion electrodes as a function of increase in potential with respect to Li. Full cell combining a low voltage anode and high voltage cathode provides high cell voltage which is directly related to the energy density of a battery. </w:t>
      </w:r>
    </w:p>
    <w:p w:rsidR="00C721FC" w:rsidRDefault="00C721FC" w:rsidP="00C721FC">
      <w:pPr>
        <w:jc w:val="both"/>
        <w:rPr>
          <w:rFonts w:eastAsia="Calibri"/>
          <w:lang w:val="en-IN" w:eastAsia="en-US"/>
        </w:rPr>
      </w:pPr>
    </w:p>
    <w:p w:rsidR="00C721FC" w:rsidRPr="00B97AC6" w:rsidRDefault="00C721FC" w:rsidP="00C721FC">
      <w:pPr>
        <w:spacing w:line="480" w:lineRule="auto"/>
        <w:ind w:hanging="187"/>
        <w:jc w:val="both"/>
        <w:rPr>
          <w:rFonts w:eastAsia="Calibri"/>
          <w:iCs/>
          <w:lang w:val="en-IN" w:eastAsia="en-US"/>
        </w:rPr>
      </w:pPr>
      <w:r w:rsidRPr="00B97AC6">
        <w:rPr>
          <w:rFonts w:eastAsia="Calibri"/>
          <w:iCs/>
          <w:noProof/>
          <w:lang w:val="en-US" w:eastAsia="en-US"/>
        </w:rPr>
        <w:lastRenderedPageBreak/>
        <w:drawing>
          <wp:inline distT="0" distB="0" distL="0" distR="0" wp14:anchorId="53E7C0C6" wp14:editId="7CDB4624">
            <wp:extent cx="5896099" cy="4273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16" cy="42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FC" w:rsidRPr="00B97AC6" w:rsidRDefault="00C721FC" w:rsidP="00C721FC">
      <w:pPr>
        <w:jc w:val="both"/>
        <w:rPr>
          <w:rFonts w:eastAsia="Calibri"/>
          <w:lang w:val="en-IN" w:eastAsia="en-US"/>
        </w:rPr>
      </w:pPr>
      <w:r w:rsidRPr="00B97AC6">
        <w:rPr>
          <w:rFonts w:eastAsia="Calibri"/>
          <w:b/>
          <w:lang w:val="en-IN" w:eastAsia="en-US"/>
        </w:rPr>
        <w:t>Figure S2:</w:t>
      </w:r>
      <w:r w:rsidRPr="00B97AC6">
        <w:rPr>
          <w:rFonts w:eastAsia="Calibri"/>
          <w:lang w:val="en-IN" w:eastAsia="en-US"/>
        </w:rPr>
        <w:t xml:space="preserve"> XRD and Raman studies of LTO and LNMO (a) XRD patterns of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d</w:t>
      </w:r>
      <w:proofErr w:type="spellEnd"/>
      <w:r w:rsidRPr="00B97AC6">
        <w:rPr>
          <w:rFonts w:eastAsia="Calibri"/>
          <w:lang w:val="en-IN" w:eastAsia="en-US"/>
        </w:rPr>
        <w:t xml:space="preserve"> and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c</w:t>
      </w:r>
      <w:proofErr w:type="spellEnd"/>
      <w:r w:rsidRPr="00B97AC6">
        <w:rPr>
          <w:rFonts w:eastAsia="Calibri"/>
          <w:lang w:val="en-IN" w:eastAsia="en-US"/>
        </w:rPr>
        <w:t xml:space="preserve">, (b) and (c) Rietveld refined XRD patterns of 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p</w:t>
      </w:r>
      <w:proofErr w:type="spellEnd"/>
      <w:r w:rsidRPr="00B97AC6">
        <w:rPr>
          <w:rFonts w:eastAsia="Calibri"/>
          <w:vertAlign w:val="subscript"/>
          <w:lang w:val="en-IN" w:eastAsia="en-US"/>
        </w:rPr>
        <w:t xml:space="preserve"> </w:t>
      </w:r>
      <w:r w:rsidRPr="00B97AC6">
        <w:rPr>
          <w:rFonts w:eastAsia="Calibri"/>
          <w:lang w:val="en-IN" w:eastAsia="en-US"/>
        </w:rPr>
        <w:t xml:space="preserve">and 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cplr</w:t>
      </w:r>
      <w:proofErr w:type="spellEnd"/>
      <w:proofErr w:type="gramStart"/>
      <w:r w:rsidRPr="00B97AC6">
        <w:rPr>
          <w:rFonts w:eastAsia="Calibri"/>
          <w:lang w:val="en-IN" w:eastAsia="en-US"/>
        </w:rPr>
        <w:t xml:space="preserve">, </w:t>
      </w:r>
      <w:r w:rsidRPr="00B97AC6">
        <w:rPr>
          <w:rFonts w:eastAsia="Calibri"/>
          <w:vertAlign w:val="subscript"/>
          <w:lang w:val="en-IN" w:eastAsia="en-US"/>
        </w:rPr>
        <w:t xml:space="preserve"> </w:t>
      </w:r>
      <w:r w:rsidRPr="00B97AC6">
        <w:rPr>
          <w:rFonts w:eastAsia="Calibri"/>
          <w:lang w:val="en-IN" w:eastAsia="en-US"/>
        </w:rPr>
        <w:t>(</w:t>
      </w:r>
      <w:proofErr w:type="gramEnd"/>
      <w:r w:rsidRPr="00B97AC6">
        <w:rPr>
          <w:rFonts w:eastAsia="Calibri"/>
          <w:lang w:val="en-IN" w:eastAsia="en-US"/>
        </w:rPr>
        <w:t xml:space="preserve">d) A comparative Raman spectra of 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p</w:t>
      </w:r>
      <w:proofErr w:type="spellEnd"/>
      <w:r w:rsidRPr="00B97AC6">
        <w:rPr>
          <w:rFonts w:eastAsia="Calibri"/>
          <w:lang w:val="en-IN" w:eastAsia="en-US"/>
        </w:rPr>
        <w:t xml:space="preserve"> and 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cplr</w:t>
      </w:r>
      <w:proofErr w:type="spellEnd"/>
      <w:r w:rsidRPr="00B97AC6">
        <w:rPr>
          <w:rFonts w:eastAsia="Calibri"/>
          <w:lang w:val="en-IN" w:eastAsia="en-US"/>
        </w:rPr>
        <w:t>.</w:t>
      </w:r>
    </w:p>
    <w:p w:rsidR="00C721FC" w:rsidRPr="00B97AC6" w:rsidRDefault="00C721FC" w:rsidP="00C721FC">
      <w:pPr>
        <w:spacing w:line="480" w:lineRule="auto"/>
        <w:contextualSpacing/>
        <w:jc w:val="both"/>
        <w:rPr>
          <w:rFonts w:eastAsia="Calibri"/>
          <w:lang w:val="en-IN" w:eastAsia="en-US"/>
        </w:rPr>
      </w:pPr>
    </w:p>
    <w:p w:rsidR="00C721FC" w:rsidRPr="00B97AC6" w:rsidRDefault="00C721FC" w:rsidP="00C721FC">
      <w:pPr>
        <w:spacing w:line="480" w:lineRule="auto"/>
        <w:jc w:val="both"/>
        <w:rPr>
          <w:rFonts w:eastAsia="Calibri"/>
          <w:b/>
          <w:bCs/>
          <w:noProof/>
          <w:lang w:val="en-IN" w:eastAsia="en-IN" w:bidi="ml-IN"/>
        </w:rPr>
      </w:pPr>
      <w:r w:rsidRPr="00B97AC6">
        <w:rPr>
          <w:rFonts w:eastAsia="Calibri"/>
          <w:b/>
          <w:bCs/>
          <w:noProof/>
          <w:lang w:val="en-US" w:eastAsia="en-US"/>
        </w:rPr>
        <w:lastRenderedPageBreak/>
        <w:drawing>
          <wp:inline distT="0" distB="0" distL="0" distR="0" wp14:anchorId="031ED30F" wp14:editId="5093A337">
            <wp:extent cx="5498857" cy="3637128"/>
            <wp:effectExtent l="0" t="0" r="6985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03" cy="363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FC" w:rsidRPr="00B97AC6" w:rsidRDefault="00C721FC" w:rsidP="00C721FC">
      <w:pPr>
        <w:jc w:val="both"/>
        <w:rPr>
          <w:rFonts w:eastAsia="Calibri"/>
          <w:vertAlign w:val="subscript"/>
          <w:lang w:val="en-IN" w:eastAsia="en-US"/>
        </w:rPr>
      </w:pPr>
      <w:r w:rsidRPr="00B97AC6">
        <w:rPr>
          <w:rFonts w:eastAsia="Calibri"/>
          <w:b/>
          <w:bCs/>
          <w:lang w:val="en-IN" w:eastAsia="en-US"/>
        </w:rPr>
        <w:t xml:space="preserve">Figure S3. </w:t>
      </w:r>
      <w:r w:rsidRPr="00B97AC6">
        <w:rPr>
          <w:rFonts w:eastAsia="Calibri"/>
          <w:lang w:val="en-IN" w:eastAsia="en-US"/>
        </w:rPr>
        <w:t xml:space="preserve">200 cycle GCD voltage profiles of FCs at 1C rate. a)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c</w:t>
      </w:r>
      <w:proofErr w:type="spellEnd"/>
      <w:r w:rsidRPr="00B97AC6">
        <w:rPr>
          <w:rFonts w:eastAsia="Calibri"/>
          <w:lang w:val="en-IN" w:eastAsia="en-US"/>
        </w:rPr>
        <w:t>–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p</w:t>
      </w:r>
      <w:proofErr w:type="spellEnd"/>
      <w:r w:rsidRPr="00B97AC6">
        <w:rPr>
          <w:rFonts w:eastAsia="Calibri"/>
          <w:lang w:val="en-IN" w:eastAsia="en-US"/>
        </w:rPr>
        <w:t xml:space="preserve"> b)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c</w:t>
      </w:r>
      <w:proofErr w:type="spellEnd"/>
      <w:r w:rsidRPr="00B97AC6">
        <w:rPr>
          <w:rFonts w:eastAsia="Calibri"/>
          <w:lang w:val="en-IN" w:eastAsia="en-US"/>
        </w:rPr>
        <w:t>–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cplr</w:t>
      </w:r>
      <w:proofErr w:type="spellEnd"/>
      <w:r w:rsidRPr="00B97AC6">
        <w:rPr>
          <w:rFonts w:eastAsia="Calibri"/>
          <w:lang w:val="en-IN" w:eastAsia="en-US"/>
        </w:rPr>
        <w:t xml:space="preserve"> c)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d</w:t>
      </w:r>
      <w:proofErr w:type="spellEnd"/>
      <w:r w:rsidRPr="00B97AC6">
        <w:rPr>
          <w:rFonts w:eastAsia="Calibri"/>
          <w:lang w:val="en-IN" w:eastAsia="en-US"/>
        </w:rPr>
        <w:t>–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p</w:t>
      </w:r>
      <w:proofErr w:type="spellEnd"/>
      <w:r w:rsidRPr="00B97AC6">
        <w:rPr>
          <w:rFonts w:eastAsia="Calibri"/>
          <w:lang w:val="en-IN" w:eastAsia="en-US"/>
        </w:rPr>
        <w:t xml:space="preserve"> d)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d</w:t>
      </w:r>
      <w:proofErr w:type="spellEnd"/>
      <w:r w:rsidRPr="00B97AC6">
        <w:rPr>
          <w:rFonts w:eastAsia="Calibri"/>
          <w:lang w:val="en-IN" w:eastAsia="en-US"/>
        </w:rPr>
        <w:t>–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cplr</w:t>
      </w:r>
      <w:proofErr w:type="spellEnd"/>
    </w:p>
    <w:p w:rsidR="00C721FC" w:rsidRPr="00B97AC6" w:rsidRDefault="00C721FC" w:rsidP="00C721FC">
      <w:pPr>
        <w:jc w:val="both"/>
        <w:rPr>
          <w:rFonts w:eastAsia="Calibri"/>
          <w:vertAlign w:val="subscript"/>
          <w:lang w:val="en-IN" w:eastAsia="en-US"/>
        </w:rPr>
      </w:pPr>
    </w:p>
    <w:p w:rsidR="00C721FC" w:rsidRPr="00B97AC6" w:rsidRDefault="00C721FC" w:rsidP="00C721FC">
      <w:pPr>
        <w:jc w:val="both"/>
        <w:rPr>
          <w:rFonts w:eastAsia="Calibri"/>
          <w:vertAlign w:val="subscript"/>
          <w:lang w:val="en-IN" w:eastAsia="en-US"/>
        </w:rPr>
      </w:pPr>
    </w:p>
    <w:p w:rsidR="00C721FC" w:rsidRPr="00B97AC6" w:rsidRDefault="00C721FC" w:rsidP="00C721FC">
      <w:pPr>
        <w:jc w:val="both"/>
        <w:rPr>
          <w:rFonts w:eastAsia="Calibri"/>
          <w:lang w:val="en-IN" w:eastAsia="en-US"/>
        </w:rPr>
      </w:pPr>
    </w:p>
    <w:p w:rsidR="00C721FC" w:rsidRPr="00B97AC6" w:rsidRDefault="00C721FC" w:rsidP="00C721FC">
      <w:pPr>
        <w:jc w:val="center"/>
        <w:rPr>
          <w:rFonts w:eastAsia="Calibri"/>
          <w:lang w:val="en-IN" w:eastAsia="en-US"/>
        </w:rPr>
      </w:pPr>
      <w:r w:rsidRPr="00B97AC6">
        <w:rPr>
          <w:rFonts w:eastAsia="Calibri"/>
          <w:b/>
          <w:noProof/>
          <w:lang w:val="en-US" w:eastAsia="en-US"/>
        </w:rPr>
        <w:drawing>
          <wp:inline distT="0" distB="0" distL="0" distR="0" wp14:anchorId="4AE95ABC" wp14:editId="754AC266">
            <wp:extent cx="2688609" cy="10159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26" cy="1015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FC" w:rsidRPr="00B97AC6" w:rsidRDefault="00C721FC" w:rsidP="00C721FC">
      <w:pPr>
        <w:spacing w:line="480" w:lineRule="auto"/>
        <w:jc w:val="center"/>
        <w:rPr>
          <w:rFonts w:eastAsia="Calibri"/>
          <w:lang w:val="en-IN" w:eastAsia="en-US"/>
        </w:rPr>
      </w:pPr>
      <w:r w:rsidRPr="00B97AC6">
        <w:rPr>
          <w:rFonts w:eastAsia="Calibri"/>
          <w:b/>
          <w:lang w:val="en-IN" w:eastAsia="en-US"/>
        </w:rPr>
        <w:t xml:space="preserve">Figure S4. </w:t>
      </w:r>
      <w:r w:rsidRPr="00B97AC6">
        <w:rPr>
          <w:rFonts w:eastAsia="Calibri"/>
          <w:lang w:val="en-IN" w:eastAsia="en-US"/>
        </w:rPr>
        <w:t>EIS</w:t>
      </w:r>
      <w:r w:rsidRPr="00B97AC6">
        <w:rPr>
          <w:rFonts w:eastAsia="Calibri"/>
          <w:b/>
          <w:lang w:val="en-IN" w:eastAsia="en-US"/>
        </w:rPr>
        <w:t xml:space="preserve"> e</w:t>
      </w:r>
      <w:r w:rsidRPr="00B97AC6">
        <w:rPr>
          <w:rFonts w:eastAsia="Calibri"/>
          <w:lang w:val="en-IN" w:eastAsia="en-US"/>
        </w:rPr>
        <w:t xml:space="preserve">quivalent circuit for </w:t>
      </w:r>
      <w:proofErr w:type="spellStart"/>
      <w:r w:rsidRPr="00B97AC6">
        <w:rPr>
          <w:rFonts w:eastAsia="Calibri"/>
          <w:lang w:val="en-IN" w:eastAsia="en-US"/>
        </w:rPr>
        <w:t>LTO</w:t>
      </w:r>
      <w:r w:rsidRPr="00B97AC6">
        <w:rPr>
          <w:rFonts w:eastAsia="Calibri"/>
          <w:vertAlign w:val="subscript"/>
          <w:lang w:val="en-IN" w:eastAsia="en-US"/>
        </w:rPr>
        <w:t>c</w:t>
      </w:r>
      <w:proofErr w:type="spellEnd"/>
      <w:r w:rsidRPr="00B97AC6">
        <w:rPr>
          <w:rFonts w:eastAsia="Calibri"/>
          <w:lang w:val="en-IN" w:eastAsia="en-US"/>
        </w:rPr>
        <w:t>–</w:t>
      </w:r>
      <w:proofErr w:type="spellStart"/>
      <w:r w:rsidRPr="00B97AC6">
        <w:rPr>
          <w:rFonts w:eastAsia="Calibri"/>
          <w:lang w:val="en-IN" w:eastAsia="en-US"/>
        </w:rPr>
        <w:t>LNMO</w:t>
      </w:r>
      <w:r w:rsidRPr="00B97AC6">
        <w:rPr>
          <w:rFonts w:eastAsia="Calibri"/>
          <w:vertAlign w:val="subscript"/>
          <w:lang w:val="en-IN" w:eastAsia="en-US"/>
        </w:rPr>
        <w:t>p</w:t>
      </w:r>
      <w:proofErr w:type="spellEnd"/>
      <w:r w:rsidRPr="00B97AC6">
        <w:rPr>
          <w:rFonts w:eastAsia="Calibri"/>
          <w:vertAlign w:val="subscript"/>
          <w:lang w:val="en-IN" w:eastAsia="en-US"/>
        </w:rPr>
        <w:t xml:space="preserve"> </w:t>
      </w:r>
      <w:r w:rsidRPr="00B97AC6">
        <w:rPr>
          <w:rFonts w:eastAsia="Calibri"/>
          <w:lang w:val="en-IN" w:eastAsia="en-US"/>
        </w:rPr>
        <w:t>FC</w:t>
      </w:r>
    </w:p>
    <w:p w:rsidR="00C721FC" w:rsidRPr="00B97AC6" w:rsidRDefault="00C721FC" w:rsidP="00C721FC">
      <w:pPr>
        <w:spacing w:line="480" w:lineRule="auto"/>
        <w:jc w:val="both"/>
        <w:rPr>
          <w:rFonts w:eastAsia="Calibri"/>
          <w:b/>
          <w:lang w:val="en-IN" w:eastAsia="en-US"/>
        </w:rPr>
      </w:pPr>
    </w:p>
    <w:p w:rsidR="00C721FC" w:rsidRPr="00B97AC6" w:rsidRDefault="00C721FC" w:rsidP="00C721FC">
      <w:pPr>
        <w:spacing w:line="480" w:lineRule="auto"/>
        <w:jc w:val="both"/>
        <w:rPr>
          <w:rFonts w:eastAsia="Calibri"/>
          <w:lang w:val="en-IN" w:eastAsia="en-US"/>
        </w:rPr>
      </w:pPr>
      <w:r w:rsidRPr="00B97AC6">
        <w:rPr>
          <w:rFonts w:eastAsia="Calibri"/>
          <w:b/>
          <w:lang w:val="en-IN" w:eastAsia="en-US"/>
        </w:rPr>
        <w:t>Table S1:</w:t>
      </w:r>
      <w:r w:rsidRPr="00B97AC6">
        <w:rPr>
          <w:rFonts w:eastAsia="Calibri"/>
          <w:lang w:val="en-IN" w:eastAsia="en-US"/>
        </w:rPr>
        <w:t xml:space="preserve"> A summary of full cell EIS studies</w:t>
      </w:r>
    </w:p>
    <w:tbl>
      <w:tblPr>
        <w:tblStyle w:val="LightGrid"/>
        <w:tblW w:w="5000" w:type="pct"/>
        <w:tblLook w:val="04A0" w:firstRow="1" w:lastRow="0" w:firstColumn="1" w:lastColumn="0" w:noHBand="0" w:noVBand="1"/>
      </w:tblPr>
      <w:tblGrid>
        <w:gridCol w:w="2873"/>
        <w:gridCol w:w="1711"/>
        <w:gridCol w:w="1618"/>
        <w:gridCol w:w="1522"/>
        <w:gridCol w:w="1616"/>
      </w:tblGrid>
      <w:tr w:rsidR="00C721FC" w:rsidRPr="00B97AC6" w:rsidTr="00A51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Full-Cells</w:t>
            </w:r>
          </w:p>
        </w:tc>
        <w:tc>
          <w:tcPr>
            <w:tcW w:w="91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R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e</w:t>
            </w:r>
            <w:r w:rsidRPr="00B97AC6">
              <w:rPr>
                <w:rFonts w:eastAsia="Calibri"/>
                <w:lang w:val="en-IN" w:eastAsia="en-US"/>
              </w:rPr>
              <w:t xml:space="preserve"> (Ω)</w:t>
            </w:r>
          </w:p>
        </w:tc>
        <w:tc>
          <w:tcPr>
            <w:tcW w:w="86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R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sl</w:t>
            </w:r>
            <w:proofErr w:type="spellEnd"/>
            <w:r w:rsidRPr="00B97AC6">
              <w:rPr>
                <w:rFonts w:eastAsia="Calibri"/>
                <w:vertAlign w:val="subscript"/>
                <w:lang w:val="en-IN" w:eastAsia="en-US"/>
              </w:rPr>
              <w:t xml:space="preserve"> </w:t>
            </w:r>
            <w:r w:rsidRPr="00B97AC6">
              <w:rPr>
                <w:rFonts w:eastAsia="Calibri"/>
                <w:lang w:val="en-IN" w:eastAsia="en-US"/>
              </w:rPr>
              <w:t>(Ω)</w:t>
            </w:r>
          </w:p>
        </w:tc>
        <w:tc>
          <w:tcPr>
            <w:tcW w:w="81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R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ct</w:t>
            </w:r>
            <w:proofErr w:type="spellEnd"/>
            <w:r w:rsidRPr="00B97AC6">
              <w:rPr>
                <w:rFonts w:eastAsia="Calibri"/>
                <w:vertAlign w:val="subscript"/>
                <w:lang w:val="en-IN" w:eastAsia="en-US"/>
              </w:rPr>
              <w:t xml:space="preserve"> </w:t>
            </w:r>
            <w:r w:rsidRPr="00B97AC6">
              <w:rPr>
                <w:rFonts w:eastAsia="Calibri"/>
                <w:lang w:val="en-IN" w:eastAsia="en-US"/>
              </w:rPr>
              <w:t>(Ω)</w:t>
            </w:r>
          </w:p>
        </w:tc>
        <w:tc>
          <w:tcPr>
            <w:tcW w:w="86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R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w</w:t>
            </w:r>
            <w:proofErr w:type="spellEnd"/>
            <w:r w:rsidRPr="00B97AC6">
              <w:rPr>
                <w:rFonts w:eastAsia="Calibri"/>
                <w:lang w:val="en-IN" w:eastAsia="en-US"/>
              </w:rPr>
              <w:t xml:space="preserve"> (Ω)</w:t>
            </w:r>
          </w:p>
        </w:tc>
      </w:tr>
      <w:tr w:rsidR="00C721FC" w:rsidRPr="00B97AC6" w:rsidTr="00A51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LTO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c</w:t>
            </w:r>
            <w:proofErr w:type="spellEnd"/>
            <w:r w:rsidRPr="00B97AC6">
              <w:rPr>
                <w:rFonts w:eastAsia="Calibri"/>
                <w:lang w:val="en-IN" w:eastAsia="en-US"/>
              </w:rPr>
              <w:t xml:space="preserve"> –</w:t>
            </w:r>
            <w:proofErr w:type="spellStart"/>
            <w:r w:rsidRPr="00B97AC6">
              <w:rPr>
                <w:rFonts w:eastAsia="Calibri"/>
                <w:lang w:val="en-IN" w:eastAsia="en-US"/>
              </w:rPr>
              <w:t>LNMO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p</w:t>
            </w:r>
            <w:proofErr w:type="spellEnd"/>
          </w:p>
        </w:tc>
        <w:tc>
          <w:tcPr>
            <w:tcW w:w="91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4.34</w:t>
            </w:r>
          </w:p>
        </w:tc>
        <w:tc>
          <w:tcPr>
            <w:tcW w:w="86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545.4</w:t>
            </w:r>
          </w:p>
        </w:tc>
        <w:tc>
          <w:tcPr>
            <w:tcW w:w="81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15007</w:t>
            </w:r>
          </w:p>
        </w:tc>
        <w:tc>
          <w:tcPr>
            <w:tcW w:w="86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-</w:t>
            </w:r>
          </w:p>
        </w:tc>
      </w:tr>
      <w:tr w:rsidR="00C721FC" w:rsidRPr="00B97AC6" w:rsidTr="00A51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LTO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c</w:t>
            </w:r>
            <w:proofErr w:type="spellEnd"/>
            <w:r w:rsidRPr="00B97AC6">
              <w:rPr>
                <w:rFonts w:eastAsia="Calibri"/>
                <w:lang w:val="en-IN" w:eastAsia="en-US"/>
              </w:rPr>
              <w:t xml:space="preserve"> –</w:t>
            </w:r>
            <w:proofErr w:type="spellStart"/>
            <w:r w:rsidRPr="00B97AC6">
              <w:rPr>
                <w:rFonts w:eastAsia="Calibri"/>
                <w:lang w:val="en-IN" w:eastAsia="en-US"/>
              </w:rPr>
              <w:t>LNMO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cplr</w:t>
            </w:r>
            <w:proofErr w:type="spellEnd"/>
          </w:p>
        </w:tc>
        <w:tc>
          <w:tcPr>
            <w:tcW w:w="91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4.62</w:t>
            </w:r>
          </w:p>
        </w:tc>
        <w:tc>
          <w:tcPr>
            <w:tcW w:w="86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57.57</w:t>
            </w:r>
          </w:p>
        </w:tc>
        <w:tc>
          <w:tcPr>
            <w:tcW w:w="81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135.26</w:t>
            </w:r>
          </w:p>
        </w:tc>
        <w:tc>
          <w:tcPr>
            <w:tcW w:w="86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136.03</w:t>
            </w:r>
          </w:p>
        </w:tc>
      </w:tr>
      <w:tr w:rsidR="00C721FC" w:rsidRPr="00B97AC6" w:rsidTr="00A51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lastRenderedPageBreak/>
              <w:t>LTO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d</w:t>
            </w:r>
            <w:proofErr w:type="spellEnd"/>
            <w:r w:rsidRPr="00B97AC6">
              <w:rPr>
                <w:rFonts w:eastAsia="Calibri"/>
                <w:lang w:val="en-IN" w:eastAsia="en-US"/>
              </w:rPr>
              <w:t xml:space="preserve"> –</w:t>
            </w:r>
            <w:proofErr w:type="spellStart"/>
            <w:r w:rsidRPr="00B97AC6">
              <w:rPr>
                <w:rFonts w:eastAsia="Calibri"/>
                <w:lang w:val="en-IN" w:eastAsia="en-US"/>
              </w:rPr>
              <w:t>LNMO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p</w:t>
            </w:r>
            <w:proofErr w:type="spellEnd"/>
          </w:p>
        </w:tc>
        <w:tc>
          <w:tcPr>
            <w:tcW w:w="91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4.06</w:t>
            </w:r>
          </w:p>
        </w:tc>
        <w:tc>
          <w:tcPr>
            <w:tcW w:w="86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39.50</w:t>
            </w:r>
          </w:p>
        </w:tc>
        <w:tc>
          <w:tcPr>
            <w:tcW w:w="81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90.02</w:t>
            </w:r>
          </w:p>
        </w:tc>
        <w:tc>
          <w:tcPr>
            <w:tcW w:w="86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316.60</w:t>
            </w:r>
          </w:p>
        </w:tc>
      </w:tr>
      <w:tr w:rsidR="00C721FC" w:rsidRPr="00B97AC6" w:rsidTr="00A51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rPr>
                <w:rFonts w:eastAsia="Calibri"/>
                <w:lang w:val="en-IN" w:eastAsia="en-US"/>
              </w:rPr>
            </w:pPr>
            <w:proofErr w:type="spellStart"/>
            <w:r w:rsidRPr="00B97AC6">
              <w:rPr>
                <w:rFonts w:eastAsia="Calibri"/>
                <w:lang w:val="en-IN" w:eastAsia="en-US"/>
              </w:rPr>
              <w:t>LTO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d</w:t>
            </w:r>
            <w:proofErr w:type="spellEnd"/>
            <w:r w:rsidRPr="00B97AC6">
              <w:rPr>
                <w:rFonts w:eastAsia="Calibri"/>
                <w:lang w:val="en-IN" w:eastAsia="en-US"/>
              </w:rPr>
              <w:t xml:space="preserve"> –</w:t>
            </w:r>
            <w:proofErr w:type="spellStart"/>
            <w:r w:rsidRPr="00B97AC6">
              <w:rPr>
                <w:rFonts w:eastAsia="Calibri"/>
                <w:lang w:val="en-IN" w:eastAsia="en-US"/>
              </w:rPr>
              <w:t>LNMO</w:t>
            </w:r>
            <w:r w:rsidRPr="00B97AC6">
              <w:rPr>
                <w:rFonts w:eastAsia="Calibri"/>
                <w:vertAlign w:val="subscript"/>
                <w:lang w:val="en-IN" w:eastAsia="en-US"/>
              </w:rPr>
              <w:t>cplr</w:t>
            </w:r>
            <w:proofErr w:type="spellEnd"/>
          </w:p>
        </w:tc>
        <w:tc>
          <w:tcPr>
            <w:tcW w:w="91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4.12</w:t>
            </w:r>
          </w:p>
        </w:tc>
        <w:tc>
          <w:tcPr>
            <w:tcW w:w="866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30.31</w:t>
            </w:r>
          </w:p>
        </w:tc>
        <w:tc>
          <w:tcPr>
            <w:tcW w:w="81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79.13</w:t>
            </w:r>
          </w:p>
        </w:tc>
        <w:tc>
          <w:tcPr>
            <w:tcW w:w="865" w:type="pct"/>
          </w:tcPr>
          <w:p w:rsidR="00C721FC" w:rsidRPr="00B97AC6" w:rsidRDefault="00C721FC" w:rsidP="00A51042">
            <w:pPr>
              <w:spacing w:after="200" w:line="480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lang w:val="en-IN" w:eastAsia="en-US"/>
              </w:rPr>
            </w:pPr>
            <w:r w:rsidRPr="00B97AC6">
              <w:rPr>
                <w:rFonts w:eastAsia="Calibri"/>
                <w:lang w:val="en-IN" w:eastAsia="en-US"/>
              </w:rPr>
              <w:t>245.52</w:t>
            </w:r>
          </w:p>
        </w:tc>
      </w:tr>
    </w:tbl>
    <w:p w:rsidR="00C721FC" w:rsidRPr="00B97AC6" w:rsidRDefault="00C721FC" w:rsidP="00C721FC">
      <w:pPr>
        <w:spacing w:line="480" w:lineRule="auto"/>
        <w:jc w:val="both"/>
        <w:rPr>
          <w:rFonts w:eastAsia="Calibri"/>
          <w:lang w:val="en-IN" w:eastAsia="en-US"/>
        </w:rPr>
      </w:pPr>
    </w:p>
    <w:p w:rsidR="00C721FC" w:rsidRPr="00B97AC6" w:rsidRDefault="00C721FC" w:rsidP="00C721FC">
      <w:pPr>
        <w:jc w:val="both"/>
        <w:rPr>
          <w:rFonts w:eastAsia="Calibri"/>
          <w:lang w:val="en-IN" w:eastAsia="en-US"/>
        </w:rPr>
      </w:pPr>
      <w:bookmarkStart w:id="0" w:name="_GoBack"/>
      <w:bookmarkEnd w:id="0"/>
    </w:p>
    <w:p w:rsidR="00C721FC" w:rsidRPr="00B97AC6" w:rsidRDefault="00C721FC" w:rsidP="00C721FC">
      <w:pPr>
        <w:spacing w:line="480" w:lineRule="auto"/>
        <w:ind w:hanging="187"/>
        <w:jc w:val="both"/>
        <w:rPr>
          <w:rFonts w:eastAsia="Calibri"/>
          <w:iCs/>
          <w:lang w:val="en-IN" w:eastAsia="en-US"/>
        </w:rPr>
      </w:pPr>
    </w:p>
    <w:p w:rsidR="00E01E74" w:rsidRDefault="00E01E74"/>
    <w:sectPr w:rsidR="00E0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FC"/>
    <w:rsid w:val="00C721FC"/>
    <w:rsid w:val="00E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D4E6"/>
  <w15:chartTrackingRefBased/>
  <w15:docId w15:val="{06EF5205-25B9-4314-BEC0-CCB748B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F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qFormat/>
    <w:rsid w:val="00C721FC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Normal"/>
    <w:qFormat/>
    <w:rsid w:val="00C721FC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Adress">
    <w:name w:val="Adress"/>
    <w:basedOn w:val="Normal"/>
    <w:qFormat/>
    <w:rsid w:val="00C721FC"/>
    <w:pPr>
      <w:spacing w:line="180" w:lineRule="exact"/>
      <w:ind w:left="425" w:hanging="425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C721FC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rsid w:val="00C721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ata@arci.ac.i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ssharma@iith.ac.in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Morris</dc:creator>
  <cp:keywords/>
  <dc:description/>
  <cp:lastModifiedBy>Kirby Morris</cp:lastModifiedBy>
  <cp:revision>1</cp:revision>
  <dcterms:created xsi:type="dcterms:W3CDTF">2019-09-23T14:50:00Z</dcterms:created>
  <dcterms:modified xsi:type="dcterms:W3CDTF">2019-09-23T14:52:00Z</dcterms:modified>
</cp:coreProperties>
</file>