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contextualSpacing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Supplementary Material</w:t>
      </w:r>
    </w:p>
    <w:p>
      <w:pPr>
        <w:spacing w:line="480" w:lineRule="auto"/>
        <w:contextualSpacing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hint="eastAsia" w:ascii="Times New Roman" w:hAnsi="Times New Roman"/>
          <w:color w:val="auto"/>
          <w:sz w:val="36"/>
          <w:szCs w:val="36"/>
        </w:rPr>
        <w:t xml:space="preserve">Synthesis of </w:t>
      </w:r>
      <w:r>
        <w:rPr>
          <w:rFonts w:ascii="Times New Roman" w:hAnsi="Times New Roman"/>
          <w:color w:val="auto"/>
          <w:sz w:val="36"/>
          <w:szCs w:val="36"/>
        </w:rPr>
        <w:t>Metal-Organic Framework Nanocrystals</w:t>
      </w:r>
      <w:r>
        <w:rPr>
          <w:rFonts w:hint="eastAsia" w:ascii="Times New Roman" w:hAnsi="Times New Roman"/>
          <w:color w:val="auto"/>
          <w:sz w:val="36"/>
          <w:szCs w:val="36"/>
        </w:rPr>
        <w:t xml:space="preserve"> </w:t>
      </w:r>
      <w:r>
        <w:rPr>
          <w:rFonts w:ascii="Times New Roman" w:hAnsi="Times New Roman"/>
          <w:color w:val="auto"/>
          <w:sz w:val="36"/>
          <w:szCs w:val="36"/>
        </w:rPr>
        <w:t>immobilized</w:t>
      </w:r>
      <w:r>
        <w:rPr>
          <w:rFonts w:hint="eastAsia" w:ascii="Times New Roman" w:hAnsi="Times New Roman"/>
          <w:color w:val="auto"/>
          <w:sz w:val="36"/>
          <w:szCs w:val="36"/>
        </w:rPr>
        <w:t xml:space="preserve"> with </w:t>
      </w:r>
      <w:r>
        <w:rPr>
          <w:rFonts w:ascii="Times New Roman" w:hAnsi="Times New Roman"/>
          <w:color w:val="auto"/>
          <w:sz w:val="36"/>
          <w:szCs w:val="36"/>
        </w:rPr>
        <w:t>3D ﬂowerlike</w:t>
      </w:r>
      <w:r>
        <w:rPr>
          <w:rFonts w:hint="eastAsia" w:ascii="Times New Roman" w:hAnsi="Times New Roman"/>
          <w:color w:val="auto"/>
          <w:sz w:val="36"/>
          <w:szCs w:val="36"/>
        </w:rPr>
        <w:t xml:space="preserve"> Cu-Bi</w:t>
      </w:r>
      <w:r>
        <w:rPr>
          <w:rFonts w:ascii="Times New Roman" w:hAnsi="Times New Roman"/>
          <w:color w:val="auto"/>
          <w:sz w:val="36"/>
          <w:szCs w:val="36"/>
        </w:rPr>
        <w:t xml:space="preserve"> layered double hydroxides</w:t>
      </w:r>
      <w:r>
        <w:rPr>
          <w:rFonts w:hint="eastAsia" w:ascii="Times New Roman" w:hAnsi="Times New Roman"/>
          <w:color w:val="auto"/>
          <w:sz w:val="36"/>
          <w:szCs w:val="36"/>
        </w:rPr>
        <w:t xml:space="preserve"> for</w:t>
      </w:r>
      <w:r>
        <w:rPr>
          <w:rFonts w:hint="eastAsia" w:ascii="Times New Roman" w:hAnsi="Times New Roman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/>
          <w:color w:val="auto"/>
          <w:sz w:val="36"/>
          <w:szCs w:val="36"/>
        </w:rPr>
        <w:t xml:space="preserve">iodine </w:t>
      </w:r>
      <w:r>
        <w:rPr>
          <w:rFonts w:ascii="Times New Roman" w:hAnsi="Times New Roman"/>
          <w:color w:val="auto"/>
          <w:sz w:val="36"/>
          <w:szCs w:val="36"/>
        </w:rPr>
        <w:t>efficient</w:t>
      </w:r>
      <w:r>
        <w:rPr>
          <w:rFonts w:hint="eastAsia" w:ascii="Times New Roman" w:hAnsi="Times New Roman"/>
          <w:color w:val="auto"/>
          <w:sz w:val="36"/>
          <w:szCs w:val="36"/>
        </w:rPr>
        <w:t xml:space="preserve"> removal</w:t>
      </w:r>
    </w:p>
    <w:p>
      <w:pPr>
        <w:spacing w:line="480" w:lineRule="auto"/>
        <w:contextualSpacing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hint="eastAsia" w:ascii="Times New Roman" w:hAnsi="Times New Roman"/>
          <w:i/>
          <w:color w:val="auto"/>
          <w:sz w:val="24"/>
          <w:szCs w:val="24"/>
        </w:rPr>
        <w:t>Fang Yu</w:t>
      </w:r>
      <w:r>
        <w:rPr>
          <w:rFonts w:ascii="Times New Roman" w:hAnsi="Times New Roman"/>
          <w:i/>
          <w:color w:val="auto"/>
          <w:sz w:val="24"/>
          <w:szCs w:val="24"/>
        </w:rPr>
        <w:t>, Yuantao Chen*, Yunsheng Wang</w:t>
      </w:r>
      <w:r>
        <w:rPr>
          <w:rFonts w:hint="eastAsia" w:ascii="Times New Roman" w:hAnsi="Times New Roman"/>
          <w:i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i/>
          <w:color w:val="auto"/>
          <w:sz w:val="24"/>
          <w:szCs w:val="24"/>
        </w:rPr>
        <w:t>Chen Liu</w:t>
      </w:r>
      <w:r>
        <w:rPr>
          <w:rFonts w:hint="eastAsia" w:ascii="Times New Roman" w:hAnsi="Times New Roman"/>
          <w:i/>
          <w:color w:val="auto"/>
          <w:sz w:val="24"/>
          <w:szCs w:val="24"/>
        </w:rPr>
        <w:t xml:space="preserve">, </w:t>
      </w:r>
      <w:r>
        <w:rPr>
          <w:rFonts w:hint="eastAsia" w:ascii="Times New Roman" w:hAnsi="Times New Roman"/>
          <w:i/>
          <w:color w:val="auto"/>
          <w:sz w:val="24"/>
          <w:szCs w:val="24"/>
          <w:lang w:val="en-US" w:eastAsia="zh-CN"/>
        </w:rPr>
        <w:t>Jianxian Qin</w:t>
      </w:r>
      <w:r>
        <w:rPr>
          <w:rFonts w:ascii="Times New Roman" w:hAnsi="Times New Roman"/>
          <w:i/>
          <w:color w:val="auto"/>
          <w:sz w:val="24"/>
          <w:szCs w:val="24"/>
        </w:rPr>
        <w:t xml:space="preserve"> </w:t>
      </w:r>
    </w:p>
    <w:p>
      <w:pPr>
        <w:autoSpaceDE w:val="0"/>
        <w:autoSpaceDN w:val="0"/>
        <w:spacing w:line="480" w:lineRule="auto"/>
        <w:contextualSpacing/>
        <w:rPr>
          <w:rFonts w:ascii="Times New Roman" w:hAnsi="宋体"/>
          <w:color w:val="auto"/>
          <w:sz w:val="24"/>
          <w:szCs w:val="24"/>
        </w:rPr>
      </w:pPr>
      <w:r>
        <w:rPr>
          <w:rFonts w:ascii="Times New Roman" w:hAnsi="宋体"/>
          <w:color w:val="auto"/>
          <w:sz w:val="24"/>
          <w:szCs w:val="24"/>
        </w:rPr>
        <w:t>School of Chemistry and Chemical Engineering, Qinghai Normal University, Xining, Qinghai 810008, P. R. China</w:t>
      </w:r>
    </w:p>
    <w:p>
      <w:pPr>
        <w:autoSpaceDE w:val="0"/>
        <w:autoSpaceDN w:val="0"/>
        <w:spacing w:line="480" w:lineRule="auto"/>
        <w:contextualSpacing/>
        <w:rPr>
          <w:rFonts w:ascii="Times New Roman" w:hAnsi="宋体"/>
          <w:color w:val="auto"/>
          <w:sz w:val="24"/>
          <w:szCs w:val="24"/>
        </w:rPr>
      </w:pPr>
    </w:p>
    <w:p>
      <w:pPr>
        <w:autoSpaceDE w:val="0"/>
        <w:autoSpaceDN w:val="0"/>
        <w:spacing w:line="480" w:lineRule="auto"/>
        <w:contextualSpacing/>
        <w:rPr>
          <w:rFonts w:ascii="Times New Roman" w:hAnsi="宋体"/>
          <w:color w:val="auto"/>
          <w:sz w:val="24"/>
          <w:szCs w:val="24"/>
        </w:rPr>
      </w:pPr>
    </w:p>
    <w:p>
      <w:pPr>
        <w:autoSpaceDE w:val="0"/>
        <w:autoSpaceDN w:val="0"/>
        <w:spacing w:line="480" w:lineRule="auto"/>
        <w:contextualSpacing/>
        <w:rPr>
          <w:rFonts w:ascii="Times New Roman" w:hAnsi="宋体"/>
          <w:color w:val="auto"/>
          <w:sz w:val="24"/>
          <w:szCs w:val="24"/>
        </w:rPr>
      </w:pPr>
    </w:p>
    <w:p>
      <w:pPr>
        <w:autoSpaceDE w:val="0"/>
        <w:autoSpaceDN w:val="0"/>
        <w:spacing w:line="480" w:lineRule="auto"/>
        <w:contextualSpacing/>
        <w:rPr>
          <w:rFonts w:ascii="Times New Roman" w:hAnsi="宋体"/>
          <w:color w:val="auto"/>
          <w:sz w:val="24"/>
          <w:szCs w:val="24"/>
        </w:rPr>
      </w:pPr>
    </w:p>
    <w:p>
      <w:pPr>
        <w:autoSpaceDE w:val="0"/>
        <w:autoSpaceDN w:val="0"/>
        <w:spacing w:line="480" w:lineRule="auto"/>
        <w:contextualSpacing/>
        <w:rPr>
          <w:rFonts w:ascii="Times New Roman" w:hAnsi="宋体"/>
          <w:color w:val="auto"/>
          <w:sz w:val="24"/>
          <w:szCs w:val="24"/>
        </w:rPr>
      </w:pPr>
    </w:p>
    <w:p>
      <w:pPr>
        <w:autoSpaceDE w:val="0"/>
        <w:autoSpaceDN w:val="0"/>
        <w:spacing w:line="480" w:lineRule="auto"/>
        <w:contextualSpacing/>
        <w:rPr>
          <w:rFonts w:ascii="Times New Roman" w:hAnsi="宋体"/>
          <w:color w:val="auto"/>
          <w:sz w:val="24"/>
          <w:szCs w:val="24"/>
        </w:rPr>
      </w:pPr>
    </w:p>
    <w:p>
      <w:pPr>
        <w:autoSpaceDE w:val="0"/>
        <w:autoSpaceDN w:val="0"/>
        <w:spacing w:line="480" w:lineRule="auto"/>
        <w:contextualSpacing/>
        <w:rPr>
          <w:rFonts w:ascii="Times New Roman" w:hAnsi="宋体"/>
          <w:color w:val="auto"/>
          <w:sz w:val="24"/>
          <w:szCs w:val="24"/>
        </w:rPr>
      </w:pPr>
    </w:p>
    <w:p>
      <w:pPr>
        <w:autoSpaceDE w:val="0"/>
        <w:autoSpaceDN w:val="0"/>
        <w:spacing w:line="480" w:lineRule="auto"/>
        <w:contextualSpacing/>
        <w:rPr>
          <w:rFonts w:ascii="Times New Roman" w:hAnsi="宋体"/>
          <w:color w:val="auto"/>
          <w:sz w:val="24"/>
          <w:szCs w:val="24"/>
        </w:rPr>
      </w:pPr>
    </w:p>
    <w:p>
      <w:pPr>
        <w:autoSpaceDE w:val="0"/>
        <w:autoSpaceDN w:val="0"/>
        <w:spacing w:line="480" w:lineRule="auto"/>
        <w:contextualSpacing/>
        <w:rPr>
          <w:rFonts w:ascii="Times New Roman" w:hAnsi="宋体"/>
          <w:color w:val="auto"/>
          <w:sz w:val="24"/>
          <w:szCs w:val="24"/>
        </w:rPr>
      </w:pPr>
    </w:p>
    <w:p>
      <w:pPr>
        <w:autoSpaceDE w:val="0"/>
        <w:autoSpaceDN w:val="0"/>
        <w:spacing w:line="480" w:lineRule="auto"/>
        <w:contextualSpacing/>
        <w:rPr>
          <w:rFonts w:ascii="Times New Roman" w:hAnsi="宋体"/>
          <w:color w:val="auto"/>
          <w:sz w:val="24"/>
          <w:szCs w:val="24"/>
        </w:rPr>
      </w:pPr>
    </w:p>
    <w:p>
      <w:pPr>
        <w:autoSpaceDE w:val="0"/>
        <w:autoSpaceDN w:val="0"/>
        <w:spacing w:line="480" w:lineRule="auto"/>
        <w:contextualSpacing/>
        <w:rPr>
          <w:rFonts w:ascii="Times New Roman" w:hAnsi="宋体"/>
          <w:color w:val="auto"/>
          <w:sz w:val="24"/>
          <w:szCs w:val="24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* Corresponding author. Tel.: +86-0971-6303374; Fax: +86-0971-6303374.</w:t>
      </w:r>
    </w:p>
    <w:p>
      <w:pPr>
        <w:spacing w:line="480" w:lineRule="auto"/>
        <w:rPr>
          <w:rFonts w:ascii="Times New Roman" w:hAnsi="宋体"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</w:rPr>
        <w:t xml:space="preserve">E-mail: </w: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instrText xml:space="preserve"> HYPERLINK "mailto:chenyt@qhnu.edu.cn" </w:instrTex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4"/>
          <w:szCs w:val="24"/>
          <w:u w:val="none"/>
        </w:rPr>
        <w:t>chenyt@qhnu.edu.cn</w: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hint="eastAsia" w:ascii="Times New Roman" w:hAnsi="Times New Roman" w:cs="Times New Roman"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Style w:val="5"/>
          <w:rFonts w:hint="eastAsia" w:ascii="Times New Roman" w:hAnsi="Times New Roman"/>
          <w:color w:val="auto"/>
          <w:sz w:val="24"/>
          <w:u w:val="none"/>
        </w:rPr>
        <w:t>(</w:t>
      </w:r>
      <w:r>
        <w:rPr>
          <w:rStyle w:val="5"/>
          <w:rFonts w:hint="eastAsia" w:ascii="Times New Roman" w:hAnsi="Times New Roman"/>
          <w:color w:val="auto"/>
          <w:sz w:val="24"/>
          <w:u w:val="none"/>
          <w:lang w:val="en-US" w:eastAsia="zh-CN"/>
        </w:rPr>
        <w:t>Y</w:t>
      </w:r>
      <w:r>
        <w:rPr>
          <w:rStyle w:val="5"/>
          <w:rFonts w:hint="eastAsia" w:ascii="Times New Roman" w:hAnsi="Times New Roman"/>
          <w:color w:val="auto"/>
          <w:sz w:val="24"/>
          <w:u w:val="none"/>
        </w:rPr>
        <w:t>.</w:t>
      </w:r>
      <w:r>
        <w:rPr>
          <w:rStyle w:val="5"/>
          <w:rFonts w:hint="eastAsia" w:ascii="Times New Roman" w:hAnsi="Times New Roman"/>
          <w:color w:val="auto"/>
          <w:sz w:val="24"/>
          <w:u w:val="none"/>
          <w:lang w:val="en-US" w:eastAsia="zh-CN"/>
        </w:rPr>
        <w:t>T</w:t>
      </w:r>
      <w:r>
        <w:rPr>
          <w:rStyle w:val="5"/>
          <w:rFonts w:hint="eastAsia" w:ascii="Times New Roman" w:hAnsi="Times New Roman"/>
          <w:color w:val="auto"/>
          <w:sz w:val="24"/>
          <w:u w:val="none"/>
        </w:rPr>
        <w:t xml:space="preserve">. </w:t>
      </w:r>
      <w:r>
        <w:rPr>
          <w:rStyle w:val="5"/>
          <w:rFonts w:hint="eastAsia" w:ascii="Times New Roman" w:hAnsi="Times New Roman"/>
          <w:color w:val="auto"/>
          <w:sz w:val="24"/>
          <w:u w:val="none"/>
          <w:lang w:val="en-US" w:eastAsia="zh-CN"/>
        </w:rPr>
        <w:t>Chen</w:t>
      </w:r>
      <w:r>
        <w:rPr>
          <w:rStyle w:val="5"/>
          <w:rFonts w:hint="eastAsia" w:ascii="Times New Roman" w:hAnsi="Times New Roman"/>
          <w:color w:val="auto"/>
          <w:sz w:val="24"/>
          <w:u w:val="none"/>
        </w:rPr>
        <w:t>)</w:t>
      </w:r>
    </w:p>
    <w:p>
      <w:pPr>
        <w:autoSpaceDE w:val="0"/>
        <w:autoSpaceDN w:val="0"/>
        <w:spacing w:line="480" w:lineRule="auto"/>
        <w:contextualSpacing/>
        <w:rPr>
          <w:rFonts w:ascii="Times New Roman" w:hAnsi="宋体"/>
          <w:color w:val="auto"/>
          <w:sz w:val="24"/>
          <w:szCs w:val="24"/>
        </w:rPr>
      </w:pPr>
    </w:p>
    <w:p>
      <w:pPr>
        <w:autoSpaceDE w:val="0"/>
        <w:autoSpaceDN w:val="0"/>
        <w:spacing w:line="480" w:lineRule="auto"/>
        <w:contextualSpacing/>
        <w:rPr>
          <w:rFonts w:ascii="Times New Roman" w:hAnsi="宋体"/>
          <w:color w:val="auto"/>
          <w:sz w:val="24"/>
          <w:szCs w:val="24"/>
        </w:rPr>
      </w:pPr>
    </w:p>
    <w:p>
      <w:pPr>
        <w:autoSpaceDE w:val="0"/>
        <w:autoSpaceDN w:val="0"/>
        <w:spacing w:line="480" w:lineRule="auto"/>
        <w:contextualSpacing/>
        <w:jc w:val="center"/>
        <w:rPr>
          <w:rFonts w:ascii="Times New Roman" w:hAnsi="宋体"/>
          <w:color w:val="auto"/>
          <w:sz w:val="24"/>
          <w:szCs w:val="24"/>
        </w:rPr>
      </w:pPr>
      <w:r>
        <w:rPr>
          <w:color w:val="auto"/>
        </w:rPr>
        <w:object>
          <v:shape id="_x0000_i1025" o:spt="75" type="#_x0000_t75" style="height:180.55pt;width:254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Origin50.Graph" ShapeID="_x0000_i1025" DrawAspect="Content" ObjectID="_1468075725" r:id="rId4">
            <o:LockedField>false</o:LockedField>
          </o:OLEObject>
        </w:object>
      </w:r>
    </w:p>
    <w:p>
      <w:pPr>
        <w:jc w:val="center"/>
        <w:rPr>
          <w:color w:val="auto"/>
        </w:rPr>
      </w:pPr>
    </w:p>
    <w:p>
      <w:pPr>
        <w:jc w:val="center"/>
        <w:rPr>
          <w:rFonts w:ascii="Times New Roman" w:hAnsi="Times New Roman" w:eastAsia="宋体"/>
          <w:color w:val="auto"/>
          <w:szCs w:val="21"/>
        </w:rPr>
      </w:pPr>
      <w:r>
        <w:rPr>
          <w:rFonts w:ascii="Times New Roman" w:hAnsi="Times New Roman" w:eastAsia="宋体"/>
          <w:b/>
          <w:bCs/>
          <w:color w:val="auto"/>
          <w:szCs w:val="21"/>
        </w:rPr>
        <w:t>F</w:t>
      </w:r>
      <w:r>
        <w:rPr>
          <w:rFonts w:hint="eastAsia" w:ascii="Times New Roman" w:hAnsi="Times New Roman"/>
          <w:b/>
          <w:bCs/>
          <w:color w:val="auto"/>
          <w:szCs w:val="21"/>
          <w:lang w:val="en-US" w:eastAsia="zh-CN"/>
        </w:rPr>
        <w:t xml:space="preserve">IG. </w:t>
      </w:r>
      <w:r>
        <w:rPr>
          <w:rFonts w:hint="eastAsia" w:ascii="Times New Roman" w:hAnsi="Times New Roman" w:eastAsia="宋体"/>
          <w:b/>
          <w:bCs/>
          <w:color w:val="auto"/>
          <w:szCs w:val="21"/>
          <w:lang w:val="en-US" w:eastAsia="zh-CN"/>
        </w:rPr>
        <w:t>S1:</w:t>
      </w:r>
      <w:r>
        <w:rPr>
          <w:rFonts w:ascii="Times New Roman" w:hAnsi="Times New Roman" w:eastAsia="宋体"/>
          <w:color w:val="auto"/>
          <w:szCs w:val="21"/>
        </w:rPr>
        <w:t xml:space="preserve"> XRD patterns of before and after ZIF-67 loaded on CuBi-CO</w:t>
      </w:r>
      <w:r>
        <w:rPr>
          <w:rFonts w:ascii="Times New Roman" w:hAnsi="Times New Roman" w:eastAsia="宋体"/>
          <w:color w:val="auto"/>
          <w:szCs w:val="21"/>
          <w:vertAlign w:val="subscript"/>
        </w:rPr>
        <w:t>3</w:t>
      </w:r>
      <w:r>
        <w:rPr>
          <w:rFonts w:ascii="Times New Roman" w:hAnsi="Times New Roman" w:eastAsia="宋体"/>
          <w:color w:val="auto"/>
          <w:szCs w:val="21"/>
        </w:rPr>
        <w:t xml:space="preserve">-LDH </w:t>
      </w:r>
      <w:r>
        <w:rPr>
          <w:rFonts w:ascii="Times New Roman" w:hAnsi="Times New Roman" w:eastAsia="宋体"/>
          <w:color w:val="auto"/>
          <w:szCs w:val="21"/>
        </w:rPr>
        <w:t>(CuBi-CO</w:t>
      </w:r>
      <w:r>
        <w:rPr>
          <w:rFonts w:ascii="Times New Roman" w:hAnsi="Times New Roman" w:eastAsia="宋体"/>
          <w:color w:val="auto"/>
          <w:szCs w:val="21"/>
          <w:vertAlign w:val="subscript"/>
        </w:rPr>
        <w:t>3</w:t>
      </w:r>
      <w:r>
        <w:rPr>
          <w:rFonts w:ascii="Times New Roman" w:hAnsi="Times New Roman" w:eastAsia="宋体"/>
          <w:color w:val="auto"/>
          <w:szCs w:val="21"/>
        </w:rPr>
        <w:t>-LDH(</w:t>
      </w:r>
      <w:r>
        <w:rPr>
          <w:rFonts w:hint="eastAsia" w:ascii="宋体" w:hAnsi="宋体" w:cs="宋体"/>
          <w:color w:val="auto"/>
          <w:szCs w:val="21"/>
          <w:lang w:eastAsia="zh-CN"/>
        </w:rPr>
        <w:t>★</w:t>
      </w:r>
      <w:r>
        <w:rPr>
          <w:rFonts w:ascii="Times New Roman" w:hAnsi="Times New Roman" w:eastAsia="宋体"/>
          <w:color w:val="auto"/>
          <w:szCs w:val="21"/>
        </w:rPr>
        <w:t>), Cu</w:t>
      </w:r>
      <w:r>
        <w:rPr>
          <w:rFonts w:ascii="Times New Roman" w:hAnsi="Times New Roman" w:eastAsia="宋体"/>
          <w:color w:val="auto"/>
          <w:szCs w:val="21"/>
          <w:vertAlign w:val="subscript"/>
        </w:rPr>
        <w:t>4</w:t>
      </w:r>
      <w:r>
        <w:rPr>
          <w:rFonts w:ascii="Times New Roman" w:hAnsi="Times New Roman" w:eastAsia="宋体"/>
          <w:color w:val="auto"/>
          <w:szCs w:val="21"/>
        </w:rPr>
        <w:t>(OH)</w:t>
      </w:r>
      <w:r>
        <w:rPr>
          <w:rFonts w:ascii="Times New Roman" w:hAnsi="Times New Roman" w:eastAsia="宋体"/>
          <w:color w:val="auto"/>
          <w:szCs w:val="21"/>
          <w:vertAlign w:val="subscript"/>
        </w:rPr>
        <w:t>6</w:t>
      </w:r>
      <w:r>
        <w:rPr>
          <w:rFonts w:ascii="Times New Roman" w:hAnsi="Times New Roman" w:eastAsia="宋体"/>
          <w:color w:val="auto"/>
          <w:szCs w:val="21"/>
        </w:rPr>
        <w:t>CO</w:t>
      </w:r>
      <w:r>
        <w:rPr>
          <w:rFonts w:ascii="Times New Roman" w:hAnsi="Times New Roman" w:eastAsia="宋体"/>
          <w:color w:val="auto"/>
          <w:szCs w:val="21"/>
          <w:vertAlign w:val="subscript"/>
        </w:rPr>
        <w:t>3</w:t>
      </w:r>
      <w:r>
        <w:rPr>
          <w:rFonts w:ascii="Times New Roman" w:hAnsi="Times New Roman" w:eastAsia="宋体"/>
          <w:color w:val="auto"/>
          <w:szCs w:val="21"/>
        </w:rPr>
        <w:t>·H</w:t>
      </w:r>
      <w:r>
        <w:rPr>
          <w:rFonts w:ascii="Times New Roman" w:hAnsi="Times New Roman" w:eastAsia="宋体"/>
          <w:color w:val="auto"/>
          <w:szCs w:val="21"/>
          <w:vertAlign w:val="subscript"/>
        </w:rPr>
        <w:t>2</w:t>
      </w:r>
      <w:r>
        <w:rPr>
          <w:rFonts w:ascii="Times New Roman" w:hAnsi="Times New Roman" w:eastAsia="宋体"/>
          <w:color w:val="auto"/>
          <w:szCs w:val="21"/>
        </w:rPr>
        <w:t>O phase (</w:t>
      </w:r>
      <w:r>
        <w:rPr>
          <w:rFonts w:hint="eastAsia" w:ascii="Times New Roman" w:hAnsi="Times New Roman"/>
          <w:color w:val="auto"/>
          <w:szCs w:val="21"/>
          <w:lang w:eastAsia="zh-CN"/>
        </w:rPr>
        <w:t>▲</w:t>
      </w:r>
      <w:r>
        <w:rPr>
          <w:rFonts w:ascii="Times New Roman" w:hAnsi="Times New Roman" w:eastAsia="宋体"/>
          <w:color w:val="auto"/>
          <w:szCs w:val="21"/>
        </w:rPr>
        <w:t>) and Bi</w:t>
      </w:r>
      <w:r>
        <w:rPr>
          <w:rFonts w:hint="eastAsia" w:ascii="Times New Roman" w:hAnsi="Times New Roman" w:eastAsia="宋体"/>
          <w:color w:val="auto"/>
          <w:szCs w:val="21"/>
          <w:vertAlign w:val="subscript"/>
        </w:rPr>
        <w:t>2</w:t>
      </w:r>
      <w:r>
        <w:rPr>
          <w:rFonts w:ascii="Times New Roman" w:hAnsi="Times New Roman" w:eastAsia="宋体"/>
          <w:color w:val="auto"/>
          <w:szCs w:val="21"/>
        </w:rPr>
        <w:t>(OH)</w:t>
      </w:r>
      <w:r>
        <w:rPr>
          <w:rFonts w:ascii="Times New Roman" w:hAnsi="Times New Roman" w:eastAsia="宋体"/>
          <w:color w:val="auto"/>
          <w:szCs w:val="21"/>
          <w:vertAlign w:val="subscript"/>
        </w:rPr>
        <w:t>6</w:t>
      </w:r>
      <w:r>
        <w:rPr>
          <w:rFonts w:ascii="Times New Roman" w:hAnsi="Times New Roman" w:eastAsia="宋体"/>
          <w:color w:val="auto"/>
          <w:szCs w:val="21"/>
        </w:rPr>
        <w:t>CO</w:t>
      </w:r>
      <w:r>
        <w:rPr>
          <w:rFonts w:ascii="Times New Roman" w:hAnsi="Times New Roman" w:eastAsia="宋体"/>
          <w:color w:val="auto"/>
          <w:szCs w:val="21"/>
          <w:vertAlign w:val="subscript"/>
        </w:rPr>
        <w:t>3</w:t>
      </w:r>
      <w:r>
        <w:rPr>
          <w:rFonts w:ascii="Times New Roman" w:hAnsi="Times New Roman" w:eastAsia="宋体"/>
          <w:color w:val="auto"/>
          <w:szCs w:val="21"/>
        </w:rPr>
        <w:t>·H</w:t>
      </w:r>
      <w:r>
        <w:rPr>
          <w:rFonts w:ascii="Times New Roman" w:hAnsi="Times New Roman" w:eastAsia="宋体"/>
          <w:color w:val="auto"/>
          <w:szCs w:val="21"/>
          <w:vertAlign w:val="subscript"/>
        </w:rPr>
        <w:t>2</w:t>
      </w:r>
      <w:r>
        <w:rPr>
          <w:rFonts w:ascii="Times New Roman" w:hAnsi="Times New Roman" w:eastAsia="宋体"/>
          <w:color w:val="auto"/>
          <w:szCs w:val="21"/>
        </w:rPr>
        <w:t>O</w:t>
      </w:r>
      <w:r>
        <w:rPr>
          <w:rFonts w:hint="eastAsia" w:ascii="Times New Roman" w:hAnsi="Times New Roman" w:eastAsia="宋体"/>
          <w:color w:val="auto"/>
          <w:szCs w:val="21"/>
        </w:rPr>
        <w:t xml:space="preserve"> phase </w:t>
      </w:r>
      <w:r>
        <w:rPr>
          <w:rFonts w:ascii="Times New Roman" w:hAnsi="Times New Roman" w:eastAsia="宋体"/>
          <w:color w:val="auto"/>
          <w:szCs w:val="21"/>
        </w:rPr>
        <w:t>(</w:t>
      </w:r>
      <w:r>
        <w:rPr>
          <w:rFonts w:hint="eastAsia" w:ascii="Times New Roman" w:hAnsi="Times New Roman"/>
          <w:color w:val="auto"/>
          <w:szCs w:val="21"/>
          <w:lang w:eastAsia="zh-CN"/>
        </w:rPr>
        <w:t>●</w:t>
      </w:r>
      <w:r>
        <w:rPr>
          <w:rFonts w:ascii="Times New Roman" w:hAnsi="Times New Roman" w:eastAsia="宋体"/>
          <w:color w:val="auto"/>
          <w:szCs w:val="21"/>
        </w:rPr>
        <w:t xml:space="preserve">) </w:t>
      </w:r>
      <w:r>
        <w:rPr>
          <w:rFonts w:hint="eastAsia" w:ascii="Times New Roman" w:hAnsi="Times New Roman" w:eastAsia="宋体"/>
          <w:color w:val="auto"/>
          <w:szCs w:val="21"/>
        </w:rPr>
        <w:t>wer</w:t>
      </w:r>
      <w:r>
        <w:rPr>
          <w:rFonts w:ascii="Times New Roman" w:hAnsi="Times New Roman" w:eastAsia="宋体"/>
          <w:color w:val="auto"/>
          <w:szCs w:val="21"/>
        </w:rPr>
        <w:t xml:space="preserve">e </w:t>
      </w:r>
    </w:p>
    <w:p>
      <w:pPr>
        <w:jc w:val="center"/>
        <w:rPr>
          <w:rFonts w:ascii="Times New Roman" w:hAnsi="Times New Roman" w:eastAsia="宋体"/>
          <w:color w:val="auto"/>
          <w:szCs w:val="21"/>
        </w:rPr>
      </w:pPr>
      <w:r>
        <w:rPr>
          <w:rFonts w:ascii="Times New Roman" w:hAnsi="Times New Roman" w:eastAsia="宋体"/>
          <w:color w:val="auto"/>
          <w:szCs w:val="21"/>
        </w:rPr>
        <w:t>marked.)</w:t>
      </w:r>
    </w:p>
    <w:p>
      <w:pPr>
        <w:jc w:val="center"/>
        <w:rPr>
          <w:rFonts w:ascii="Times New Roman" w:hAnsi="Times New Roman" w:eastAsia="宋体"/>
          <w:color w:val="auto"/>
          <w:szCs w:val="21"/>
        </w:rPr>
      </w:pPr>
    </w:p>
    <w:p>
      <w:pPr>
        <w:jc w:val="center"/>
        <w:rPr>
          <w:rFonts w:ascii="Times New Roman" w:hAnsi="Times New Roman" w:eastAsia="宋体"/>
          <w:color w:val="auto"/>
          <w:szCs w:val="21"/>
        </w:rPr>
      </w:pPr>
    </w:p>
    <w:p>
      <w:pPr>
        <w:jc w:val="center"/>
        <w:rPr>
          <w:rFonts w:ascii="Times New Roman" w:hAnsi="Times New Roman" w:eastAsia="宋体"/>
          <w:color w:val="auto"/>
          <w:szCs w:val="21"/>
        </w:rPr>
      </w:pPr>
    </w:p>
    <w:p>
      <w:pPr>
        <w:jc w:val="center"/>
        <w:rPr>
          <w:rFonts w:ascii="Times New Roman" w:hAnsi="Times New Roman" w:eastAsia="宋体"/>
          <w:color w:val="auto"/>
          <w:szCs w:val="21"/>
        </w:rPr>
      </w:pPr>
    </w:p>
    <w:p>
      <w:pPr>
        <w:jc w:val="center"/>
        <w:rPr>
          <w:rFonts w:ascii="Times New Roman" w:hAnsi="Times New Roman" w:eastAsia="宋体"/>
          <w:color w:val="auto"/>
          <w:szCs w:val="21"/>
        </w:rPr>
      </w:pPr>
    </w:p>
    <w:p>
      <w:pPr>
        <w:jc w:val="center"/>
        <w:rPr>
          <w:rFonts w:ascii="Times New Roman" w:hAnsi="Times New Roman" w:eastAsia="宋体"/>
          <w:color w:val="auto"/>
          <w:szCs w:val="21"/>
        </w:rPr>
      </w:pPr>
    </w:p>
    <w:p>
      <w:pPr>
        <w:jc w:val="center"/>
        <w:rPr>
          <w:rFonts w:ascii="Times New Roman" w:hAnsi="Times New Roman" w:eastAsia="宋体"/>
          <w:color w:val="auto"/>
          <w:szCs w:val="21"/>
        </w:rPr>
      </w:pPr>
    </w:p>
    <w:p>
      <w:pPr>
        <w:jc w:val="center"/>
        <w:rPr>
          <w:rFonts w:ascii="Times New Roman" w:hAnsi="Times New Roman" w:eastAsia="宋体"/>
          <w:color w:val="auto"/>
          <w:szCs w:val="21"/>
        </w:rPr>
      </w:pPr>
    </w:p>
    <w:p>
      <w:pPr>
        <w:jc w:val="center"/>
        <w:rPr>
          <w:rFonts w:ascii="Times New Roman" w:hAnsi="Times New Roman" w:eastAsia="宋体"/>
          <w:color w:val="auto"/>
          <w:szCs w:val="21"/>
        </w:rPr>
      </w:pPr>
    </w:p>
    <w:p>
      <w:pPr>
        <w:jc w:val="center"/>
        <w:rPr>
          <w:rFonts w:ascii="Times New Roman" w:hAnsi="Times New Roman" w:eastAsia="宋体"/>
          <w:color w:val="auto"/>
          <w:szCs w:val="21"/>
        </w:rPr>
      </w:pPr>
    </w:p>
    <w:p>
      <w:pPr>
        <w:jc w:val="center"/>
        <w:rPr>
          <w:rFonts w:ascii="Times New Roman" w:hAnsi="Times New Roman" w:eastAsia="宋体"/>
          <w:color w:val="auto"/>
          <w:szCs w:val="21"/>
        </w:rPr>
      </w:pPr>
    </w:p>
    <w:p>
      <w:pPr>
        <w:jc w:val="center"/>
        <w:rPr>
          <w:rFonts w:ascii="Times New Roman" w:hAnsi="Times New Roman" w:eastAsia="宋体"/>
          <w:color w:val="auto"/>
          <w:szCs w:val="21"/>
        </w:rPr>
      </w:pPr>
    </w:p>
    <w:p>
      <w:pPr>
        <w:jc w:val="center"/>
        <w:rPr>
          <w:rFonts w:ascii="Times New Roman" w:hAnsi="Times New Roman" w:eastAsia="宋体"/>
          <w:color w:val="auto"/>
          <w:szCs w:val="21"/>
        </w:rPr>
      </w:pPr>
    </w:p>
    <w:p>
      <w:pPr>
        <w:jc w:val="center"/>
        <w:rPr>
          <w:rFonts w:ascii="Times New Roman" w:hAnsi="Times New Roman" w:eastAsia="宋体"/>
          <w:color w:val="auto"/>
          <w:szCs w:val="21"/>
        </w:rPr>
      </w:pPr>
    </w:p>
    <w:p>
      <w:pPr>
        <w:jc w:val="center"/>
        <w:rPr>
          <w:rFonts w:ascii="Times New Roman" w:hAnsi="Times New Roman" w:eastAsia="宋体"/>
          <w:color w:val="auto"/>
          <w:szCs w:val="21"/>
        </w:rPr>
      </w:pPr>
    </w:p>
    <w:p>
      <w:pPr>
        <w:jc w:val="center"/>
        <w:rPr>
          <w:rFonts w:ascii="Times New Roman" w:hAnsi="Times New Roman" w:eastAsia="宋体"/>
          <w:color w:val="auto"/>
          <w:szCs w:val="21"/>
        </w:rPr>
      </w:pPr>
    </w:p>
    <w:p>
      <w:pPr>
        <w:jc w:val="center"/>
        <w:rPr>
          <w:rFonts w:ascii="Times New Roman" w:hAnsi="Times New Roman" w:eastAsia="宋体"/>
          <w:color w:val="auto"/>
          <w:szCs w:val="21"/>
        </w:rPr>
      </w:pPr>
    </w:p>
    <w:p>
      <w:pPr>
        <w:jc w:val="center"/>
        <w:rPr>
          <w:rFonts w:ascii="Times New Roman" w:hAnsi="Times New Roman" w:eastAsia="宋体"/>
          <w:color w:val="auto"/>
          <w:szCs w:val="21"/>
        </w:rPr>
      </w:pPr>
    </w:p>
    <w:p>
      <w:pPr>
        <w:jc w:val="center"/>
        <w:rPr>
          <w:rFonts w:ascii="Times New Roman" w:hAnsi="Times New Roman" w:eastAsia="宋体"/>
          <w:color w:val="auto"/>
          <w:szCs w:val="21"/>
        </w:rPr>
      </w:pPr>
    </w:p>
    <w:p>
      <w:pPr>
        <w:jc w:val="center"/>
        <w:rPr>
          <w:rFonts w:ascii="Times New Roman" w:hAnsi="Times New Roman" w:eastAsia="宋体"/>
          <w:color w:val="auto"/>
          <w:szCs w:val="21"/>
        </w:rPr>
      </w:pPr>
    </w:p>
    <w:p>
      <w:pPr>
        <w:jc w:val="center"/>
        <w:rPr>
          <w:rFonts w:ascii="Times New Roman" w:hAnsi="Times New Roman" w:eastAsia="宋体"/>
          <w:color w:val="auto"/>
          <w:szCs w:val="21"/>
        </w:rPr>
      </w:pPr>
    </w:p>
    <w:p>
      <w:pPr>
        <w:jc w:val="center"/>
        <w:rPr>
          <w:rFonts w:ascii="Times New Roman" w:hAnsi="Times New Roman" w:eastAsia="宋体"/>
          <w:color w:val="auto"/>
          <w:szCs w:val="21"/>
        </w:rPr>
      </w:pPr>
    </w:p>
    <w:p>
      <w:pPr>
        <w:jc w:val="center"/>
        <w:rPr>
          <w:rFonts w:ascii="Times New Roman" w:hAnsi="Times New Roman" w:eastAsia="宋体"/>
          <w:color w:val="auto"/>
          <w:szCs w:val="21"/>
        </w:rPr>
      </w:pPr>
    </w:p>
    <w:p>
      <w:pPr>
        <w:jc w:val="center"/>
        <w:rPr>
          <w:rFonts w:ascii="Times New Roman" w:hAnsi="Times New Roman" w:eastAsia="宋体"/>
          <w:color w:val="auto"/>
          <w:szCs w:val="21"/>
        </w:rPr>
      </w:pPr>
    </w:p>
    <w:p>
      <w:pPr>
        <w:jc w:val="center"/>
        <w:rPr>
          <w:rFonts w:ascii="Times New Roman" w:hAnsi="Times New Roman" w:eastAsia="宋体"/>
          <w:color w:val="auto"/>
          <w:szCs w:val="21"/>
        </w:rPr>
      </w:pPr>
    </w:p>
    <w:p>
      <w:pPr>
        <w:jc w:val="center"/>
        <w:rPr>
          <w:rFonts w:ascii="Times New Roman" w:hAnsi="Times New Roman" w:eastAsia="宋体"/>
          <w:color w:val="auto"/>
          <w:szCs w:val="21"/>
        </w:rPr>
      </w:pPr>
    </w:p>
    <w:p>
      <w:pPr>
        <w:jc w:val="center"/>
        <w:rPr>
          <w:rFonts w:ascii="Times New Roman" w:hAnsi="Times New Roman" w:eastAsia="宋体"/>
          <w:color w:val="auto"/>
          <w:szCs w:val="21"/>
        </w:rPr>
      </w:pPr>
    </w:p>
    <w:p>
      <w:pPr>
        <w:jc w:val="center"/>
        <w:rPr>
          <w:rFonts w:ascii="Times New Roman" w:hAnsi="Times New Roman" w:eastAsia="宋体"/>
          <w:color w:val="auto"/>
          <w:szCs w:val="21"/>
        </w:rPr>
      </w:pPr>
    </w:p>
    <w:p>
      <w:pPr>
        <w:jc w:val="both"/>
        <w:rPr>
          <w:rFonts w:ascii="Times New Roman" w:hAnsi="Times New Roman" w:eastAsia="宋体"/>
          <w:color w:val="auto"/>
          <w:szCs w:val="21"/>
        </w:rPr>
      </w:pPr>
    </w:p>
    <w:p>
      <w:pPr>
        <w:jc w:val="center"/>
        <w:rPr>
          <w:color w:val="auto"/>
        </w:rPr>
      </w:pPr>
      <w:r>
        <w:rPr>
          <w:color w:val="auto"/>
        </w:rPr>
        <w:object>
          <v:shape id="_x0000_i1026" o:spt="75" type="#_x0000_t75" style="height:185.4pt;width:266.0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Origin50.Graph" ShapeID="_x0000_i1026" DrawAspect="Content" ObjectID="_1468075726" r:id="rId6">
            <o:LockedField>false</o:LockedField>
          </o:OLEObject>
        </w:object>
      </w:r>
    </w:p>
    <w:p>
      <w:pPr>
        <w:jc w:val="center"/>
        <w:rPr>
          <w:rFonts w:hint="default" w:ascii="Times New Roman" w:hAnsi="Times New Roman" w:eastAsia="宋体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lang w:val="en-US" w:eastAsia="zh-CN"/>
        </w:rPr>
        <w:t>F</w:t>
      </w: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>IG.</w:t>
      </w:r>
      <w:r>
        <w:rPr>
          <w:rFonts w:hint="default" w:ascii="Times New Roman" w:hAnsi="Times New Roman" w:cs="Times New Roman"/>
          <w:b/>
          <w:bCs/>
          <w:color w:val="auto"/>
          <w:lang w:val="en-US" w:eastAsia="zh-CN"/>
        </w:rPr>
        <w:t xml:space="preserve"> S2</w:t>
      </w: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 xml:space="preserve">: 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High resolution XPS spectra of Co 2p.</w:t>
      </w:r>
    </w:p>
    <w:p>
      <w:pPr>
        <w:jc w:val="center"/>
        <w:rPr>
          <w:rFonts w:ascii="Times New Roman" w:hAnsi="Times New Roman" w:eastAsia="宋体"/>
          <w:color w:val="auto"/>
          <w:szCs w:val="21"/>
        </w:rPr>
      </w:pPr>
    </w:p>
    <w:p>
      <w:pPr>
        <w:jc w:val="center"/>
        <w:rPr>
          <w:rFonts w:ascii="Times New Roman" w:hAnsi="Times New Roman" w:eastAsia="宋体"/>
          <w:color w:val="auto"/>
          <w:szCs w:val="21"/>
        </w:rPr>
      </w:pPr>
    </w:p>
    <w:p>
      <w:pPr>
        <w:jc w:val="center"/>
        <w:rPr>
          <w:rFonts w:ascii="Times New Roman" w:hAnsi="Times New Roman" w:eastAsia="宋体"/>
          <w:color w:val="auto"/>
          <w:szCs w:val="21"/>
        </w:rPr>
      </w:pPr>
    </w:p>
    <w:p>
      <w:pPr>
        <w:jc w:val="center"/>
        <w:rPr>
          <w:rFonts w:ascii="Times New Roman" w:hAnsi="Times New Roman" w:eastAsia="宋体"/>
          <w:color w:val="auto"/>
          <w:szCs w:val="21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  <w:r>
        <w:rPr>
          <w:color w:val="auto"/>
        </w:rPr>
        <w:object>
          <v:shape id="_x0000_i1027" o:spt="75" type="#_x0000_t75" style="height:175.25pt;width:255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Origin50.Graph" ShapeID="_x0000_i1027" DrawAspect="Content" ObjectID="_1468075727" r:id="rId8">
            <o:LockedField>false</o:LockedField>
          </o:OLEObject>
        </w:object>
      </w:r>
    </w:p>
    <w:p>
      <w:pPr>
        <w:jc w:val="center"/>
        <w:rPr>
          <w:rFonts w:hint="default" w:ascii="Times New Roman" w:hAnsi="Times New Roman" w:eastAsia="宋体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lang w:val="en-US" w:eastAsia="zh-CN"/>
        </w:rPr>
        <w:t>F</w:t>
      </w: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>IG.</w:t>
      </w:r>
      <w:r>
        <w:rPr>
          <w:rFonts w:hint="default" w:ascii="Times New Roman" w:hAnsi="Times New Roman" w:cs="Times New Roman"/>
          <w:b/>
          <w:bCs/>
          <w:color w:val="auto"/>
          <w:lang w:val="en-US" w:eastAsia="zh-CN"/>
        </w:rPr>
        <w:t xml:space="preserve"> S</w:t>
      </w: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 xml:space="preserve">3: 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High resolution XPS spectra of Cu 2p.</w:t>
      </w: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contextualSpacing/>
        <w:jc w:val="center"/>
        <w:rPr>
          <w:rFonts w:hint="eastAsia" w:ascii="Times New Roman" w:hAnsi="Times New Roman"/>
          <w:b/>
          <w:bCs/>
          <w:color w:val="auto"/>
          <w:kern w:val="0"/>
          <w:szCs w:val="21"/>
        </w:rPr>
      </w:pPr>
      <w:bookmarkStart w:id="0" w:name="OLE_LINK1"/>
    </w:p>
    <w:bookmarkEnd w:id="0"/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color w:val="auto"/>
        </w:rPr>
      </w:pPr>
      <w:r>
        <w:rPr>
          <w:color w:val="auto"/>
        </w:rPr>
        <w:object>
          <v:shape id="_x0000_i1028" o:spt="75" type="#_x0000_t75" style="height:185.8pt;width:255.9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f"/>
            <w10:wrap type="none"/>
            <w10:anchorlock/>
          </v:shape>
          <o:OLEObject Type="Embed" ProgID="Origin50.Graph" ShapeID="_x0000_i1028" DrawAspect="Content" ObjectID="_1468075728" r:id="rId10">
            <o:LockedField>false</o:LockedField>
          </o:OLEObject>
        </w:object>
      </w:r>
    </w:p>
    <w:p>
      <w:pPr>
        <w:jc w:val="center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ascii="Times New Roman" w:hAnsi="Times New Roman" w:eastAsia="宋体"/>
          <w:b/>
          <w:bCs/>
          <w:color w:val="auto"/>
          <w:szCs w:val="21"/>
        </w:rPr>
        <w:t>Fi</w:t>
      </w:r>
      <w:r>
        <w:rPr>
          <w:rFonts w:hint="eastAsia" w:ascii="Times New Roman" w:hAnsi="Times New Roman"/>
          <w:b/>
          <w:bCs/>
          <w:color w:val="auto"/>
          <w:szCs w:val="21"/>
          <w:lang w:val="en-US" w:eastAsia="zh-CN"/>
        </w:rPr>
        <w:t xml:space="preserve">G. </w:t>
      </w:r>
      <w:r>
        <w:rPr>
          <w:rFonts w:hint="eastAsia" w:ascii="Times New Roman" w:hAnsi="Times New Roman" w:eastAsia="宋体"/>
          <w:b/>
          <w:bCs/>
          <w:color w:val="auto"/>
          <w:szCs w:val="21"/>
          <w:lang w:val="en-US" w:eastAsia="zh-CN"/>
        </w:rPr>
        <w:t>S</w:t>
      </w:r>
      <w:r>
        <w:rPr>
          <w:rFonts w:hint="eastAsia" w:ascii="Times New Roman" w:hAnsi="Times New Roman"/>
          <w:b/>
          <w:bCs/>
          <w:color w:val="auto"/>
          <w:szCs w:val="21"/>
          <w:lang w:val="en-US" w:eastAsia="zh-CN"/>
        </w:rPr>
        <w:t>4</w:t>
      </w:r>
      <w:r>
        <w:rPr>
          <w:rFonts w:hint="eastAsia" w:ascii="Times New Roman" w:hAnsi="Times New Roman" w:eastAsia="宋体"/>
          <w:b/>
          <w:bCs/>
          <w:color w:val="auto"/>
          <w:szCs w:val="21"/>
          <w:lang w:val="en-US" w:eastAsia="zh-CN"/>
        </w:rPr>
        <w:t>:</w:t>
      </w:r>
      <w:r>
        <w:rPr>
          <w:rFonts w:hint="eastAsia" w:ascii="Times New Roman" w:hAnsi="Times New Roman"/>
          <w:b/>
          <w:bCs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lang w:val="en-US" w:eastAsia="zh-CN"/>
        </w:rPr>
        <w:t>N</w:t>
      </w:r>
      <w:r>
        <w:rPr>
          <w:rFonts w:hint="default" w:ascii="Times New Roman" w:hAnsi="Times New Roman" w:cs="Times New Roman"/>
          <w:color w:val="auto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adsorption-desorption isotherms</w:t>
      </w:r>
    </w:p>
    <w:p>
      <w:pPr>
        <w:jc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contextualSpacing/>
        <w:jc w:val="center"/>
        <w:rPr>
          <w:rFonts w:ascii="Times New Roman" w:hAnsi="Times New Roman"/>
          <w:color w:val="auto"/>
          <w:kern w:val="0"/>
          <w:szCs w:val="21"/>
        </w:rPr>
      </w:pPr>
      <w:r>
        <w:rPr>
          <w:rFonts w:hint="eastAsia" w:ascii="Times New Roman" w:hAnsi="Times New Roman"/>
          <w:b/>
          <w:bCs/>
          <w:color w:val="auto"/>
          <w:kern w:val="0"/>
          <w:szCs w:val="21"/>
        </w:rPr>
        <w:t>T</w:t>
      </w:r>
      <w:r>
        <w:rPr>
          <w:rFonts w:hint="eastAsia" w:ascii="Times New Roman" w:hAnsi="Times New Roman"/>
          <w:b/>
          <w:bCs/>
          <w:color w:val="auto"/>
          <w:kern w:val="0"/>
          <w:szCs w:val="21"/>
          <w:lang w:val="en-US" w:eastAsia="zh-CN"/>
        </w:rPr>
        <w:t>ABLE S</w:t>
      </w:r>
      <w:r>
        <w:rPr>
          <w:rFonts w:hint="default" w:ascii="Times New Roman" w:hAnsi="Times New Roman" w:cs="Times New Roman"/>
          <w:b/>
          <w:bCs/>
          <w:color w:val="auto"/>
          <w:kern w:val="0"/>
          <w:szCs w:val="21"/>
          <w:lang w:val="en-US" w:eastAsia="zh-CN"/>
        </w:rPr>
        <w:t>Ⅰ</w:t>
      </w:r>
      <w:r>
        <w:rPr>
          <w:rFonts w:hint="eastAsia" w:ascii="Times New Roman" w:hAnsi="Times New Roman" w:cs="Times New Roman"/>
          <w:b/>
          <w:bCs/>
          <w:color w:val="auto"/>
          <w:kern w:val="0"/>
          <w:szCs w:val="21"/>
          <w:lang w:val="en-US" w:eastAsia="zh-CN"/>
        </w:rPr>
        <w:t>:</w:t>
      </w:r>
      <w:r>
        <w:rPr>
          <w:rFonts w:hint="eastAsia" w:ascii="Times New Roman" w:hAnsi="Times New Roman"/>
          <w:b/>
          <w:bCs/>
          <w:color w:val="auto"/>
          <w:kern w:val="0"/>
          <w:szCs w:val="21"/>
        </w:rPr>
        <w:t xml:space="preserve"> </w:t>
      </w:r>
      <w:r>
        <w:rPr>
          <w:rFonts w:ascii="Times New Roman" w:hAnsi="Times New Roman"/>
          <w:color w:val="auto"/>
          <w:kern w:val="0"/>
          <w:szCs w:val="21"/>
        </w:rPr>
        <w:t>The weight percentages of atoms in</w:t>
      </w:r>
      <w:r>
        <w:rPr>
          <w:rFonts w:ascii="Tahoma" w:hAnsi="Tahoma"/>
          <w:color w:val="auto"/>
          <w:kern w:val="0"/>
          <w:szCs w:val="21"/>
        </w:rPr>
        <w:t xml:space="preserve"> </w:t>
      </w:r>
      <w:r>
        <w:rPr>
          <w:rFonts w:ascii="Times New Roman" w:hAnsi="Times New Roman"/>
          <w:color w:val="auto"/>
          <w:kern w:val="0"/>
          <w:szCs w:val="21"/>
        </w:rPr>
        <w:t>ZIF-67</w:t>
      </w:r>
      <w:r>
        <w:rPr>
          <w:rFonts w:hint="eastAsia" w:ascii="Times New Roman" w:hAnsi="Times New Roman"/>
          <w:color w:val="auto"/>
          <w:kern w:val="0"/>
          <w:szCs w:val="21"/>
        </w:rPr>
        <w:t>/</w:t>
      </w:r>
      <w:r>
        <w:rPr>
          <w:rFonts w:ascii="Times New Roman" w:hAnsi="Times New Roman"/>
          <w:color w:val="auto"/>
          <w:kern w:val="0"/>
          <w:szCs w:val="21"/>
        </w:rPr>
        <w:t xml:space="preserve"> CuBi-CO</w:t>
      </w:r>
      <w:r>
        <w:rPr>
          <w:rFonts w:ascii="Times New Roman" w:hAnsi="Times New Roman"/>
          <w:color w:val="auto"/>
          <w:kern w:val="0"/>
          <w:szCs w:val="21"/>
          <w:vertAlign w:val="subscript"/>
        </w:rPr>
        <w:t>3</w:t>
      </w:r>
      <w:r>
        <w:rPr>
          <w:rFonts w:ascii="Times New Roman" w:hAnsi="Times New Roman"/>
          <w:color w:val="auto"/>
          <w:kern w:val="0"/>
          <w:szCs w:val="21"/>
        </w:rPr>
        <w:t>-LDH.</w:t>
      </w: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</w:p>
    <w:tbl>
      <w:tblPr>
        <w:tblStyle w:val="2"/>
        <w:tblpPr w:leftFromText="180" w:rightFromText="180" w:vertAnchor="page" w:horzAnchor="page" w:tblpX="2407" w:tblpY="2431"/>
        <w:tblW w:w="73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369"/>
        <w:gridCol w:w="1418"/>
        <w:gridCol w:w="1422"/>
        <w:gridCol w:w="1391"/>
        <w:gridCol w:w="6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Element</w:t>
            </w:r>
          </w:p>
        </w:tc>
        <w:tc>
          <w:tcPr>
            <w:tcW w:w="136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Cu</w:t>
            </w:r>
          </w:p>
        </w:tc>
        <w:tc>
          <w:tcPr>
            <w:tcW w:w="141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Bi</w:t>
            </w:r>
          </w:p>
        </w:tc>
        <w:tc>
          <w:tcPr>
            <w:tcW w:w="142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Co</w:t>
            </w:r>
          </w:p>
        </w:tc>
        <w:tc>
          <w:tcPr>
            <w:tcW w:w="139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N</w:t>
            </w:r>
          </w:p>
        </w:tc>
        <w:tc>
          <w:tcPr>
            <w:tcW w:w="63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Weight%</w:t>
            </w:r>
          </w:p>
        </w:tc>
        <w:tc>
          <w:tcPr>
            <w:tcW w:w="136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20.4</w:t>
            </w:r>
          </w:p>
        </w:tc>
        <w:tc>
          <w:tcPr>
            <w:tcW w:w="141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36.9</w:t>
            </w:r>
          </w:p>
        </w:tc>
        <w:tc>
          <w:tcPr>
            <w:tcW w:w="142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1.6</w:t>
            </w:r>
          </w:p>
        </w:tc>
        <w:tc>
          <w:tcPr>
            <w:tcW w:w="139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16.8</w:t>
            </w:r>
          </w:p>
        </w:tc>
        <w:tc>
          <w:tcPr>
            <w:tcW w:w="63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24.3</w:t>
            </w:r>
          </w:p>
        </w:tc>
      </w:tr>
    </w:tbl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contextualSpacing/>
        <w:jc w:val="center"/>
        <w:rPr>
          <w:rFonts w:hint="eastAsia" w:ascii="Times New Roman" w:hAnsi="Times New Roman"/>
          <w:b/>
          <w:bCs/>
          <w:color w:val="auto"/>
          <w:kern w:val="0"/>
          <w:szCs w:val="21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contextualSpacing/>
        <w:jc w:val="center"/>
        <w:rPr>
          <w:rFonts w:hint="eastAsia" w:ascii="Times New Roman" w:hAnsi="Times New Roman"/>
          <w:b/>
          <w:bCs/>
          <w:color w:val="auto"/>
          <w:kern w:val="0"/>
          <w:szCs w:val="21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contextualSpacing/>
        <w:jc w:val="center"/>
        <w:rPr>
          <w:rFonts w:hint="eastAsia" w:ascii="Times New Roman" w:hAnsi="Times New Roman"/>
          <w:b/>
          <w:bCs/>
          <w:color w:val="auto"/>
          <w:kern w:val="0"/>
          <w:szCs w:val="21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contextualSpacing/>
        <w:jc w:val="center"/>
        <w:rPr>
          <w:rFonts w:hint="eastAsia" w:ascii="Times New Roman" w:hAnsi="Times New Roman"/>
          <w:b/>
          <w:bCs/>
          <w:color w:val="auto"/>
          <w:kern w:val="0"/>
          <w:szCs w:val="21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contextualSpacing/>
        <w:jc w:val="center"/>
        <w:rPr>
          <w:rFonts w:hint="eastAsia" w:ascii="Times New Roman" w:hAnsi="Times New Roman"/>
          <w:b/>
          <w:bCs/>
          <w:color w:val="auto"/>
          <w:kern w:val="0"/>
          <w:szCs w:val="21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contextualSpacing/>
        <w:jc w:val="center"/>
        <w:rPr>
          <w:rFonts w:hint="eastAsia" w:ascii="Times New Roman" w:hAnsi="Times New Roman"/>
          <w:b/>
          <w:bCs/>
          <w:color w:val="auto"/>
          <w:kern w:val="0"/>
          <w:szCs w:val="21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contextualSpacing/>
        <w:jc w:val="center"/>
        <w:rPr>
          <w:rFonts w:hint="eastAsia" w:ascii="Times New Roman" w:hAnsi="Times New Roman"/>
          <w:b/>
          <w:bCs/>
          <w:color w:val="auto"/>
          <w:kern w:val="0"/>
          <w:szCs w:val="21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contextualSpacing/>
        <w:jc w:val="center"/>
        <w:rPr>
          <w:rFonts w:hint="eastAsia" w:ascii="Times New Roman" w:hAnsi="Times New Roman"/>
          <w:b/>
          <w:bCs/>
          <w:color w:val="auto"/>
          <w:kern w:val="0"/>
          <w:szCs w:val="21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contextualSpacing/>
        <w:jc w:val="center"/>
        <w:rPr>
          <w:rFonts w:ascii="Times New Roman" w:hAnsi="Times New Roman"/>
          <w:color w:val="auto"/>
          <w:kern w:val="0"/>
          <w:szCs w:val="21"/>
        </w:rPr>
      </w:pPr>
      <w:r>
        <w:rPr>
          <w:rFonts w:hint="eastAsia" w:ascii="Times New Roman" w:hAnsi="Times New Roman"/>
          <w:b/>
          <w:bCs/>
          <w:color w:val="auto"/>
          <w:kern w:val="0"/>
          <w:szCs w:val="21"/>
        </w:rPr>
        <w:t>T</w:t>
      </w:r>
      <w:r>
        <w:rPr>
          <w:rFonts w:hint="eastAsia" w:ascii="Times New Roman" w:hAnsi="Times New Roman"/>
          <w:b/>
          <w:bCs/>
          <w:color w:val="auto"/>
          <w:kern w:val="0"/>
          <w:szCs w:val="21"/>
          <w:lang w:val="en-US" w:eastAsia="zh-CN"/>
        </w:rPr>
        <w:t>ABLE S</w:t>
      </w:r>
      <w:bookmarkStart w:id="1" w:name="OLE_LINK2"/>
      <w:r>
        <w:rPr>
          <w:rFonts w:hint="default" w:ascii="Times New Roman" w:hAnsi="Times New Roman" w:cs="Times New Roman"/>
          <w:b/>
          <w:bCs/>
          <w:color w:val="auto"/>
          <w:kern w:val="0"/>
          <w:szCs w:val="21"/>
          <w:lang w:eastAsia="zh-CN"/>
        </w:rPr>
        <w:t>Ⅱ</w:t>
      </w:r>
      <w:bookmarkEnd w:id="1"/>
      <w:r>
        <w:rPr>
          <w:rFonts w:hint="eastAsia" w:ascii="Times New Roman" w:hAnsi="Times New Roman" w:cs="Times New Roman"/>
          <w:b/>
          <w:bCs/>
          <w:color w:val="auto"/>
          <w:kern w:val="0"/>
          <w:szCs w:val="21"/>
          <w:lang w:val="en-US" w:eastAsia="zh-CN"/>
        </w:rPr>
        <w:t>:</w:t>
      </w:r>
      <w:r>
        <w:rPr>
          <w:rFonts w:hint="eastAsia" w:ascii="Times New Roman" w:hAnsi="Times New Roman"/>
          <w:b/>
          <w:bCs/>
          <w:color w:val="auto"/>
          <w:kern w:val="0"/>
          <w:szCs w:val="21"/>
        </w:rPr>
        <w:t xml:space="preserve"> </w:t>
      </w:r>
      <w:r>
        <w:rPr>
          <w:rFonts w:hint="eastAsia" w:ascii="Times New Roman" w:hAnsi="Times New Roman"/>
          <w:color w:val="auto"/>
          <w:szCs w:val="21"/>
          <w:lang w:val="en-US" w:eastAsia="zh-CN"/>
        </w:rPr>
        <w:t>Iodine adsorption capacity of various absorbents in this work and references</w:t>
      </w:r>
      <w:r>
        <w:rPr>
          <w:rFonts w:ascii="Times New Roman" w:hAnsi="Times New Roman"/>
          <w:color w:val="auto"/>
          <w:kern w:val="0"/>
          <w:szCs w:val="21"/>
        </w:rPr>
        <w:t>.</w:t>
      </w:r>
    </w:p>
    <w:tbl>
      <w:tblPr>
        <w:tblStyle w:val="2"/>
        <w:tblpPr w:leftFromText="180" w:rightFromText="180" w:vertAnchor="text" w:horzAnchor="page" w:tblpX="2171" w:tblpY="360"/>
        <w:tblOverlap w:val="never"/>
        <w:tblW w:w="8168" w:type="dxa"/>
        <w:tblInd w:w="0" w:type="dxa"/>
        <w:tblBorders>
          <w:top w:val="single" w:color="auto" w:sz="4" w:space="0"/>
          <w:left w:val="none" w:color="auto" w:sz="4" w:space="0"/>
          <w:bottom w:val="singl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3"/>
        <w:gridCol w:w="2754"/>
        <w:gridCol w:w="1991"/>
      </w:tblGrid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3423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Adsorbent</w:t>
            </w:r>
          </w:p>
        </w:tc>
        <w:tc>
          <w:tcPr>
            <w:tcW w:w="2754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Adsorption capacity(mg g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91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References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2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MgAl-NO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-LDH</w:t>
            </w:r>
          </w:p>
        </w:tc>
        <w:tc>
          <w:tcPr>
            <w:tcW w:w="275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10.1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[1]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Modified silica magnetite nanoparticles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[2]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HOF-21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172.9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[3]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n-CF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28.1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[4]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HCP-V2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97.1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[5]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BN foam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151.6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[6]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Al-O-F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49.0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[7]</w:t>
            </w:r>
          </w:p>
        </w:tc>
      </w:tr>
      <w:tr>
        <w:tblPrEx>
          <w:tblBorders>
            <w:top w:val="singl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ZIF-67/CuBi-CO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-LDH</w:t>
            </w:r>
          </w:p>
        </w:tc>
        <w:tc>
          <w:tcPr>
            <w:tcW w:w="27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180.2</w:t>
            </w:r>
          </w:p>
        </w:tc>
        <w:tc>
          <w:tcPr>
            <w:tcW w:w="19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this work</w:t>
            </w:r>
          </w:p>
        </w:tc>
      </w:tr>
    </w:tbl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contextualSpacing/>
        <w:jc w:val="center"/>
        <w:rPr>
          <w:rFonts w:ascii="Times New Roman" w:hAnsi="Times New Roman"/>
          <w:color w:val="auto"/>
          <w:kern w:val="0"/>
          <w:szCs w:val="21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drawing>
          <wp:inline distT="0" distB="0" distL="114300" distR="114300">
            <wp:extent cx="2943860" cy="1377315"/>
            <wp:effectExtent l="0" t="0" r="8890" b="13335"/>
            <wp:docPr id="1" name="图片 2" descr="图片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图片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4386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color w:val="auto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color w:val="auto"/>
          <w:szCs w:val="21"/>
        </w:rPr>
        <w:t>F</w:t>
      </w:r>
      <w:r>
        <w:rPr>
          <w:rFonts w:hint="eastAsia" w:ascii="Times New Roman" w:hAnsi="Times New Roman"/>
          <w:b/>
          <w:bCs/>
          <w:color w:val="auto"/>
          <w:szCs w:val="21"/>
          <w:lang w:val="en-US" w:eastAsia="zh-CN"/>
        </w:rPr>
        <w:t xml:space="preserve">IG. </w:t>
      </w:r>
      <w:r>
        <w:rPr>
          <w:rFonts w:hint="eastAsia" w:ascii="Times New Roman" w:hAnsi="Times New Roman" w:eastAsia="宋体"/>
          <w:b/>
          <w:bCs/>
          <w:color w:val="auto"/>
          <w:szCs w:val="21"/>
          <w:lang w:val="en-US" w:eastAsia="zh-CN"/>
        </w:rPr>
        <w:t>S</w:t>
      </w:r>
      <w:r>
        <w:rPr>
          <w:rFonts w:hint="eastAsia" w:ascii="Times New Roman" w:hAnsi="Times New Roman"/>
          <w:b/>
          <w:bCs/>
          <w:color w:val="auto"/>
          <w:szCs w:val="21"/>
          <w:lang w:val="en-US" w:eastAsia="zh-CN"/>
        </w:rPr>
        <w:t>5</w:t>
      </w:r>
      <w:r>
        <w:rPr>
          <w:rFonts w:hint="eastAsia" w:ascii="Times New Roman" w:hAnsi="Times New Roman" w:eastAsia="宋体"/>
          <w:b/>
          <w:bCs/>
          <w:color w:val="auto"/>
          <w:szCs w:val="21"/>
          <w:lang w:val="en-US" w:eastAsia="zh-CN"/>
        </w:rPr>
        <w:t>:</w:t>
      </w:r>
      <w:r>
        <w:rPr>
          <w:rFonts w:hint="eastAsia" w:ascii="Times New Roman" w:hAnsi="Times New Roman"/>
          <w:b/>
          <w:bCs/>
          <w:color w:val="auto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Photograph of the ZIF-67/ CuBi-CO</w:t>
      </w:r>
      <w:r>
        <w:rPr>
          <w:rFonts w:hint="default" w:ascii="Times New Roman" w:hAnsi="Times New Roman" w:cs="Times New Roman"/>
          <w:color w:val="auto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-LDH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 xml:space="preserve"> in the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 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 xml:space="preserve">strong 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alkali and acid solution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.</w:t>
      </w:r>
    </w:p>
    <w:p>
      <w:pPr>
        <w:jc w:val="both"/>
        <w:rPr>
          <w:rFonts w:hint="default"/>
          <w:color w:val="auto"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Reference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lang w:val="en-US" w:eastAsia="zh-CN"/>
        </w:rPr>
        <w:t>L. Kentjono, J. Liu, W. Chang, C. Irawan</w:t>
      </w: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>: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Removal of boron and iodine from optoelectronic wastewater using Mg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lang w:val="en-US" w:eastAsia="zh-CN"/>
        </w:rPr>
        <w:t>Al(NO</w:t>
      </w:r>
      <w:r>
        <w:rPr>
          <w:rFonts w:hint="default" w:ascii="Times New Roman" w:hAnsi="Times New Roman" w:cs="Times New Roman"/>
          <w:color w:val="auto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lang w:val="en-US" w:eastAsia="zh-CN"/>
        </w:rPr>
        <w:t>) layered double hydroxide, Desalination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,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262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color w:val="auto"/>
          <w:lang w:val="en-US" w:eastAsia="zh-CN"/>
        </w:rPr>
        <w:t>280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(2010).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T. Madrakian, A. Afkhami, M.A. Zolfigol, M. Ahmadi, N. Koukabi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: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Application of  modified silica coated magnetite nanoparticles for removal of iodine from water samples, Nano-Micro Lett. 4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57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(2012).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>Y.B. Xie, F.Y. Zhong, H.X. Chen, D.N.Chen, J.W. Wang, J.K. Gao, J.M. Yao: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Fabrication of hydrogen-bonded metal-complex frameworks for capturing iodine,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J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 Solid State Chem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 277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525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(2019).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B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.Z.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 xml:space="preserve"> Zheng, X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.X.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 xml:space="preserve"> Liu, J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 xml:space="preserve"> Hua, F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.Y.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 xml:space="preserve"> Wang, X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 xml:space="preserve"> Hua, Y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 xml:space="preserve"> Zhua, X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 xml:space="preserve"> Lv, J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 xml:space="preserve"> Du, D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 xml:space="preserve"> Xiao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: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Construction of hydrophobic interface on natural biomaterials for higher efficient and reversible radioactive iodine adsorption in water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, J.Hazard. Mater. 368, 81(2019).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X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.M.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 xml:space="preserve"> Li, G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 xml:space="preserve"> Chen, Q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 xml:space="preserve"> Jia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: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One-pot synthesis of viologen-based hypercrosslinked polymers for efficient volatile iodine capture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, Micropor. Mesopor. Mat. 279, 186(2019).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G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 xml:space="preserve"> Li, Y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 xml:space="preserve"> Huang, J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 xml:space="preserve"> Lin, C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 xml:space="preserve"> Yu, Z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.Y.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 xml:space="preserve"> Liu, Y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 xml:space="preserve"> Fan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g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, Y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.M.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 xml:space="preserve"> Xue, C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.C.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 xml:space="preserve"> Tang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: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Effective capture and reversible storage of iodine using foam-like adsorbents consisting of porous boron nitride microfibers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,Chem. Eng. J. 382, 122833(2020).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  <w:t>A. Miller, Y. Wang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Al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O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F materials as novel adsorbents for gaseous radioiodine capture, J. Environ. Radioactive 133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35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(2014)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.</w:t>
      </w: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E77B5"/>
    <w:multiLevelType w:val="singleLevel"/>
    <w:tmpl w:val="6A0E77B5"/>
    <w:lvl w:ilvl="0" w:tentative="0">
      <w:start w:val="1"/>
      <w:numFmt w:val="decimal"/>
      <w:suff w:val="space"/>
      <w:lvlText w:val="[%1]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54C8E"/>
    <w:rsid w:val="0C9845D2"/>
    <w:rsid w:val="11CA380A"/>
    <w:rsid w:val="185E6052"/>
    <w:rsid w:val="2138149F"/>
    <w:rsid w:val="21F068DC"/>
    <w:rsid w:val="23DC5BA5"/>
    <w:rsid w:val="24A44ECF"/>
    <w:rsid w:val="25F12E72"/>
    <w:rsid w:val="271927A0"/>
    <w:rsid w:val="276503DC"/>
    <w:rsid w:val="28000AB1"/>
    <w:rsid w:val="2BF76F33"/>
    <w:rsid w:val="2E830C96"/>
    <w:rsid w:val="34FA20F1"/>
    <w:rsid w:val="36995990"/>
    <w:rsid w:val="37257A73"/>
    <w:rsid w:val="3B050C54"/>
    <w:rsid w:val="3F7B0FA7"/>
    <w:rsid w:val="412A588F"/>
    <w:rsid w:val="426B1780"/>
    <w:rsid w:val="429E0AD5"/>
    <w:rsid w:val="464C5BDC"/>
    <w:rsid w:val="499C58E5"/>
    <w:rsid w:val="49A44C2C"/>
    <w:rsid w:val="4A096A2D"/>
    <w:rsid w:val="4E8638FF"/>
    <w:rsid w:val="51EA4599"/>
    <w:rsid w:val="5834039C"/>
    <w:rsid w:val="58CC35CC"/>
    <w:rsid w:val="5BD87636"/>
    <w:rsid w:val="5E2D6A3C"/>
    <w:rsid w:val="5F817024"/>
    <w:rsid w:val="5FCE6830"/>
    <w:rsid w:val="62331E81"/>
    <w:rsid w:val="65AE0AD8"/>
    <w:rsid w:val="677665A6"/>
    <w:rsid w:val="6D4C341D"/>
    <w:rsid w:val="6D7832A3"/>
    <w:rsid w:val="724A4843"/>
    <w:rsid w:val="774B7E62"/>
    <w:rsid w:val="77A97041"/>
    <w:rsid w:val="7A0C18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e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jenny</cp:lastModifiedBy>
  <dcterms:modified xsi:type="dcterms:W3CDTF">2019-12-29T09:08:59Z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