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E4DE86" w14:textId="77738496" w:rsidR="00A76351" w:rsidRPr="00A76351" w:rsidRDefault="00820210" w:rsidP="00FE6F3C">
      <w:pPr>
        <w:pStyle w:val="ArticleTitle"/>
        <w:spacing w:line="240" w:lineRule="auto"/>
        <w:rPr>
          <w:rFonts w:ascii="Arial" w:hAnsi="Arial" w:cs="Arial"/>
          <w:szCs w:val="32"/>
        </w:rPr>
      </w:pPr>
      <w:bookmarkStart w:id="0" w:name="_GoBack"/>
      <w:bookmarkEnd w:id="0"/>
      <w:r>
        <w:rPr>
          <w:rFonts w:ascii="Arial" w:hAnsi="Arial" w:cs="Arial"/>
        </w:rPr>
        <w:t>Supplementary Material Document for</w:t>
      </w:r>
      <w:r w:rsidR="004E5800">
        <w:rPr>
          <w:rFonts w:ascii="Arial" w:hAnsi="Arial" w:cs="Arial"/>
        </w:rPr>
        <w:t xml:space="preserve"> </w:t>
      </w:r>
      <w:r w:rsidR="00985C99">
        <w:rPr>
          <w:rFonts w:ascii="Arial" w:hAnsi="Arial" w:cs="Arial"/>
        </w:rPr>
        <w:br/>
      </w:r>
      <w:r w:rsidR="00A76351">
        <w:rPr>
          <w:rFonts w:ascii="Arial" w:hAnsi="Arial" w:cs="Arial"/>
          <w:szCs w:val="32"/>
        </w:rPr>
        <w:t xml:space="preserve">Integration of </w:t>
      </w:r>
      <w:proofErr w:type="spellStart"/>
      <w:r w:rsidR="00A76351">
        <w:rPr>
          <w:rFonts w:ascii="Arial" w:hAnsi="Arial" w:cs="Arial"/>
          <w:szCs w:val="32"/>
        </w:rPr>
        <w:t>AlN</w:t>
      </w:r>
      <w:proofErr w:type="spellEnd"/>
      <w:r w:rsidR="00A76351">
        <w:rPr>
          <w:rFonts w:ascii="Arial" w:hAnsi="Arial" w:cs="Arial"/>
          <w:szCs w:val="32"/>
        </w:rPr>
        <w:t xml:space="preserve"> Piezoelectric Thin-Films on Ultra-Low Fatigue </w:t>
      </w:r>
      <w:proofErr w:type="spellStart"/>
      <w:r w:rsidR="00A76351">
        <w:rPr>
          <w:rFonts w:ascii="Arial" w:hAnsi="Arial" w:cs="Arial"/>
          <w:szCs w:val="32"/>
        </w:rPr>
        <w:t>TiNiCu</w:t>
      </w:r>
      <w:proofErr w:type="spellEnd"/>
      <w:r w:rsidR="00A76351">
        <w:rPr>
          <w:rFonts w:ascii="Arial" w:hAnsi="Arial" w:cs="Arial"/>
          <w:szCs w:val="32"/>
        </w:rPr>
        <w:t xml:space="preserve"> Shape Memory Alloys </w:t>
      </w:r>
    </w:p>
    <w:p w14:paraId="4C4308C6" w14:textId="52D7C9E8" w:rsidR="00B2432F" w:rsidRPr="00B2432F" w:rsidRDefault="00B2432F" w:rsidP="00B2432F">
      <w:pPr>
        <w:pStyle w:val="Author"/>
        <w:rPr>
          <w:rFonts w:ascii="Arial" w:hAnsi="Arial" w:cs="Arial"/>
          <w:sz w:val="20"/>
          <w:szCs w:val="20"/>
        </w:rPr>
      </w:pPr>
      <w:bookmarkStart w:id="1" w:name="_Hlk27755987"/>
      <w:r w:rsidRPr="00B2432F">
        <w:rPr>
          <w:rFonts w:ascii="Arial" w:hAnsi="Arial" w:cs="Arial"/>
          <w:sz w:val="20"/>
          <w:szCs w:val="20"/>
        </w:rPr>
        <w:t>Sabrina M. Curtis</w:t>
      </w:r>
      <w:r w:rsidRPr="00B2432F">
        <w:rPr>
          <w:rFonts w:ascii="Arial" w:hAnsi="Arial" w:cs="Arial"/>
          <w:sz w:val="20"/>
          <w:szCs w:val="20"/>
          <w:vertAlign w:val="superscript"/>
        </w:rPr>
        <w:t>1.,2.</w:t>
      </w:r>
      <w:r w:rsidRPr="00B2432F">
        <w:rPr>
          <w:rFonts w:ascii="Arial" w:hAnsi="Arial" w:cs="Arial"/>
          <w:sz w:val="20"/>
          <w:szCs w:val="20"/>
        </w:rPr>
        <w:t xml:space="preserve">, </w:t>
      </w:r>
      <w:proofErr w:type="spellStart"/>
      <w:r w:rsidRPr="00B2432F">
        <w:rPr>
          <w:rFonts w:ascii="Arial" w:hAnsi="Arial" w:cs="Arial"/>
          <w:sz w:val="20"/>
          <w:szCs w:val="20"/>
        </w:rPr>
        <w:t>Niklas</w:t>
      </w:r>
      <w:proofErr w:type="spellEnd"/>
      <w:r w:rsidRPr="00B2432F">
        <w:rPr>
          <w:rFonts w:ascii="Arial" w:hAnsi="Arial" w:cs="Arial"/>
          <w:sz w:val="20"/>
          <w:szCs w:val="20"/>
        </w:rPr>
        <w:t xml:space="preserve"> Wolff</w:t>
      </w:r>
      <w:r w:rsidRPr="00B2432F">
        <w:rPr>
          <w:rFonts w:ascii="Arial" w:hAnsi="Arial" w:cs="Arial"/>
          <w:sz w:val="20"/>
          <w:szCs w:val="20"/>
          <w:vertAlign w:val="superscript"/>
        </w:rPr>
        <w:t>3.</w:t>
      </w:r>
      <w:r w:rsidRPr="00B2432F">
        <w:rPr>
          <w:rFonts w:ascii="Arial" w:hAnsi="Arial" w:cs="Arial"/>
          <w:sz w:val="20"/>
          <w:szCs w:val="20"/>
        </w:rPr>
        <w:t xml:space="preserve">, </w:t>
      </w:r>
      <w:proofErr w:type="spellStart"/>
      <w:r w:rsidRPr="00B2432F">
        <w:rPr>
          <w:rFonts w:ascii="Arial" w:hAnsi="Arial" w:cs="Arial"/>
          <w:sz w:val="20"/>
          <w:szCs w:val="20"/>
        </w:rPr>
        <w:t>Duygu</w:t>
      </w:r>
      <w:proofErr w:type="spellEnd"/>
      <w:r w:rsidRPr="00B2432F">
        <w:rPr>
          <w:rFonts w:ascii="Arial" w:hAnsi="Arial" w:cs="Arial"/>
          <w:sz w:val="20"/>
          <w:szCs w:val="20"/>
        </w:rPr>
        <w:t xml:space="preserve"> Dengiz</w:t>
      </w:r>
      <w:r w:rsidRPr="00B2432F">
        <w:rPr>
          <w:rFonts w:ascii="Arial" w:hAnsi="Arial" w:cs="Arial"/>
          <w:sz w:val="20"/>
          <w:szCs w:val="20"/>
          <w:vertAlign w:val="superscript"/>
        </w:rPr>
        <w:t>1.</w:t>
      </w:r>
      <w:r w:rsidRPr="00B2432F">
        <w:rPr>
          <w:rFonts w:ascii="Arial" w:hAnsi="Arial" w:cs="Arial"/>
          <w:sz w:val="20"/>
          <w:szCs w:val="20"/>
        </w:rPr>
        <w:t>, Hanna Lewitz</w:t>
      </w:r>
      <w:r w:rsidRPr="00B2432F">
        <w:rPr>
          <w:rFonts w:ascii="Arial" w:hAnsi="Arial" w:cs="Arial"/>
          <w:sz w:val="20"/>
          <w:szCs w:val="20"/>
          <w:vertAlign w:val="superscript"/>
        </w:rPr>
        <w:t>1.</w:t>
      </w:r>
      <w:r w:rsidRPr="00B2432F">
        <w:rPr>
          <w:rFonts w:ascii="Arial" w:hAnsi="Arial" w:cs="Arial"/>
          <w:sz w:val="20"/>
          <w:szCs w:val="20"/>
        </w:rPr>
        <w:t xml:space="preserve">, </w:t>
      </w:r>
      <w:r w:rsidRPr="00B2432F">
        <w:rPr>
          <w:rFonts w:ascii="Arial" w:hAnsi="Arial" w:cs="Arial"/>
          <w:sz w:val="20"/>
          <w:szCs w:val="20"/>
        </w:rPr>
        <w:br/>
        <w:t>Justin Jetter</w:t>
      </w:r>
      <w:r w:rsidRPr="00B2432F">
        <w:rPr>
          <w:rFonts w:ascii="Arial" w:hAnsi="Arial" w:cs="Arial"/>
          <w:sz w:val="20"/>
          <w:szCs w:val="20"/>
          <w:vertAlign w:val="superscript"/>
        </w:rPr>
        <w:t>1.</w:t>
      </w:r>
      <w:r w:rsidRPr="00B2432F">
        <w:rPr>
          <w:rFonts w:ascii="Arial" w:hAnsi="Arial" w:cs="Arial"/>
          <w:sz w:val="20"/>
          <w:szCs w:val="20"/>
        </w:rPr>
        <w:t>, Lars Bumke</w:t>
      </w:r>
      <w:r w:rsidRPr="00B2432F">
        <w:rPr>
          <w:rFonts w:ascii="Arial" w:hAnsi="Arial" w:cs="Arial"/>
          <w:sz w:val="20"/>
          <w:szCs w:val="20"/>
          <w:vertAlign w:val="superscript"/>
        </w:rPr>
        <w:t>1.</w:t>
      </w:r>
      <w:r w:rsidRPr="00B2432F">
        <w:rPr>
          <w:rFonts w:ascii="Arial" w:hAnsi="Arial" w:cs="Arial"/>
          <w:sz w:val="20"/>
          <w:szCs w:val="20"/>
        </w:rPr>
        <w:t>,</w:t>
      </w:r>
      <w:r w:rsidR="00841634">
        <w:rPr>
          <w:rFonts w:ascii="Arial" w:hAnsi="Arial" w:cs="Arial"/>
          <w:sz w:val="20"/>
          <w:szCs w:val="20"/>
        </w:rPr>
        <w:t xml:space="preserve"> </w:t>
      </w:r>
      <w:r w:rsidR="00841634" w:rsidRPr="00F2190F">
        <w:rPr>
          <w:rFonts w:ascii="Arial" w:eastAsia="Calibri" w:hAnsi="Arial" w:cs="Arial"/>
          <w:sz w:val="20"/>
          <w:szCs w:val="20"/>
        </w:rPr>
        <w:t>Patrick Hayes</w:t>
      </w:r>
      <w:r w:rsidR="00841634" w:rsidRPr="00F2190F">
        <w:rPr>
          <w:rFonts w:ascii="Arial" w:eastAsia="Calibri" w:hAnsi="Arial" w:cs="Arial"/>
          <w:sz w:val="20"/>
          <w:szCs w:val="20"/>
          <w:vertAlign w:val="superscript"/>
        </w:rPr>
        <w:t>1.</w:t>
      </w:r>
      <w:r w:rsidR="00841634">
        <w:rPr>
          <w:rFonts w:ascii="Arial" w:eastAsia="Calibri" w:hAnsi="Arial" w:cs="Arial"/>
          <w:sz w:val="20"/>
          <w:szCs w:val="20"/>
        </w:rPr>
        <w:t>,</w:t>
      </w:r>
      <w:r w:rsidRPr="00B2432F">
        <w:rPr>
          <w:rFonts w:ascii="Arial" w:hAnsi="Arial" w:cs="Arial"/>
          <w:sz w:val="20"/>
          <w:szCs w:val="20"/>
        </w:rPr>
        <w:t xml:space="preserve"> </w:t>
      </w:r>
      <w:proofErr w:type="spellStart"/>
      <w:r w:rsidRPr="00B2432F">
        <w:rPr>
          <w:rFonts w:ascii="Arial" w:hAnsi="Arial" w:cs="Arial"/>
          <w:sz w:val="20"/>
          <w:szCs w:val="20"/>
        </w:rPr>
        <w:t>Erdem</w:t>
      </w:r>
      <w:proofErr w:type="spellEnd"/>
      <w:r w:rsidRPr="00B2432F">
        <w:rPr>
          <w:rFonts w:ascii="Arial" w:hAnsi="Arial" w:cs="Arial"/>
          <w:sz w:val="20"/>
          <w:szCs w:val="20"/>
        </w:rPr>
        <w:t xml:space="preserve"> Yarar</w:t>
      </w:r>
      <w:r w:rsidRPr="00B2432F">
        <w:rPr>
          <w:rFonts w:ascii="Arial" w:hAnsi="Arial" w:cs="Arial"/>
          <w:sz w:val="20"/>
          <w:szCs w:val="20"/>
          <w:vertAlign w:val="superscript"/>
        </w:rPr>
        <w:t>1.</w:t>
      </w:r>
      <w:r w:rsidRPr="00B2432F">
        <w:rPr>
          <w:rFonts w:ascii="Arial" w:hAnsi="Arial" w:cs="Arial"/>
          <w:sz w:val="20"/>
          <w:szCs w:val="20"/>
        </w:rPr>
        <w:t>, Lars Thormählen</w:t>
      </w:r>
      <w:r w:rsidRPr="00B2432F">
        <w:rPr>
          <w:rFonts w:ascii="Arial" w:hAnsi="Arial" w:cs="Arial"/>
          <w:sz w:val="20"/>
          <w:szCs w:val="20"/>
          <w:vertAlign w:val="superscript"/>
        </w:rPr>
        <w:t>1.</w:t>
      </w:r>
      <w:r w:rsidRPr="00B2432F">
        <w:rPr>
          <w:rFonts w:ascii="Arial" w:hAnsi="Arial" w:cs="Arial"/>
          <w:sz w:val="20"/>
          <w:szCs w:val="20"/>
        </w:rPr>
        <w:t xml:space="preserve">, </w:t>
      </w:r>
      <w:r w:rsidRPr="00B2432F">
        <w:rPr>
          <w:rFonts w:ascii="Arial" w:hAnsi="Arial" w:cs="Arial"/>
          <w:sz w:val="20"/>
          <w:szCs w:val="20"/>
        </w:rPr>
        <w:br/>
        <w:t>Lorenz Kienle</w:t>
      </w:r>
      <w:r w:rsidRPr="00B2432F">
        <w:rPr>
          <w:rFonts w:ascii="Arial" w:hAnsi="Arial" w:cs="Arial"/>
          <w:sz w:val="20"/>
          <w:szCs w:val="20"/>
          <w:vertAlign w:val="superscript"/>
        </w:rPr>
        <w:t>3.</w:t>
      </w:r>
      <w:r w:rsidRPr="00B2432F">
        <w:rPr>
          <w:rFonts w:ascii="Arial" w:hAnsi="Arial" w:cs="Arial"/>
          <w:sz w:val="20"/>
          <w:szCs w:val="20"/>
        </w:rPr>
        <w:t>, Dirk Meyners</w:t>
      </w:r>
      <w:r w:rsidRPr="00B2432F">
        <w:rPr>
          <w:rFonts w:ascii="Arial" w:hAnsi="Arial" w:cs="Arial"/>
          <w:sz w:val="20"/>
          <w:szCs w:val="20"/>
          <w:vertAlign w:val="superscript"/>
        </w:rPr>
        <w:t>1.</w:t>
      </w:r>
      <w:r w:rsidRPr="00B2432F">
        <w:rPr>
          <w:rFonts w:ascii="Arial" w:hAnsi="Arial" w:cs="Arial"/>
          <w:sz w:val="20"/>
          <w:szCs w:val="20"/>
        </w:rPr>
        <w:t xml:space="preserve">, and </w:t>
      </w:r>
      <w:proofErr w:type="spellStart"/>
      <w:r w:rsidRPr="00B2432F">
        <w:rPr>
          <w:rFonts w:ascii="Arial" w:hAnsi="Arial" w:cs="Arial"/>
          <w:sz w:val="20"/>
          <w:szCs w:val="20"/>
        </w:rPr>
        <w:t>Eckhard</w:t>
      </w:r>
      <w:proofErr w:type="spellEnd"/>
      <w:r w:rsidRPr="00B2432F">
        <w:rPr>
          <w:rFonts w:ascii="Arial" w:hAnsi="Arial" w:cs="Arial"/>
          <w:sz w:val="20"/>
          <w:szCs w:val="20"/>
        </w:rPr>
        <w:t xml:space="preserve"> Quandt</w:t>
      </w:r>
      <w:r w:rsidRPr="00B2432F">
        <w:rPr>
          <w:rFonts w:ascii="Arial" w:hAnsi="Arial" w:cs="Arial"/>
          <w:sz w:val="20"/>
          <w:szCs w:val="20"/>
          <w:vertAlign w:val="superscript"/>
        </w:rPr>
        <w:t>1.*</w:t>
      </w:r>
    </w:p>
    <w:p w14:paraId="197FF9B3" w14:textId="77777777" w:rsidR="00F327BD" w:rsidRPr="00F327BD" w:rsidRDefault="00F327BD" w:rsidP="00F327BD">
      <w:pPr>
        <w:spacing w:before="340" w:after="400" w:line="200" w:lineRule="exact"/>
        <w:rPr>
          <w:rFonts w:ascii="Arial" w:eastAsia="Calibri" w:hAnsi="Arial" w:cs="Arial"/>
          <w:i/>
          <w:sz w:val="20"/>
          <w:szCs w:val="20"/>
          <w:lang w:val="en-IN"/>
        </w:rPr>
      </w:pPr>
      <w:bookmarkStart w:id="2" w:name="_Hlk27755932"/>
      <w:r w:rsidRPr="00F327BD">
        <w:rPr>
          <w:rFonts w:ascii="Arial" w:eastAsia="Calibri" w:hAnsi="Arial" w:cs="Arial"/>
          <w:i/>
          <w:sz w:val="20"/>
          <w:szCs w:val="20"/>
          <w:lang w:val="en-IN"/>
        </w:rPr>
        <w:t xml:space="preserve">1. Chair for Inorganic Functional Materials, Faculty of Engineering, Kiel University, </w:t>
      </w:r>
      <w:proofErr w:type="spellStart"/>
      <w:r w:rsidRPr="00F327BD">
        <w:rPr>
          <w:rFonts w:ascii="Arial" w:eastAsia="Calibri" w:hAnsi="Arial" w:cs="Arial"/>
          <w:i/>
          <w:sz w:val="20"/>
          <w:szCs w:val="20"/>
          <w:lang w:val="en-IN"/>
        </w:rPr>
        <w:t>Kaiserstraße</w:t>
      </w:r>
      <w:proofErr w:type="spellEnd"/>
      <w:r w:rsidRPr="00F327BD">
        <w:rPr>
          <w:rFonts w:ascii="Arial" w:eastAsia="Calibri" w:hAnsi="Arial" w:cs="Arial"/>
          <w:i/>
          <w:sz w:val="20"/>
          <w:szCs w:val="20"/>
          <w:lang w:val="en-IN"/>
        </w:rPr>
        <w:t xml:space="preserve"> 2, 24143 Kiel, Germany </w:t>
      </w:r>
      <w:r w:rsidRPr="00F327BD">
        <w:rPr>
          <w:rFonts w:ascii="Arial" w:eastAsia="Calibri" w:hAnsi="Arial" w:cs="Arial"/>
          <w:i/>
          <w:sz w:val="20"/>
          <w:szCs w:val="20"/>
          <w:lang w:val="en-IN"/>
        </w:rPr>
        <w:br/>
        <w:t>2.</w:t>
      </w:r>
      <w:bookmarkStart w:id="3" w:name="_Hlk20129546"/>
      <w:bookmarkStart w:id="4" w:name="_Hlk19460850"/>
      <w:bookmarkEnd w:id="3"/>
      <w:bookmarkEnd w:id="4"/>
      <w:r w:rsidRPr="00F327BD">
        <w:rPr>
          <w:rFonts w:ascii="Arial" w:eastAsia="Calibri" w:hAnsi="Arial" w:cs="Arial"/>
          <w:i/>
          <w:sz w:val="20"/>
          <w:szCs w:val="20"/>
          <w:lang w:val="en-IN"/>
        </w:rPr>
        <w:t xml:space="preserve"> Department of Materials Science and Engineering, University of Maryland, 4418 Stadium Dr, College Park, MD 20742</w:t>
      </w:r>
      <w:r w:rsidRPr="00F327BD">
        <w:rPr>
          <w:rFonts w:ascii="Arial" w:eastAsia="Calibri" w:hAnsi="Arial" w:cs="Arial"/>
          <w:i/>
          <w:sz w:val="20"/>
          <w:szCs w:val="20"/>
          <w:lang w:val="en-IN"/>
        </w:rPr>
        <w:br/>
        <w:t xml:space="preserve">3. Chair for Synthesis and Real Structure, Faculty of Engineering, Kiel University, </w:t>
      </w:r>
      <w:proofErr w:type="spellStart"/>
      <w:r w:rsidRPr="00F327BD">
        <w:rPr>
          <w:rFonts w:ascii="Arial" w:eastAsia="Calibri" w:hAnsi="Arial" w:cs="Arial"/>
          <w:i/>
          <w:sz w:val="20"/>
          <w:szCs w:val="20"/>
          <w:lang w:val="en-IN"/>
        </w:rPr>
        <w:t>Kaiserstraße</w:t>
      </w:r>
      <w:proofErr w:type="spellEnd"/>
      <w:r w:rsidRPr="00F327BD">
        <w:rPr>
          <w:rFonts w:ascii="Arial" w:eastAsia="Calibri" w:hAnsi="Arial" w:cs="Arial"/>
          <w:i/>
          <w:sz w:val="20"/>
          <w:szCs w:val="20"/>
          <w:lang w:val="en-IN"/>
        </w:rPr>
        <w:t xml:space="preserve"> 2, 24143 Kiel, Germany </w:t>
      </w:r>
    </w:p>
    <w:bookmarkEnd w:id="2"/>
    <w:p w14:paraId="2014A288" w14:textId="77777777" w:rsidR="00B2432F" w:rsidRPr="00B2432F" w:rsidRDefault="00B2432F" w:rsidP="00B2432F">
      <w:pPr>
        <w:pStyle w:val="Affiliation"/>
        <w:rPr>
          <w:rFonts w:ascii="Arial" w:hAnsi="Arial" w:cs="Arial"/>
          <w:sz w:val="20"/>
          <w:szCs w:val="20"/>
        </w:rPr>
      </w:pPr>
      <w:r w:rsidRPr="00B2432F">
        <w:rPr>
          <w:rFonts w:ascii="Arial" w:hAnsi="Arial" w:cs="Arial"/>
          <w:sz w:val="20"/>
          <w:szCs w:val="20"/>
        </w:rPr>
        <w:t xml:space="preserve">*Corresponding author: </w:t>
      </w:r>
      <w:hyperlink r:id="rId7" w:history="1">
        <w:r w:rsidRPr="00B2432F">
          <w:rPr>
            <w:rStyle w:val="Hyperlink"/>
            <w:rFonts w:ascii="Arial" w:hAnsi="Arial" w:cs="Arial"/>
            <w:sz w:val="20"/>
            <w:szCs w:val="20"/>
          </w:rPr>
          <w:t>eq@tf.uni-kiel.de</w:t>
        </w:r>
      </w:hyperlink>
      <w:r w:rsidRPr="00B2432F">
        <w:rPr>
          <w:rFonts w:ascii="Arial" w:hAnsi="Arial" w:cs="Arial"/>
          <w:sz w:val="20"/>
          <w:szCs w:val="20"/>
        </w:rPr>
        <w:t xml:space="preserve"> </w:t>
      </w:r>
    </w:p>
    <w:bookmarkEnd w:id="1"/>
    <w:p w14:paraId="6E997A70" w14:textId="2D7A8CC2" w:rsidR="00B2432F" w:rsidRPr="004122DD" w:rsidRDefault="00B2432F" w:rsidP="00B2432F">
      <w:pPr>
        <w:jc w:val="both"/>
        <w:rPr>
          <w:rFonts w:ascii="Arial" w:hAnsi="Arial" w:cs="Arial"/>
          <w:b/>
          <w:color w:val="8B2F57"/>
          <w:sz w:val="24"/>
          <w:szCs w:val="24"/>
        </w:rPr>
      </w:pPr>
      <w:r>
        <w:rPr>
          <w:rFonts w:ascii="Arial" w:hAnsi="Arial" w:cs="Arial"/>
          <w:b/>
          <w:color w:val="8B2F57"/>
          <w:sz w:val="24"/>
          <w:szCs w:val="24"/>
        </w:rPr>
        <w:t xml:space="preserve">I: </w:t>
      </w:r>
      <w:r w:rsidRPr="004122DD">
        <w:rPr>
          <w:rFonts w:ascii="Arial" w:hAnsi="Arial" w:cs="Arial"/>
          <w:b/>
          <w:color w:val="8B2F57"/>
          <w:sz w:val="24"/>
          <w:szCs w:val="24"/>
        </w:rPr>
        <w:t xml:space="preserve">Analytical Calculation and Experimental Demonstration of Resonant Frequency </w:t>
      </w:r>
    </w:p>
    <w:p w14:paraId="5CCDD90F" w14:textId="1827C66C" w:rsidR="00B2432F" w:rsidRPr="00B2432F" w:rsidRDefault="00B2432F" w:rsidP="00B2432F">
      <w:pPr>
        <w:jc w:val="both"/>
        <w:rPr>
          <w:rFonts w:ascii="Arial" w:hAnsi="Arial" w:cs="Arial"/>
          <w:b/>
          <w:color w:val="8B2F57"/>
          <w:sz w:val="20"/>
          <w:szCs w:val="20"/>
        </w:rPr>
      </w:pPr>
      <w:r w:rsidRPr="00B2432F">
        <w:rPr>
          <w:rFonts w:ascii="Arial" w:hAnsi="Arial" w:cs="Arial"/>
          <w:b/>
          <w:color w:val="8B2F57"/>
          <w:sz w:val="20"/>
          <w:szCs w:val="20"/>
        </w:rPr>
        <w:t>A. Theory:</w:t>
      </w:r>
    </w:p>
    <w:p w14:paraId="28796135" w14:textId="0138D465" w:rsidR="00B2432F" w:rsidRPr="00B2432F" w:rsidRDefault="004E5800" w:rsidP="00841634">
      <w:pPr>
        <w:spacing w:line="480" w:lineRule="auto"/>
        <w:ind w:firstLine="720"/>
        <w:jc w:val="both"/>
        <w:rPr>
          <w:rFonts w:ascii="Arial" w:hAnsi="Arial" w:cs="Arial"/>
          <w:sz w:val="20"/>
          <w:szCs w:val="20"/>
        </w:rPr>
      </w:pPr>
      <w:r w:rsidRPr="00B2432F">
        <w:rPr>
          <w:rFonts w:ascii="Arial" w:hAnsi="Arial" w:cs="Arial"/>
          <w:sz w:val="20"/>
          <w:szCs w:val="20"/>
        </w:rPr>
        <w:t xml:space="preserve">The primary goal </w:t>
      </w:r>
      <w:r>
        <w:rPr>
          <w:rFonts w:ascii="Arial" w:hAnsi="Arial" w:cs="Arial"/>
          <w:sz w:val="20"/>
          <w:szCs w:val="20"/>
        </w:rPr>
        <w:t>of the analytical calculations performed in this study</w:t>
      </w:r>
      <w:r w:rsidRPr="00B2432F">
        <w:rPr>
          <w:rFonts w:ascii="Arial" w:hAnsi="Arial" w:cs="Arial"/>
          <w:sz w:val="20"/>
          <w:szCs w:val="20"/>
        </w:rPr>
        <w:t xml:space="preserve"> </w:t>
      </w:r>
      <w:r w:rsidR="00FF1619">
        <w:rPr>
          <w:rFonts w:ascii="Arial" w:hAnsi="Arial" w:cs="Arial"/>
          <w:sz w:val="20"/>
          <w:szCs w:val="20"/>
        </w:rPr>
        <w:t>are</w:t>
      </w:r>
      <w:r w:rsidRPr="00B2432F">
        <w:rPr>
          <w:rFonts w:ascii="Arial" w:hAnsi="Arial" w:cs="Arial"/>
          <w:sz w:val="20"/>
          <w:szCs w:val="20"/>
        </w:rPr>
        <w:t xml:space="preserve"> to quantify the contribution of the Si thickness (</w:t>
      </w:r>
      <w:proofErr w:type="spellStart"/>
      <w:r w:rsidRPr="00B2432F">
        <w:rPr>
          <w:rFonts w:ascii="Arial" w:hAnsi="Arial" w:cs="Arial"/>
          <w:sz w:val="20"/>
          <w:szCs w:val="20"/>
        </w:rPr>
        <w:t>t</w:t>
      </w:r>
      <w:r w:rsidRPr="00B2432F">
        <w:rPr>
          <w:rFonts w:ascii="Arial" w:hAnsi="Arial" w:cs="Arial"/>
          <w:sz w:val="20"/>
          <w:szCs w:val="20"/>
          <w:vertAlign w:val="subscript"/>
        </w:rPr>
        <w:t>Si</w:t>
      </w:r>
      <w:proofErr w:type="spellEnd"/>
      <w:r w:rsidRPr="00B2432F">
        <w:rPr>
          <w:rFonts w:ascii="Arial" w:hAnsi="Arial" w:cs="Arial"/>
          <w:sz w:val="20"/>
          <w:szCs w:val="20"/>
        </w:rPr>
        <w:t xml:space="preserve">) and </w:t>
      </w:r>
      <w:proofErr w:type="spellStart"/>
      <w:r w:rsidRPr="00B2432F">
        <w:rPr>
          <w:rFonts w:ascii="Arial" w:hAnsi="Arial" w:cs="Arial"/>
          <w:sz w:val="20"/>
          <w:szCs w:val="20"/>
        </w:rPr>
        <w:t>NiTi</w:t>
      </w:r>
      <w:proofErr w:type="spellEnd"/>
      <w:r w:rsidRPr="00B2432F">
        <w:rPr>
          <w:rFonts w:ascii="Arial" w:hAnsi="Arial" w:cs="Arial"/>
          <w:sz w:val="20"/>
          <w:szCs w:val="20"/>
        </w:rPr>
        <w:t xml:space="preserve"> thickness (</w:t>
      </w:r>
      <w:proofErr w:type="spellStart"/>
      <w:r w:rsidRPr="00B2432F">
        <w:rPr>
          <w:rFonts w:ascii="Arial" w:hAnsi="Arial" w:cs="Arial"/>
          <w:sz w:val="20"/>
          <w:szCs w:val="20"/>
        </w:rPr>
        <w:t>t</w:t>
      </w:r>
      <w:r w:rsidRPr="00B2432F">
        <w:rPr>
          <w:rFonts w:ascii="Arial" w:hAnsi="Arial" w:cs="Arial"/>
          <w:sz w:val="20"/>
          <w:szCs w:val="20"/>
          <w:vertAlign w:val="subscript"/>
        </w:rPr>
        <w:t>NiTi</w:t>
      </w:r>
      <w:proofErr w:type="spellEnd"/>
      <w:r w:rsidRPr="00B2432F">
        <w:rPr>
          <w:rFonts w:ascii="Arial" w:hAnsi="Arial" w:cs="Arial"/>
          <w:sz w:val="20"/>
          <w:szCs w:val="20"/>
        </w:rPr>
        <w:t xml:space="preserve">) on the </w:t>
      </w:r>
      <w:r w:rsidR="004E5ED3">
        <w:rPr>
          <w:rFonts w:ascii="Arial" w:hAnsi="Arial" w:cs="Arial"/>
          <w:sz w:val="20"/>
          <w:szCs w:val="20"/>
        </w:rPr>
        <w:t xml:space="preserve">change </w:t>
      </w:r>
      <w:r w:rsidRPr="00B2432F">
        <w:rPr>
          <w:rFonts w:ascii="Arial" w:hAnsi="Arial" w:cs="Arial"/>
          <w:sz w:val="20"/>
          <w:szCs w:val="20"/>
        </w:rPr>
        <w:t xml:space="preserve">in </w:t>
      </w:r>
      <w:r w:rsidR="00F30BF5">
        <w:rPr>
          <w:rFonts w:ascii="Arial" w:hAnsi="Arial" w:cs="Arial"/>
          <w:sz w:val="20"/>
          <w:szCs w:val="20"/>
        </w:rPr>
        <w:t xml:space="preserve">mechanical </w:t>
      </w:r>
      <w:r w:rsidRPr="00B2432F">
        <w:rPr>
          <w:rFonts w:ascii="Arial" w:hAnsi="Arial" w:cs="Arial"/>
          <w:sz w:val="20"/>
          <w:szCs w:val="20"/>
        </w:rPr>
        <w:t>resonant frequency (</w:t>
      </w:r>
      <w:proofErr w:type="spellStart"/>
      <w:r w:rsidRPr="00B2432F">
        <w:rPr>
          <w:rFonts w:ascii="Arial" w:hAnsi="Arial" w:cs="Arial"/>
          <w:sz w:val="20"/>
          <w:szCs w:val="20"/>
        </w:rPr>
        <w:t>Δf</w:t>
      </w:r>
      <w:proofErr w:type="spellEnd"/>
      <w:r w:rsidRPr="00B2432F">
        <w:rPr>
          <w:rFonts w:ascii="Arial" w:hAnsi="Arial" w:cs="Arial"/>
          <w:sz w:val="20"/>
          <w:szCs w:val="20"/>
        </w:rPr>
        <w:t>)</w:t>
      </w:r>
      <w:r w:rsidR="004E5ED3">
        <w:rPr>
          <w:rFonts w:ascii="Arial" w:hAnsi="Arial" w:cs="Arial"/>
          <w:sz w:val="20"/>
          <w:szCs w:val="20"/>
        </w:rPr>
        <w:t>. The maximum shift is</w:t>
      </w:r>
      <w:r w:rsidRPr="00B2432F">
        <w:rPr>
          <w:rFonts w:ascii="Arial" w:hAnsi="Arial" w:cs="Arial"/>
          <w:sz w:val="20"/>
          <w:szCs w:val="20"/>
        </w:rPr>
        <w:t xml:space="preserve"> achieved </w:t>
      </w:r>
      <w:r w:rsidR="005E64D7">
        <w:rPr>
          <w:rFonts w:ascii="Arial" w:hAnsi="Arial" w:cs="Arial"/>
          <w:sz w:val="20"/>
          <w:szCs w:val="20"/>
        </w:rPr>
        <w:t>by</w:t>
      </w:r>
      <w:r w:rsidRPr="00B2432F">
        <w:rPr>
          <w:rFonts w:ascii="Arial" w:hAnsi="Arial" w:cs="Arial"/>
          <w:sz w:val="20"/>
          <w:szCs w:val="20"/>
        </w:rPr>
        <w:t xml:space="preserve"> t</w:t>
      </w:r>
      <w:r w:rsidR="005E64D7">
        <w:rPr>
          <w:rFonts w:ascii="Arial" w:hAnsi="Arial" w:cs="Arial"/>
          <w:sz w:val="20"/>
          <w:szCs w:val="20"/>
        </w:rPr>
        <w:t xml:space="preserve">hermally </w:t>
      </w:r>
      <w:r w:rsidRPr="00B2432F">
        <w:rPr>
          <w:rFonts w:ascii="Arial" w:hAnsi="Arial" w:cs="Arial"/>
          <w:sz w:val="20"/>
          <w:szCs w:val="20"/>
        </w:rPr>
        <w:t>induc</w:t>
      </w:r>
      <w:r w:rsidR="005E64D7">
        <w:rPr>
          <w:rFonts w:ascii="Arial" w:hAnsi="Arial" w:cs="Arial"/>
          <w:sz w:val="20"/>
          <w:szCs w:val="20"/>
        </w:rPr>
        <w:t xml:space="preserve">ing a reversible </w:t>
      </w:r>
      <w:r w:rsidRPr="00B2432F">
        <w:rPr>
          <w:rFonts w:ascii="Arial" w:hAnsi="Arial" w:cs="Arial"/>
          <w:sz w:val="20"/>
          <w:szCs w:val="20"/>
        </w:rPr>
        <w:t xml:space="preserve">phase transformation </w:t>
      </w:r>
      <w:r w:rsidR="005E64D7">
        <w:rPr>
          <w:rFonts w:ascii="Arial" w:hAnsi="Arial" w:cs="Arial"/>
          <w:sz w:val="20"/>
          <w:szCs w:val="20"/>
        </w:rPr>
        <w:t xml:space="preserve">in the shape memory alloy </w:t>
      </w:r>
      <w:r w:rsidRPr="00B2432F">
        <w:rPr>
          <w:rFonts w:ascii="Arial" w:hAnsi="Arial" w:cs="Arial"/>
          <w:sz w:val="20"/>
          <w:szCs w:val="20"/>
        </w:rPr>
        <w:t>from martensite to austenite</w:t>
      </w:r>
      <w:r w:rsidR="005E64D7">
        <w:rPr>
          <w:rFonts w:ascii="Arial" w:hAnsi="Arial" w:cs="Arial"/>
          <w:sz w:val="20"/>
          <w:szCs w:val="20"/>
        </w:rPr>
        <w:t>.</w:t>
      </w:r>
      <w:r>
        <w:rPr>
          <w:rFonts w:ascii="Arial" w:hAnsi="Arial" w:cs="Arial"/>
          <w:sz w:val="20"/>
          <w:szCs w:val="20"/>
        </w:rPr>
        <w:t xml:space="preserve"> </w:t>
      </w:r>
      <w:r w:rsidR="00B2432F" w:rsidRPr="00B2432F">
        <w:rPr>
          <w:rFonts w:ascii="Arial" w:hAnsi="Arial" w:cs="Arial"/>
          <w:sz w:val="20"/>
          <w:szCs w:val="20"/>
        </w:rPr>
        <w:t>The resonant frequency of a cantilever-based magnetoelectric (ME) / shape memory alloy (</w:t>
      </w:r>
      <w:proofErr w:type="spellStart"/>
      <w:r w:rsidR="00B2432F" w:rsidRPr="00B2432F">
        <w:rPr>
          <w:rFonts w:ascii="Arial" w:hAnsi="Arial" w:cs="Arial"/>
          <w:sz w:val="20"/>
          <w:szCs w:val="20"/>
        </w:rPr>
        <w:t>NiTi</w:t>
      </w:r>
      <w:proofErr w:type="spellEnd"/>
      <w:r w:rsidR="00B2432F" w:rsidRPr="00B2432F">
        <w:rPr>
          <w:rFonts w:ascii="Arial" w:hAnsi="Arial" w:cs="Arial"/>
          <w:sz w:val="20"/>
          <w:szCs w:val="20"/>
        </w:rPr>
        <w:t xml:space="preserve">) / silicon (Si) </w:t>
      </w:r>
      <w:r>
        <w:rPr>
          <w:rFonts w:ascii="Arial" w:hAnsi="Arial" w:cs="Arial"/>
          <w:sz w:val="20"/>
          <w:szCs w:val="20"/>
        </w:rPr>
        <w:t xml:space="preserve">composites </w:t>
      </w:r>
      <w:r w:rsidR="00B2432F" w:rsidRPr="00B2432F">
        <w:rPr>
          <w:rFonts w:ascii="Arial" w:hAnsi="Arial" w:cs="Arial"/>
          <w:sz w:val="20"/>
          <w:szCs w:val="20"/>
        </w:rPr>
        <w:t xml:space="preserve">is modeled as the first bending mode of a freestanding cantilever composed of three mechanically coupled thin-film layers: ME / </w:t>
      </w:r>
      <w:proofErr w:type="spellStart"/>
      <w:r w:rsidR="00B2432F" w:rsidRPr="00B2432F">
        <w:rPr>
          <w:rFonts w:ascii="Arial" w:hAnsi="Arial" w:cs="Arial"/>
          <w:sz w:val="20"/>
          <w:szCs w:val="20"/>
        </w:rPr>
        <w:t>NiTi</w:t>
      </w:r>
      <w:proofErr w:type="spellEnd"/>
      <w:r w:rsidR="00B2432F" w:rsidRPr="00B2432F">
        <w:rPr>
          <w:rFonts w:ascii="Arial" w:hAnsi="Arial" w:cs="Arial"/>
          <w:sz w:val="20"/>
          <w:szCs w:val="20"/>
        </w:rPr>
        <w:t xml:space="preserve"> / Si. The theory behind the calculation of resonant frequency of a two-layer thin-film cantilever beam is well known</w:t>
      </w:r>
      <w:r w:rsidR="00C23867">
        <w:rPr>
          <w:rFonts w:ascii="Arial" w:hAnsi="Arial" w:cs="Arial"/>
          <w:sz w:val="20"/>
          <w:szCs w:val="20"/>
        </w:rPr>
        <w:t>.</w:t>
      </w:r>
      <w:r w:rsidR="00B2432F">
        <w:rPr>
          <w:rFonts w:ascii="Arial" w:hAnsi="Arial" w:cs="Arial"/>
          <w:sz w:val="20"/>
          <w:szCs w:val="20"/>
        </w:rPr>
        <w:fldChar w:fldCharType="begin" w:fldLock="1"/>
      </w:r>
      <w:r w:rsidR="00B2432F">
        <w:rPr>
          <w:rFonts w:ascii="Arial" w:hAnsi="Arial" w:cs="Arial"/>
          <w:sz w:val="20"/>
          <w:szCs w:val="20"/>
        </w:rPr>
        <w:instrText>ADDIN CSL_CITATION {"citationItems":[{"id":"ITEM-1","itemData":{"author":[{"dropping-particle":"","family":"Zannon","given":"Mohammad","non-dropping-particle":"","parse-names":false,"suffix":""}],"container-title":"International Journal of Engineering and Technical Research (IJETR)","id":"ITEM-1","issued":{"date-parts":[["2014"]]},"page":"304-314","title":"Free Vibration of Thin Film Cantilever Beam","type":"article-journal","volume":"2"},"uris":["http://www.mendeley.com/documents/?uuid=09078fd1-c2df-4274-905e-87b0a5e847c5"]},{"id":"ITEM-2","itemData":{"author":[{"dropping-particle":"","family":"Whitney","given":"Scott","non-dropping-particle":"","parse-names":false,"suffix":""}],"container-title":"Website: Apr","id":"ITEM-2","issue":"10","issued":{"date-parts":[["1999"]]},"title":"Vibrations of cantilever beams: Deflection, frequency, and research uses","type":"article-journal","volume":"23"},"uris":["http://www.mendeley.com/documents/?uuid=9f10b51e-2763-47ef-ace2-50b51d38fe65"]},{"id":"ITEM-3","itemData":{"author":[{"dropping-particle":"","family":"Röbisch","given":"Volker","non-dropping-particle":"","parse-names":false,"suffix":""},{"dropping-particle":"","family":"Piorra","given":"André","non-dropping-particle":"","parse-names":false,"suffix":""},{"dropping-particle":"","family":"Miranda","given":"Rodrigo","non-dropping-particle":"de","parse-names":false,"suffix":""},{"dropping-particle":"","family":"Quandt","given":"Eckhard","non-dropping-particle":"","parse-names":false,"suffix":""},{"dropping-particle":"","family":"Meyners","given":"Dirk","non-dropping-particle":"","parse-names":false,"suffix":""}],"container-title":"AIP Advances","id":"ITEM-3","issue":"12","issued":{"date-parts":[["2018"]]},"page":"125320","publisher":"AIP Publishing","title":"Frequency-tunable nickel-titanium substrates for magnetoelectric sensors","type":"article-journal","volume":"8"},"uris":["http://www.mendeley.com/documents/?uuid=442dd922-6622-4bb7-a545-36bb1ac71844"]}],"mendeley":{"formattedCitation":"&lt;sup&gt;1–3&lt;/sup&gt;","plainTextFormattedCitation":"1–3","previouslyFormattedCitation":"&lt;sup&gt;1–3&lt;/sup&gt;"},"properties":{"noteIndex":0},"schema":"https://github.com/citation-style-language/schema/raw/master/csl-citation.json"}</w:instrText>
      </w:r>
      <w:r w:rsidR="00B2432F">
        <w:rPr>
          <w:rFonts w:ascii="Arial" w:hAnsi="Arial" w:cs="Arial"/>
          <w:sz w:val="20"/>
          <w:szCs w:val="20"/>
        </w:rPr>
        <w:fldChar w:fldCharType="separate"/>
      </w:r>
      <w:r w:rsidR="00B2432F" w:rsidRPr="00B2432F">
        <w:rPr>
          <w:rFonts w:ascii="Arial" w:hAnsi="Arial" w:cs="Arial"/>
          <w:noProof/>
          <w:sz w:val="20"/>
          <w:szCs w:val="20"/>
          <w:vertAlign w:val="superscript"/>
        </w:rPr>
        <w:t>1–3</w:t>
      </w:r>
      <w:r w:rsidR="00B2432F">
        <w:rPr>
          <w:rFonts w:ascii="Arial" w:hAnsi="Arial" w:cs="Arial"/>
          <w:sz w:val="20"/>
          <w:szCs w:val="20"/>
        </w:rPr>
        <w:fldChar w:fldCharType="end"/>
      </w:r>
      <w:r w:rsidR="00B2432F" w:rsidRPr="00B2432F">
        <w:rPr>
          <w:rFonts w:ascii="Arial" w:hAnsi="Arial" w:cs="Arial"/>
          <w:sz w:val="20"/>
          <w:szCs w:val="20"/>
        </w:rPr>
        <w:t xml:space="preserve"> </w:t>
      </w:r>
      <w:r>
        <w:rPr>
          <w:rFonts w:ascii="Arial" w:hAnsi="Arial" w:cs="Arial"/>
          <w:sz w:val="20"/>
          <w:szCs w:val="20"/>
        </w:rPr>
        <w:t>The theory</w:t>
      </w:r>
      <w:r w:rsidR="00B2432F" w:rsidRPr="00B2432F">
        <w:rPr>
          <w:rFonts w:ascii="Arial" w:hAnsi="Arial" w:cs="Arial"/>
          <w:sz w:val="20"/>
          <w:szCs w:val="20"/>
        </w:rPr>
        <w:t xml:space="preserve"> and </w:t>
      </w:r>
      <w:proofErr w:type="spellStart"/>
      <w:r w:rsidR="00A76351">
        <w:rPr>
          <w:rFonts w:ascii="Arial" w:hAnsi="Arial" w:cs="Arial"/>
          <w:sz w:val="20"/>
          <w:szCs w:val="20"/>
        </w:rPr>
        <w:t>M</w:t>
      </w:r>
      <w:r w:rsidR="00B2432F" w:rsidRPr="00B2432F">
        <w:rPr>
          <w:rFonts w:ascii="Arial" w:hAnsi="Arial" w:cs="Arial"/>
          <w:sz w:val="20"/>
          <w:szCs w:val="20"/>
        </w:rPr>
        <w:t>atlab</w:t>
      </w:r>
      <w:proofErr w:type="spellEnd"/>
      <w:r w:rsidR="00B2432F" w:rsidRPr="00B2432F">
        <w:rPr>
          <w:rFonts w:ascii="Arial" w:hAnsi="Arial" w:cs="Arial"/>
          <w:sz w:val="20"/>
          <w:szCs w:val="20"/>
        </w:rPr>
        <w:t xml:space="preserve"> code presented in </w:t>
      </w:r>
      <w:proofErr w:type="spellStart"/>
      <w:r w:rsidR="00B42C32" w:rsidRPr="00CE61D5">
        <w:rPr>
          <w:rFonts w:ascii="Arial" w:hAnsi="Arial" w:cs="Arial"/>
          <w:i/>
          <w:iCs/>
          <w:sz w:val="20"/>
          <w:szCs w:val="20"/>
        </w:rPr>
        <w:t>Zannon</w:t>
      </w:r>
      <w:proofErr w:type="spellEnd"/>
      <w:r w:rsidR="00B42C32" w:rsidRPr="00CE61D5">
        <w:rPr>
          <w:rFonts w:ascii="Arial" w:hAnsi="Arial" w:cs="Arial"/>
          <w:i/>
          <w:iCs/>
          <w:sz w:val="20"/>
          <w:szCs w:val="20"/>
        </w:rPr>
        <w:t xml:space="preserve"> et al</w:t>
      </w:r>
      <w:r w:rsidR="00B42C32">
        <w:rPr>
          <w:rFonts w:ascii="Arial" w:hAnsi="Arial" w:cs="Arial"/>
          <w:sz w:val="20"/>
          <w:szCs w:val="20"/>
        </w:rPr>
        <w:t>.</w:t>
      </w:r>
      <w:r w:rsidR="00B42C32">
        <w:rPr>
          <w:rFonts w:ascii="Arial" w:hAnsi="Arial" w:cs="Arial"/>
          <w:sz w:val="20"/>
          <w:szCs w:val="20"/>
        </w:rPr>
        <w:fldChar w:fldCharType="begin" w:fldLock="1"/>
      </w:r>
      <w:r w:rsidR="00B42C32">
        <w:rPr>
          <w:rFonts w:ascii="Arial" w:hAnsi="Arial" w:cs="Arial"/>
          <w:sz w:val="20"/>
          <w:szCs w:val="20"/>
        </w:rPr>
        <w:instrText>ADDIN CSL_CITATION {"citationItems":[{"id":"ITEM-1","itemData":{"author":[{"dropping-particle":"","family":"Zannon","given":"Mohammad","non-dropping-particle":"","parse-names":false,"suffix":""}],"container-title":"International Journal of Engineering and Technical Research (IJETR)","id":"ITEM-1","issued":{"date-parts":[["2014"]]},"page":"304-314","title":"Free Vibration of Thin Film Cantilever Beam","type":"article-journal","volume":"2"},"uris":["http://www.mendeley.com/documents/?uuid=09078fd1-c2df-4274-905e-87b0a5e847c5"]}],"mendeley":{"formattedCitation":"&lt;sup&gt;1&lt;/sup&gt;","plainTextFormattedCitation":"1","previouslyFormattedCitation":"&lt;sup&gt;1&lt;/sup&gt;"},"properties":{"noteIndex":0},"schema":"https://github.com/citation-style-language/schema/raw/master/csl-citation.json"}</w:instrText>
      </w:r>
      <w:r w:rsidR="00B42C32">
        <w:rPr>
          <w:rFonts w:ascii="Arial" w:hAnsi="Arial" w:cs="Arial"/>
          <w:sz w:val="20"/>
          <w:szCs w:val="20"/>
        </w:rPr>
        <w:fldChar w:fldCharType="separate"/>
      </w:r>
      <w:r w:rsidR="00B42C32" w:rsidRPr="00B42C32">
        <w:rPr>
          <w:rFonts w:ascii="Arial" w:hAnsi="Arial" w:cs="Arial"/>
          <w:noProof/>
          <w:sz w:val="20"/>
          <w:szCs w:val="20"/>
          <w:vertAlign w:val="superscript"/>
        </w:rPr>
        <w:t>1</w:t>
      </w:r>
      <w:r w:rsidR="00B42C32">
        <w:rPr>
          <w:rFonts w:ascii="Arial" w:hAnsi="Arial" w:cs="Arial"/>
          <w:sz w:val="20"/>
          <w:szCs w:val="20"/>
        </w:rPr>
        <w:fldChar w:fldCharType="end"/>
      </w:r>
      <w:r w:rsidR="00B2432F" w:rsidRPr="00B2432F">
        <w:rPr>
          <w:rFonts w:ascii="Arial" w:hAnsi="Arial" w:cs="Arial"/>
          <w:sz w:val="20"/>
          <w:szCs w:val="20"/>
        </w:rPr>
        <w:t xml:space="preserve"> </w:t>
      </w:r>
      <w:r w:rsidR="00FF1619">
        <w:rPr>
          <w:rFonts w:ascii="Arial" w:hAnsi="Arial" w:cs="Arial"/>
          <w:sz w:val="20"/>
          <w:szCs w:val="20"/>
        </w:rPr>
        <w:t xml:space="preserve">is employed </w:t>
      </w:r>
      <w:r w:rsidR="00B2432F" w:rsidRPr="00B2432F">
        <w:rPr>
          <w:rFonts w:ascii="Arial" w:hAnsi="Arial" w:cs="Arial"/>
          <w:sz w:val="20"/>
          <w:szCs w:val="20"/>
        </w:rPr>
        <w:t xml:space="preserve">to expand the calculation to three-layers in order to investigate ME/ </w:t>
      </w:r>
      <w:proofErr w:type="spellStart"/>
      <w:r w:rsidR="00B2432F" w:rsidRPr="00B2432F">
        <w:rPr>
          <w:rFonts w:ascii="Arial" w:hAnsi="Arial" w:cs="Arial"/>
          <w:sz w:val="20"/>
          <w:szCs w:val="20"/>
        </w:rPr>
        <w:t>NiTi</w:t>
      </w:r>
      <w:proofErr w:type="spellEnd"/>
      <w:r w:rsidR="00B2432F" w:rsidRPr="00B2432F">
        <w:rPr>
          <w:rFonts w:ascii="Arial" w:hAnsi="Arial" w:cs="Arial"/>
          <w:sz w:val="20"/>
          <w:szCs w:val="20"/>
        </w:rPr>
        <w:t xml:space="preserve">/ Si composites. </w:t>
      </w:r>
    </w:p>
    <w:p w14:paraId="539306D1" w14:textId="076F258F" w:rsidR="00B2432F" w:rsidRPr="00B2432F" w:rsidRDefault="00B2432F" w:rsidP="00841634">
      <w:pPr>
        <w:spacing w:line="480" w:lineRule="auto"/>
        <w:ind w:firstLine="720"/>
        <w:jc w:val="both"/>
        <w:rPr>
          <w:rFonts w:ascii="Arial" w:hAnsi="Arial" w:cs="Arial"/>
          <w:sz w:val="20"/>
          <w:szCs w:val="20"/>
        </w:rPr>
      </w:pPr>
      <w:r w:rsidRPr="00B2432F">
        <w:rPr>
          <w:rFonts w:ascii="Arial" w:hAnsi="Arial" w:cs="Arial"/>
          <w:bCs/>
          <w:sz w:val="20"/>
          <w:szCs w:val="20"/>
        </w:rPr>
        <w:t>The</w:t>
      </w:r>
      <w:r w:rsidR="005E64D7">
        <w:rPr>
          <w:rFonts w:ascii="Arial" w:hAnsi="Arial" w:cs="Arial"/>
          <w:bCs/>
          <w:sz w:val="20"/>
          <w:szCs w:val="20"/>
        </w:rPr>
        <w:t xml:space="preserve"> </w:t>
      </w:r>
      <w:r w:rsidRPr="00B2432F">
        <w:rPr>
          <w:rFonts w:ascii="Arial" w:hAnsi="Arial" w:cs="Arial"/>
          <w:bCs/>
          <w:sz w:val="20"/>
          <w:szCs w:val="20"/>
        </w:rPr>
        <w:t xml:space="preserve">Si and </w:t>
      </w:r>
      <w:proofErr w:type="spellStart"/>
      <w:r w:rsidRPr="00B2432F">
        <w:rPr>
          <w:rFonts w:ascii="Arial" w:hAnsi="Arial" w:cs="Arial"/>
          <w:bCs/>
          <w:sz w:val="20"/>
          <w:szCs w:val="20"/>
        </w:rPr>
        <w:t>NiTi</w:t>
      </w:r>
      <w:proofErr w:type="spellEnd"/>
      <w:r w:rsidRPr="00B2432F">
        <w:rPr>
          <w:rFonts w:ascii="Arial" w:hAnsi="Arial" w:cs="Arial"/>
          <w:bCs/>
          <w:sz w:val="20"/>
          <w:szCs w:val="20"/>
        </w:rPr>
        <w:t xml:space="preserve"> functional layers will dominate the elastic properties of the vibration</w:t>
      </w:r>
      <w:r w:rsidR="004E5ED3">
        <w:rPr>
          <w:rFonts w:ascii="Arial" w:hAnsi="Arial" w:cs="Arial"/>
          <w:bCs/>
          <w:sz w:val="20"/>
          <w:szCs w:val="20"/>
        </w:rPr>
        <w:t xml:space="preserve"> due to their large film thickness</w:t>
      </w:r>
      <w:r w:rsidRPr="00B2432F">
        <w:rPr>
          <w:rFonts w:ascii="Arial" w:hAnsi="Arial" w:cs="Arial"/>
          <w:bCs/>
          <w:sz w:val="20"/>
          <w:szCs w:val="20"/>
        </w:rPr>
        <w:t>; therefore, the mechanical contributions of the adhesion and electrode layers can be neglected.</w:t>
      </w:r>
      <w:r w:rsidRPr="00B2432F">
        <w:rPr>
          <w:rFonts w:ascii="Arial" w:hAnsi="Arial" w:cs="Arial"/>
          <w:sz w:val="20"/>
          <w:szCs w:val="20"/>
        </w:rPr>
        <w:t xml:space="preserve"> </w:t>
      </w:r>
      <w:r w:rsidR="00707BA2">
        <w:rPr>
          <w:rFonts w:ascii="Arial" w:hAnsi="Arial" w:cs="Arial"/>
          <w:sz w:val="20"/>
          <w:szCs w:val="20"/>
        </w:rPr>
        <w:t>To simplify the calculations, the magnetoelectric layer uses the mechanical properties of the piezoelectric layer (</w:t>
      </w:r>
      <w:proofErr w:type="spellStart"/>
      <w:r w:rsidR="00707BA2">
        <w:rPr>
          <w:rFonts w:ascii="Arial" w:hAnsi="Arial" w:cs="Arial"/>
          <w:sz w:val="20"/>
          <w:szCs w:val="20"/>
        </w:rPr>
        <w:t>AlN</w:t>
      </w:r>
      <w:proofErr w:type="spellEnd"/>
      <w:r w:rsidR="00707BA2">
        <w:rPr>
          <w:rFonts w:ascii="Arial" w:hAnsi="Arial" w:cs="Arial"/>
          <w:sz w:val="20"/>
          <w:szCs w:val="20"/>
        </w:rPr>
        <w:t xml:space="preserve">) and </w:t>
      </w:r>
      <w:proofErr w:type="spellStart"/>
      <w:r w:rsidR="00707BA2">
        <w:rPr>
          <w:rFonts w:ascii="Arial" w:hAnsi="Arial" w:cs="Arial"/>
          <w:sz w:val="20"/>
          <w:szCs w:val="20"/>
        </w:rPr>
        <w:t>magnetostrictive</w:t>
      </w:r>
      <w:proofErr w:type="spellEnd"/>
      <w:r w:rsidR="00707BA2">
        <w:rPr>
          <w:rFonts w:ascii="Arial" w:hAnsi="Arial" w:cs="Arial"/>
          <w:sz w:val="20"/>
          <w:szCs w:val="20"/>
        </w:rPr>
        <w:t xml:space="preserve"> layer (</w:t>
      </w:r>
      <w:proofErr w:type="spellStart"/>
      <w:r w:rsidR="00707BA2">
        <w:rPr>
          <w:rFonts w:ascii="Arial" w:hAnsi="Arial" w:cs="Arial"/>
          <w:sz w:val="20"/>
          <w:szCs w:val="20"/>
        </w:rPr>
        <w:t>FeCoSiB</w:t>
      </w:r>
      <w:proofErr w:type="spellEnd"/>
      <w:r w:rsidR="00707BA2">
        <w:rPr>
          <w:rFonts w:ascii="Arial" w:hAnsi="Arial" w:cs="Arial"/>
          <w:sz w:val="20"/>
          <w:szCs w:val="20"/>
        </w:rPr>
        <w:t>) mechanically coupled together.</w:t>
      </w:r>
      <w:r w:rsidR="00715EDA">
        <w:rPr>
          <w:rFonts w:ascii="Arial" w:hAnsi="Arial" w:cs="Arial"/>
          <w:sz w:val="20"/>
          <w:szCs w:val="20"/>
        </w:rPr>
        <w:t xml:space="preserve"> In all calculations the ME thickness is assumed </w:t>
      </w:r>
      <w:proofErr w:type="spellStart"/>
      <w:r w:rsidR="00715EDA" w:rsidRPr="00B2432F">
        <w:rPr>
          <w:rFonts w:ascii="Arial" w:hAnsi="Arial" w:cs="Arial"/>
          <w:sz w:val="20"/>
          <w:szCs w:val="20"/>
        </w:rPr>
        <w:t>t</w:t>
      </w:r>
      <w:r w:rsidR="00715EDA">
        <w:rPr>
          <w:rFonts w:ascii="Arial" w:hAnsi="Arial" w:cs="Arial"/>
          <w:sz w:val="20"/>
          <w:szCs w:val="20"/>
          <w:vertAlign w:val="subscript"/>
        </w:rPr>
        <w:t>ME</w:t>
      </w:r>
      <w:proofErr w:type="spellEnd"/>
      <w:r w:rsidR="00715EDA" w:rsidRPr="00B2432F">
        <w:rPr>
          <w:rFonts w:ascii="Arial" w:hAnsi="Arial" w:cs="Arial"/>
          <w:sz w:val="20"/>
          <w:szCs w:val="20"/>
        </w:rPr>
        <w:t xml:space="preserve"> = </w:t>
      </w:r>
      <w:r w:rsidR="00715EDA">
        <w:rPr>
          <w:rFonts w:ascii="Arial" w:hAnsi="Arial" w:cs="Arial"/>
          <w:sz w:val="20"/>
          <w:szCs w:val="20"/>
        </w:rPr>
        <w:t>4</w:t>
      </w:r>
      <w:r w:rsidR="00715EDA" w:rsidRPr="00B2432F">
        <w:rPr>
          <w:rFonts w:ascii="Arial" w:hAnsi="Arial" w:cs="Arial"/>
          <w:sz w:val="20"/>
          <w:szCs w:val="20"/>
        </w:rPr>
        <w:t xml:space="preserve"> </w:t>
      </w:r>
      <w:proofErr w:type="spellStart"/>
      <w:r w:rsidR="00715EDA" w:rsidRPr="00B2432F">
        <w:rPr>
          <w:rFonts w:ascii="Arial" w:hAnsi="Arial" w:cs="Arial"/>
          <w:sz w:val="20"/>
          <w:szCs w:val="20"/>
        </w:rPr>
        <w:t>μm</w:t>
      </w:r>
      <w:proofErr w:type="spellEnd"/>
      <w:r w:rsidR="00715EDA">
        <w:rPr>
          <w:rFonts w:ascii="Arial" w:hAnsi="Arial" w:cs="Arial"/>
          <w:sz w:val="20"/>
          <w:szCs w:val="20"/>
        </w:rPr>
        <w:t xml:space="preserve"> to match the functional layer thickness </w:t>
      </w:r>
      <w:r w:rsidR="00715EDA" w:rsidRPr="00B2432F">
        <w:rPr>
          <w:rFonts w:ascii="Arial" w:hAnsi="Arial" w:cs="Arial"/>
          <w:sz w:val="20"/>
          <w:szCs w:val="20"/>
        </w:rPr>
        <w:t>(</w:t>
      </w:r>
      <w:proofErr w:type="spellStart"/>
      <w:r w:rsidR="00715EDA" w:rsidRPr="00B2432F">
        <w:rPr>
          <w:rFonts w:ascii="Arial" w:hAnsi="Arial" w:cs="Arial"/>
          <w:sz w:val="20"/>
          <w:szCs w:val="20"/>
        </w:rPr>
        <w:t>i.e</w:t>
      </w:r>
      <w:proofErr w:type="spellEnd"/>
      <w:r w:rsidR="00715EDA" w:rsidRPr="00B2432F">
        <w:rPr>
          <w:rFonts w:ascii="Arial" w:hAnsi="Arial" w:cs="Arial"/>
          <w:sz w:val="20"/>
          <w:szCs w:val="20"/>
        </w:rPr>
        <w:t xml:space="preserve"> </w:t>
      </w:r>
      <w:proofErr w:type="spellStart"/>
      <w:r w:rsidR="00715EDA" w:rsidRPr="00B2432F">
        <w:rPr>
          <w:rFonts w:ascii="Arial" w:hAnsi="Arial" w:cs="Arial"/>
          <w:sz w:val="20"/>
          <w:szCs w:val="20"/>
        </w:rPr>
        <w:t>t</w:t>
      </w:r>
      <w:r w:rsidR="00715EDA" w:rsidRPr="00B2432F">
        <w:rPr>
          <w:rFonts w:ascii="Arial" w:hAnsi="Arial" w:cs="Arial"/>
          <w:sz w:val="20"/>
          <w:szCs w:val="20"/>
          <w:vertAlign w:val="subscript"/>
        </w:rPr>
        <w:t>AlN</w:t>
      </w:r>
      <w:proofErr w:type="spellEnd"/>
      <w:r w:rsidR="00715EDA" w:rsidRPr="00B2432F">
        <w:rPr>
          <w:rFonts w:ascii="Arial" w:hAnsi="Arial" w:cs="Arial"/>
          <w:sz w:val="20"/>
          <w:szCs w:val="20"/>
        </w:rPr>
        <w:t xml:space="preserve"> = 2 </w:t>
      </w:r>
      <w:proofErr w:type="spellStart"/>
      <w:r w:rsidR="00715EDA" w:rsidRPr="00B2432F">
        <w:rPr>
          <w:rFonts w:ascii="Arial" w:hAnsi="Arial" w:cs="Arial"/>
          <w:sz w:val="20"/>
          <w:szCs w:val="20"/>
        </w:rPr>
        <w:lastRenderedPageBreak/>
        <w:t>μm</w:t>
      </w:r>
      <w:proofErr w:type="spellEnd"/>
      <w:r w:rsidR="00715EDA" w:rsidRPr="00B2432F">
        <w:rPr>
          <w:rFonts w:ascii="Arial" w:hAnsi="Arial" w:cs="Arial"/>
          <w:sz w:val="20"/>
          <w:szCs w:val="20"/>
        </w:rPr>
        <w:t xml:space="preserve">, </w:t>
      </w:r>
      <w:proofErr w:type="spellStart"/>
      <w:r w:rsidR="00715EDA" w:rsidRPr="00B2432F">
        <w:rPr>
          <w:rFonts w:ascii="Arial" w:hAnsi="Arial" w:cs="Arial"/>
          <w:sz w:val="20"/>
          <w:szCs w:val="20"/>
        </w:rPr>
        <w:t>t</w:t>
      </w:r>
      <w:r w:rsidR="00715EDA" w:rsidRPr="00B2432F">
        <w:rPr>
          <w:rFonts w:ascii="Arial" w:hAnsi="Arial" w:cs="Arial"/>
          <w:sz w:val="20"/>
          <w:szCs w:val="20"/>
          <w:vertAlign w:val="subscript"/>
        </w:rPr>
        <w:t>FeCoSiB</w:t>
      </w:r>
      <w:proofErr w:type="spellEnd"/>
      <w:r w:rsidR="00715EDA" w:rsidRPr="00B2432F">
        <w:rPr>
          <w:rFonts w:ascii="Arial" w:hAnsi="Arial" w:cs="Arial"/>
          <w:sz w:val="20"/>
          <w:szCs w:val="20"/>
        </w:rPr>
        <w:t xml:space="preserve"> = 2 </w:t>
      </w:r>
      <w:proofErr w:type="spellStart"/>
      <w:r w:rsidR="00715EDA" w:rsidRPr="00B2432F">
        <w:rPr>
          <w:rFonts w:ascii="Arial" w:hAnsi="Arial" w:cs="Arial"/>
          <w:sz w:val="20"/>
          <w:szCs w:val="20"/>
        </w:rPr>
        <w:t>μm</w:t>
      </w:r>
      <w:proofErr w:type="spellEnd"/>
      <w:r w:rsidR="00715EDA" w:rsidRPr="00B2432F">
        <w:rPr>
          <w:rFonts w:ascii="Arial" w:hAnsi="Arial" w:cs="Arial"/>
          <w:sz w:val="20"/>
          <w:szCs w:val="20"/>
        </w:rPr>
        <w:t>)</w:t>
      </w:r>
      <w:r w:rsidR="00715EDA">
        <w:rPr>
          <w:rFonts w:ascii="Arial" w:hAnsi="Arial" w:cs="Arial"/>
          <w:sz w:val="20"/>
          <w:szCs w:val="20"/>
        </w:rPr>
        <w:t xml:space="preserve"> of the </w:t>
      </w:r>
      <w:r w:rsidR="00715EDA" w:rsidRPr="00B2432F">
        <w:rPr>
          <w:rFonts w:ascii="Arial" w:hAnsi="Arial" w:cs="Arial"/>
          <w:sz w:val="20"/>
          <w:szCs w:val="20"/>
        </w:rPr>
        <w:t xml:space="preserve">fabricated composites </w:t>
      </w:r>
      <w:r w:rsidR="00715EDA" w:rsidRPr="00B2432F">
        <w:rPr>
          <w:rFonts w:ascii="Arial" w:hAnsi="Arial" w:cs="Arial"/>
          <w:bCs/>
          <w:sz w:val="20"/>
          <w:szCs w:val="20"/>
        </w:rPr>
        <w:t>experimentally analyzed in this manuscript.</w:t>
      </w:r>
      <w:r w:rsidR="00707BA2">
        <w:rPr>
          <w:rFonts w:ascii="Arial" w:hAnsi="Arial" w:cs="Arial"/>
          <w:sz w:val="20"/>
          <w:szCs w:val="20"/>
        </w:rPr>
        <w:t xml:space="preserve"> </w:t>
      </w:r>
      <w:r w:rsidRPr="00B2432F">
        <w:rPr>
          <w:rFonts w:ascii="Arial" w:hAnsi="Arial" w:cs="Arial"/>
          <w:bCs/>
          <w:sz w:val="20"/>
          <w:szCs w:val="20"/>
        </w:rPr>
        <w:t xml:space="preserve">Taking a similar approach to </w:t>
      </w:r>
      <w:r w:rsidR="00B0149D" w:rsidRPr="00B0149D">
        <w:rPr>
          <w:rFonts w:ascii="Arial" w:hAnsi="Arial" w:cs="Arial"/>
          <w:i/>
          <w:iCs/>
          <w:noProof/>
          <w:sz w:val="20"/>
        </w:rPr>
        <w:t>Röbis</w:t>
      </w:r>
      <w:r w:rsidR="00B0149D" w:rsidRPr="006410DE">
        <w:rPr>
          <w:rFonts w:ascii="Arial" w:hAnsi="Arial" w:cs="Arial"/>
          <w:i/>
          <w:iCs/>
          <w:noProof/>
          <w:sz w:val="20"/>
        </w:rPr>
        <w:t>ch</w:t>
      </w:r>
      <w:r w:rsidRPr="006410DE">
        <w:rPr>
          <w:rFonts w:ascii="Arial" w:hAnsi="Arial" w:cs="Arial"/>
          <w:bCs/>
          <w:i/>
          <w:iCs/>
          <w:sz w:val="20"/>
          <w:szCs w:val="20"/>
        </w:rPr>
        <w:t xml:space="preserve"> et al.</w:t>
      </w:r>
      <w:r w:rsidR="00B42C32" w:rsidRPr="006410DE">
        <w:rPr>
          <w:rFonts w:ascii="Arial" w:hAnsi="Arial" w:cs="Arial"/>
          <w:bCs/>
          <w:i/>
          <w:iCs/>
          <w:sz w:val="20"/>
          <w:szCs w:val="20"/>
        </w:rPr>
        <w:fldChar w:fldCharType="begin" w:fldLock="1"/>
      </w:r>
      <w:r w:rsidR="00B42C32" w:rsidRPr="006410DE">
        <w:rPr>
          <w:rFonts w:ascii="Arial" w:hAnsi="Arial" w:cs="Arial"/>
          <w:bCs/>
          <w:i/>
          <w:iCs/>
          <w:sz w:val="20"/>
          <w:szCs w:val="20"/>
        </w:rPr>
        <w:instrText>ADDIN CSL_CITATION {"citationItems":[{"id":"ITEM-1","itemData":{"author":[{"dropping-particle":"","family":"Röbisch","given":"Volker","non-dropping-particle":"","parse-names":false,"suffix":""},{"dropping-particle":"","family":"Piorra","given":"André","non-dropping-particle":"","parse-names":false,"suffix":""},{"dropping-particle":"","family":"Miranda","given":"Rodrigo","non-dropping-particle":"de","parse-names":false,"suffix":""},{"dropping-particle":"","family":"Quandt","given":"Eckhard","non-dropping-particle":"","parse-names":false,"suffix":""},{"dropping-particle":"","family":"Meyners","given":"Dirk","non-dropping-particle":"","parse-names":false,"suffix":""}],"container-title":"AIP Advances","id":"ITEM-1","issue":"12","issued":{"date-parts":[["2018"]]},"page":"125320","publisher":"AIP Publishing","title":"Frequency-tunable nickel-titanium substrates for magnetoelectric sensors","type":"article-journal","volume":"8"},"uris":["http://www.mendeley.com/documents/?uuid=442dd922-6622-4bb7-a545-36bb1ac71844"]}],"mendeley":{"formattedCitation":"&lt;sup&gt;3&lt;/sup&gt;","plainTextFormattedCitation":"3","previouslyFormattedCitation":"&lt;sup&gt;3&lt;/sup&gt;"},"properties":{"noteIndex":0},"schema":"https://github.com/citation-style-language/schema/raw/master/csl-citation.json"}</w:instrText>
      </w:r>
      <w:r w:rsidR="00B42C32" w:rsidRPr="006410DE">
        <w:rPr>
          <w:rFonts w:ascii="Arial" w:hAnsi="Arial" w:cs="Arial"/>
          <w:bCs/>
          <w:i/>
          <w:iCs/>
          <w:sz w:val="20"/>
          <w:szCs w:val="20"/>
        </w:rPr>
        <w:fldChar w:fldCharType="separate"/>
      </w:r>
      <w:r w:rsidR="00B42C32" w:rsidRPr="006410DE">
        <w:rPr>
          <w:rFonts w:ascii="Arial" w:hAnsi="Arial" w:cs="Arial"/>
          <w:bCs/>
          <w:iCs/>
          <w:noProof/>
          <w:sz w:val="20"/>
          <w:szCs w:val="20"/>
          <w:vertAlign w:val="superscript"/>
        </w:rPr>
        <w:t>3</w:t>
      </w:r>
      <w:r w:rsidR="00B42C32" w:rsidRPr="006410DE">
        <w:rPr>
          <w:rFonts w:ascii="Arial" w:hAnsi="Arial" w:cs="Arial"/>
          <w:bCs/>
          <w:i/>
          <w:iCs/>
          <w:sz w:val="20"/>
          <w:szCs w:val="20"/>
        </w:rPr>
        <w:fldChar w:fldCharType="end"/>
      </w:r>
      <w:r w:rsidRPr="006410DE">
        <w:rPr>
          <w:rFonts w:ascii="Arial" w:hAnsi="Arial" w:cs="Arial"/>
          <w:bCs/>
          <w:sz w:val="20"/>
          <w:szCs w:val="20"/>
        </w:rPr>
        <w:t xml:space="preserve"> the</w:t>
      </w:r>
      <w:r w:rsidR="00715EDA">
        <w:rPr>
          <w:rFonts w:ascii="Arial" w:hAnsi="Arial" w:cs="Arial"/>
          <w:bCs/>
          <w:sz w:val="20"/>
          <w:szCs w:val="20"/>
        </w:rPr>
        <w:t xml:space="preserve"> combined</w:t>
      </w:r>
      <w:r w:rsidRPr="006410DE">
        <w:rPr>
          <w:rFonts w:ascii="Arial" w:hAnsi="Arial" w:cs="Arial"/>
          <w:bCs/>
          <w:sz w:val="20"/>
          <w:szCs w:val="20"/>
        </w:rPr>
        <w:t xml:space="preserve"> mechanical properties of </w:t>
      </w:r>
      <w:proofErr w:type="spellStart"/>
      <w:r w:rsidRPr="006410DE">
        <w:rPr>
          <w:rFonts w:ascii="Arial" w:hAnsi="Arial" w:cs="Arial"/>
          <w:bCs/>
          <w:sz w:val="20"/>
          <w:szCs w:val="20"/>
        </w:rPr>
        <w:t>AlN</w:t>
      </w:r>
      <w:proofErr w:type="spellEnd"/>
      <w:r w:rsidRPr="006410DE">
        <w:rPr>
          <w:rFonts w:ascii="Arial" w:hAnsi="Arial" w:cs="Arial"/>
          <w:bCs/>
          <w:sz w:val="20"/>
          <w:szCs w:val="20"/>
        </w:rPr>
        <w:t xml:space="preserve"> and </w:t>
      </w:r>
      <w:proofErr w:type="spellStart"/>
      <w:r w:rsidRPr="006410DE">
        <w:rPr>
          <w:rFonts w:ascii="Arial" w:hAnsi="Arial" w:cs="Arial"/>
          <w:bCs/>
          <w:sz w:val="20"/>
          <w:szCs w:val="20"/>
        </w:rPr>
        <w:t>FeCoSiB</w:t>
      </w:r>
      <w:proofErr w:type="spellEnd"/>
      <w:r w:rsidRPr="006410DE">
        <w:rPr>
          <w:rFonts w:ascii="Arial" w:hAnsi="Arial" w:cs="Arial"/>
          <w:bCs/>
          <w:sz w:val="20"/>
          <w:szCs w:val="20"/>
        </w:rPr>
        <w:t xml:space="preserve"> are used to calculate the Young’s Modulus (E</w:t>
      </w:r>
      <w:r w:rsidRPr="006410DE">
        <w:rPr>
          <w:rFonts w:ascii="Arial" w:hAnsi="Arial" w:cs="Arial"/>
          <w:bCs/>
          <w:sz w:val="20"/>
          <w:szCs w:val="20"/>
          <w:vertAlign w:val="subscript"/>
        </w:rPr>
        <w:t xml:space="preserve">ME </w:t>
      </w:r>
      <w:r w:rsidRPr="006410DE">
        <w:rPr>
          <w:rFonts w:ascii="Arial" w:hAnsi="Arial" w:cs="Arial"/>
          <w:bCs/>
          <w:sz w:val="20"/>
          <w:szCs w:val="20"/>
        </w:rPr>
        <w:t>=</w:t>
      </w:r>
      <w:r w:rsidR="006410DE" w:rsidRPr="006410DE">
        <w:rPr>
          <w:rFonts w:ascii="Arial" w:hAnsi="Arial" w:cs="Arial"/>
          <w:bCs/>
          <w:sz w:val="20"/>
          <w:szCs w:val="20"/>
        </w:rPr>
        <w:t xml:space="preserve"> 230</w:t>
      </w:r>
      <w:r w:rsidRPr="006410DE">
        <w:rPr>
          <w:rFonts w:ascii="Arial" w:hAnsi="Arial" w:cs="Arial"/>
          <w:bCs/>
          <w:sz w:val="20"/>
          <w:szCs w:val="20"/>
        </w:rPr>
        <w:t xml:space="preserve"> </w:t>
      </w:r>
      <w:proofErr w:type="spellStart"/>
      <w:r w:rsidRPr="006410DE">
        <w:rPr>
          <w:rFonts w:ascii="Arial" w:hAnsi="Arial" w:cs="Arial"/>
          <w:bCs/>
          <w:sz w:val="20"/>
          <w:szCs w:val="20"/>
        </w:rPr>
        <w:t>GPa</w:t>
      </w:r>
      <w:proofErr w:type="spellEnd"/>
      <w:r w:rsidRPr="006410DE">
        <w:rPr>
          <w:rFonts w:ascii="Arial" w:hAnsi="Arial" w:cs="Arial"/>
          <w:bCs/>
          <w:sz w:val="20"/>
          <w:szCs w:val="20"/>
        </w:rPr>
        <w:t>)</w:t>
      </w:r>
      <w:r w:rsidRPr="00B2432F">
        <w:rPr>
          <w:rFonts w:ascii="Arial" w:hAnsi="Arial" w:cs="Arial"/>
          <w:bCs/>
          <w:sz w:val="20"/>
          <w:szCs w:val="20"/>
        </w:rPr>
        <w:t xml:space="preserve"> and density (</w:t>
      </w:r>
      <w:proofErr w:type="spellStart"/>
      <w:r w:rsidRPr="00B2432F">
        <w:rPr>
          <w:rFonts w:ascii="Arial" w:hAnsi="Arial" w:cs="Arial"/>
          <w:bCs/>
          <w:sz w:val="20"/>
          <w:szCs w:val="20"/>
        </w:rPr>
        <w:t>ρ</w:t>
      </w:r>
      <w:r w:rsidRPr="00B2432F">
        <w:rPr>
          <w:rFonts w:ascii="Arial" w:hAnsi="Arial" w:cs="Arial"/>
          <w:bCs/>
          <w:sz w:val="20"/>
          <w:szCs w:val="20"/>
          <w:vertAlign w:val="subscript"/>
        </w:rPr>
        <w:t>ME</w:t>
      </w:r>
      <w:proofErr w:type="spellEnd"/>
      <w:r w:rsidRPr="00B2432F">
        <w:rPr>
          <w:rFonts w:ascii="Arial" w:hAnsi="Arial" w:cs="Arial"/>
          <w:bCs/>
          <w:sz w:val="20"/>
          <w:szCs w:val="20"/>
          <w:vertAlign w:val="subscript"/>
        </w:rPr>
        <w:t xml:space="preserve"> </w:t>
      </w:r>
      <w:r w:rsidRPr="00B2432F">
        <w:rPr>
          <w:rFonts w:ascii="Arial" w:hAnsi="Arial" w:cs="Arial"/>
          <w:bCs/>
          <w:sz w:val="20"/>
          <w:szCs w:val="20"/>
        </w:rPr>
        <w:t xml:space="preserve">= </w:t>
      </w:r>
      <w:r w:rsidR="006410DE" w:rsidRPr="00C71386">
        <w:rPr>
          <w:rFonts w:ascii="Arial" w:eastAsia="Calibri" w:hAnsi="Arial" w:cs="Arial"/>
          <w:sz w:val="18"/>
          <w:szCs w:val="18"/>
          <w:lang w:eastAsia="de-DE"/>
        </w:rPr>
        <w:t>5275</w:t>
      </w:r>
      <w:r w:rsidR="006410DE">
        <w:rPr>
          <w:rFonts w:ascii="Arial" w:eastAsia="Calibri" w:hAnsi="Arial" w:cs="Arial"/>
          <w:sz w:val="18"/>
          <w:szCs w:val="18"/>
          <w:lang w:eastAsia="de-DE"/>
        </w:rPr>
        <w:t xml:space="preserve"> </w:t>
      </w:r>
      <w:r w:rsidRPr="00B2432F">
        <w:rPr>
          <w:rFonts w:ascii="Arial" w:hAnsi="Arial" w:cs="Arial"/>
          <w:bCs/>
          <w:sz w:val="20"/>
          <w:szCs w:val="20"/>
        </w:rPr>
        <w:t>kg/m</w:t>
      </w:r>
      <w:r w:rsidRPr="00B2432F">
        <w:rPr>
          <w:rFonts w:ascii="Arial" w:hAnsi="Arial" w:cs="Arial"/>
          <w:bCs/>
          <w:sz w:val="20"/>
          <w:szCs w:val="20"/>
          <w:vertAlign w:val="superscript"/>
        </w:rPr>
        <w:t>3)</w:t>
      </w:r>
      <w:r w:rsidRPr="00B2432F">
        <w:rPr>
          <w:rFonts w:ascii="Arial" w:hAnsi="Arial" w:cs="Arial"/>
          <w:bCs/>
          <w:sz w:val="20"/>
          <w:szCs w:val="20"/>
        </w:rPr>
        <w:t xml:space="preserve"> of the ME layer as shown in Equation S1 and Equation S2, respectively. These properties are estimated </w:t>
      </w:r>
      <w:bookmarkStart w:id="5" w:name="_Hlk26955710"/>
      <w:r w:rsidRPr="00B2432F">
        <w:rPr>
          <w:rFonts w:ascii="Arial" w:hAnsi="Arial" w:cs="Arial"/>
          <w:bCs/>
          <w:sz w:val="20"/>
          <w:szCs w:val="20"/>
        </w:rPr>
        <w:t xml:space="preserve">by using the thickness </w:t>
      </w:r>
      <w:r w:rsidRPr="00B2432F">
        <w:rPr>
          <w:rFonts w:ascii="Arial" w:hAnsi="Arial" w:cs="Arial"/>
          <w:sz w:val="20"/>
          <w:szCs w:val="20"/>
        </w:rPr>
        <w:t xml:space="preserve">weighted average of the </w:t>
      </w:r>
      <w:proofErr w:type="spellStart"/>
      <w:r w:rsidR="00715EDA">
        <w:rPr>
          <w:rFonts w:ascii="Arial" w:hAnsi="Arial" w:cs="Arial"/>
          <w:sz w:val="20"/>
          <w:szCs w:val="20"/>
        </w:rPr>
        <w:t>AlN</w:t>
      </w:r>
      <w:proofErr w:type="spellEnd"/>
      <w:r w:rsidR="00715EDA">
        <w:rPr>
          <w:rFonts w:ascii="Arial" w:hAnsi="Arial" w:cs="Arial"/>
          <w:sz w:val="20"/>
          <w:szCs w:val="20"/>
        </w:rPr>
        <w:t xml:space="preserve"> and </w:t>
      </w:r>
      <w:proofErr w:type="spellStart"/>
      <w:r w:rsidR="00715EDA">
        <w:rPr>
          <w:rFonts w:ascii="Arial" w:hAnsi="Arial" w:cs="Arial"/>
          <w:sz w:val="20"/>
          <w:szCs w:val="20"/>
        </w:rPr>
        <w:t>FeCoSiB</w:t>
      </w:r>
      <w:proofErr w:type="spellEnd"/>
      <w:r w:rsidR="00715EDA">
        <w:rPr>
          <w:rFonts w:ascii="Arial" w:hAnsi="Arial" w:cs="Arial"/>
          <w:sz w:val="20"/>
          <w:szCs w:val="20"/>
        </w:rPr>
        <w:t xml:space="preserve"> </w:t>
      </w:r>
      <w:r w:rsidRPr="00B2432F">
        <w:rPr>
          <w:rFonts w:ascii="Arial" w:hAnsi="Arial" w:cs="Arial"/>
          <w:sz w:val="20"/>
          <w:szCs w:val="20"/>
        </w:rPr>
        <w:t>functional layers</w:t>
      </w:r>
      <w:r w:rsidR="00715EDA">
        <w:rPr>
          <w:rFonts w:ascii="Arial" w:hAnsi="Arial" w:cs="Arial"/>
          <w:sz w:val="20"/>
          <w:szCs w:val="20"/>
        </w:rPr>
        <w:t>.</w:t>
      </w:r>
      <w:r w:rsidRPr="00B2432F">
        <w:rPr>
          <w:rFonts w:ascii="Arial" w:hAnsi="Arial" w:cs="Arial"/>
          <w:sz w:val="20"/>
          <w:szCs w:val="20"/>
        </w:rPr>
        <w:t xml:space="preserve"> </w:t>
      </w:r>
      <w:bookmarkEnd w:id="5"/>
    </w:p>
    <w:p w14:paraId="4A797497" w14:textId="65D8E899"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ME</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num>
          <m:den>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den>
        </m:f>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AlN</m:t>
                </m:r>
              </m:sub>
            </m:sSub>
          </m:e>
        </m:d>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num>
          <m:den>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den>
        </m:f>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FeCoSiB</m:t>
                </m:r>
              </m:sub>
            </m:sSub>
          </m:e>
        </m:d>
        <m:r>
          <w:rPr>
            <w:rFonts w:ascii="Cambria Math" w:hAnsi="Cambria Math" w:cs="Arial"/>
            <w:sz w:val="20"/>
            <w:szCs w:val="20"/>
          </w:rPr>
          <m:t xml:space="preserve"> </m:t>
        </m:r>
      </m:oMath>
      <w:r w:rsidR="00B2432F" w:rsidRPr="00B2432F">
        <w:rPr>
          <w:rFonts w:ascii="Arial" w:hAnsi="Arial" w:cs="Arial"/>
          <w:sz w:val="20"/>
          <w:szCs w:val="20"/>
        </w:rPr>
        <w:t>(</w:t>
      </w:r>
      <w:r w:rsidR="00CE61D5">
        <w:rPr>
          <w:rFonts w:ascii="Arial" w:hAnsi="Arial" w:cs="Arial"/>
          <w:sz w:val="20"/>
          <w:szCs w:val="20"/>
        </w:rPr>
        <w:t>Equation S</w:t>
      </w:r>
      <w:r w:rsidR="00B2432F" w:rsidRPr="00B2432F">
        <w:rPr>
          <w:rFonts w:ascii="Arial" w:hAnsi="Arial" w:cs="Arial"/>
          <w:sz w:val="20"/>
          <w:szCs w:val="20"/>
        </w:rPr>
        <w:t>1)</w:t>
      </w:r>
    </w:p>
    <w:p w14:paraId="307A9794" w14:textId="5B3EAF94"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ME</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num>
          <m:den>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den>
        </m:f>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AlN</m:t>
                </m:r>
              </m:sub>
            </m:sSub>
          </m:e>
        </m:d>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num>
          <m:den>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AlN</m:t>
                </m:r>
              </m:sub>
            </m:sSub>
            <m:r>
              <w:rPr>
                <w:rFonts w:ascii="Cambria Math" w:hAnsi="Cambria Math" w:cs="Arial"/>
                <w:sz w:val="20"/>
                <w:szCs w:val="20"/>
              </w:rPr>
              <m:t xml:space="preserve">+ </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FeCoSiB</m:t>
                </m:r>
              </m:sub>
            </m:sSub>
          </m:den>
        </m:f>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FeCoSiB</m:t>
                </m:r>
              </m:sub>
            </m:sSub>
          </m:e>
        </m:d>
      </m:oMath>
      <w:r w:rsidR="00B2432F" w:rsidRPr="00B2432F">
        <w:rPr>
          <w:rFonts w:ascii="Arial" w:hAnsi="Arial" w:cs="Arial"/>
          <w:sz w:val="20"/>
          <w:szCs w:val="20"/>
        </w:rPr>
        <w:t xml:space="preserve"> (</w:t>
      </w:r>
      <w:r w:rsidR="00CE61D5">
        <w:rPr>
          <w:rFonts w:ascii="Arial" w:hAnsi="Arial" w:cs="Arial"/>
          <w:sz w:val="20"/>
          <w:szCs w:val="20"/>
        </w:rPr>
        <w:t>Equation S</w:t>
      </w:r>
      <w:r w:rsidR="00B2432F" w:rsidRPr="00B2432F">
        <w:rPr>
          <w:rFonts w:ascii="Arial" w:hAnsi="Arial" w:cs="Arial"/>
          <w:sz w:val="20"/>
          <w:szCs w:val="20"/>
        </w:rPr>
        <w:t>2)</w:t>
      </w:r>
    </w:p>
    <w:p w14:paraId="6A15D09F" w14:textId="55AE09A8" w:rsidR="00B2432F" w:rsidRPr="00B2432F" w:rsidRDefault="00B2432F" w:rsidP="00FE6F3C">
      <w:pPr>
        <w:spacing w:line="480" w:lineRule="auto"/>
        <w:ind w:firstLine="720"/>
        <w:jc w:val="both"/>
        <w:rPr>
          <w:rFonts w:ascii="Arial" w:hAnsi="Arial" w:cs="Arial"/>
          <w:bCs/>
          <w:iCs/>
          <w:sz w:val="20"/>
          <w:szCs w:val="20"/>
          <w:lang w:val="en-IN"/>
        </w:rPr>
      </w:pPr>
      <w:r w:rsidRPr="00B2432F">
        <w:rPr>
          <w:rFonts w:ascii="Arial" w:hAnsi="Arial" w:cs="Arial"/>
          <w:iCs/>
          <w:sz w:val="20"/>
          <w:szCs w:val="20"/>
          <w:lang w:val="en-IN"/>
        </w:rPr>
        <w:t xml:space="preserve">As described in </w:t>
      </w:r>
      <w:proofErr w:type="spellStart"/>
      <w:r w:rsidR="00B42C32" w:rsidRPr="00CE61D5">
        <w:rPr>
          <w:rFonts w:ascii="Arial" w:hAnsi="Arial" w:cs="Arial"/>
          <w:i/>
          <w:iCs/>
          <w:sz w:val="20"/>
          <w:szCs w:val="20"/>
        </w:rPr>
        <w:t>Zannon</w:t>
      </w:r>
      <w:proofErr w:type="spellEnd"/>
      <w:r w:rsidR="00B42C32" w:rsidRPr="00CE61D5">
        <w:rPr>
          <w:rFonts w:ascii="Arial" w:hAnsi="Arial" w:cs="Arial"/>
          <w:i/>
          <w:iCs/>
          <w:sz w:val="20"/>
          <w:szCs w:val="20"/>
        </w:rPr>
        <w:t xml:space="preserve"> et al.,</w:t>
      </w:r>
      <w:r w:rsidR="00B42C32">
        <w:rPr>
          <w:rFonts w:ascii="Arial" w:hAnsi="Arial" w:cs="Arial"/>
          <w:sz w:val="20"/>
          <w:szCs w:val="20"/>
        </w:rPr>
        <w:fldChar w:fldCharType="begin" w:fldLock="1"/>
      </w:r>
      <w:r w:rsidR="00B42C32">
        <w:rPr>
          <w:rFonts w:ascii="Arial" w:hAnsi="Arial" w:cs="Arial"/>
          <w:sz w:val="20"/>
          <w:szCs w:val="20"/>
        </w:rPr>
        <w:instrText>ADDIN CSL_CITATION {"citationItems":[{"id":"ITEM-1","itemData":{"author":[{"dropping-particle":"","family":"Zannon","given":"Mohammad","non-dropping-particle":"","parse-names":false,"suffix":""}],"container-title":"International Journal of Engineering and Technical Research (IJETR)","id":"ITEM-1","issued":{"date-parts":[["2014"]]},"page":"304-314","title":"Free Vibration of Thin Film Cantilever Beam","type":"article-journal","volume":"2"},"uris":["http://www.mendeley.com/documents/?uuid=09078fd1-c2df-4274-905e-87b0a5e847c5"]}],"mendeley":{"formattedCitation":"&lt;sup&gt;1&lt;/sup&gt;","plainTextFormattedCitation":"1","previouslyFormattedCitation":"&lt;sup&gt;1&lt;/sup&gt;"},"properties":{"noteIndex":0},"schema":"https://github.com/citation-style-language/schema/raw/master/csl-citation.json"}</w:instrText>
      </w:r>
      <w:r w:rsidR="00B42C32">
        <w:rPr>
          <w:rFonts w:ascii="Arial" w:hAnsi="Arial" w:cs="Arial"/>
          <w:sz w:val="20"/>
          <w:szCs w:val="20"/>
        </w:rPr>
        <w:fldChar w:fldCharType="separate"/>
      </w:r>
      <w:r w:rsidR="00B42C32" w:rsidRPr="00B42C32">
        <w:rPr>
          <w:rFonts w:ascii="Arial" w:hAnsi="Arial" w:cs="Arial"/>
          <w:noProof/>
          <w:sz w:val="20"/>
          <w:szCs w:val="20"/>
          <w:vertAlign w:val="superscript"/>
        </w:rPr>
        <w:t>1</w:t>
      </w:r>
      <w:r w:rsidR="00B42C32">
        <w:rPr>
          <w:rFonts w:ascii="Arial" w:hAnsi="Arial" w:cs="Arial"/>
          <w:sz w:val="20"/>
          <w:szCs w:val="20"/>
        </w:rPr>
        <w:fldChar w:fldCharType="end"/>
      </w:r>
      <w:r w:rsidRPr="00B2432F">
        <w:rPr>
          <w:rFonts w:ascii="Arial" w:hAnsi="Arial" w:cs="Arial"/>
          <w:iCs/>
          <w:sz w:val="20"/>
          <w:szCs w:val="20"/>
          <w:lang w:val="en-IN"/>
        </w:rPr>
        <w:t xml:space="preserve"> the resonant frequency of multi-layer composites in cantilever structures can be described in terms of the moment of inertia, and elastic modulus of the individual layers. As a</w:t>
      </w:r>
      <w:r w:rsidRPr="00B2432F">
        <w:rPr>
          <w:rFonts w:ascii="Arial" w:hAnsi="Arial" w:cs="Arial"/>
          <w:bCs/>
          <w:iCs/>
          <w:sz w:val="20"/>
          <w:szCs w:val="20"/>
          <w:lang w:val="en-IN"/>
        </w:rPr>
        <w:t xml:space="preserve">dditional thin-film materials layers are added to the composite stack, it will induce a shift in the </w:t>
      </w:r>
      <w:proofErr w:type="spellStart"/>
      <w:r w:rsidRPr="00B2432F">
        <w:rPr>
          <w:rFonts w:ascii="Arial" w:hAnsi="Arial" w:cs="Arial"/>
          <w:bCs/>
          <w:iCs/>
          <w:sz w:val="20"/>
          <w:szCs w:val="20"/>
          <w:lang w:val="en-IN"/>
        </w:rPr>
        <w:t>center</w:t>
      </w:r>
      <w:proofErr w:type="spellEnd"/>
      <w:r w:rsidRPr="00B2432F">
        <w:rPr>
          <w:rFonts w:ascii="Arial" w:hAnsi="Arial" w:cs="Arial"/>
          <w:bCs/>
          <w:iCs/>
          <w:sz w:val="20"/>
          <w:szCs w:val="20"/>
          <w:lang w:val="en-IN"/>
        </w:rPr>
        <w:t xml:space="preserve"> of mass (</w:t>
      </w:r>
      <m:oMath>
        <m:sSub>
          <m:sSubPr>
            <m:ctrlPr>
              <w:rPr>
                <w:rFonts w:ascii="Cambria Math" w:hAnsi="Cambria Math" w:cs="Arial"/>
                <w:sz w:val="20"/>
                <w:szCs w:val="20"/>
                <w:lang w:val="en-IN"/>
              </w:rPr>
            </m:ctrlPr>
          </m:sSubPr>
          <m:e>
            <m:r>
              <w:rPr>
                <w:rFonts w:ascii="Cambria Math" w:hAnsi="Cambria Math" w:cs="Arial"/>
                <w:sz w:val="20"/>
                <w:szCs w:val="20"/>
                <w:lang w:val="en-IN"/>
              </w:rPr>
              <m:t>y</m:t>
            </m:r>
          </m:e>
          <m:sub>
            <m:r>
              <w:rPr>
                <w:rFonts w:ascii="Cambria Math" w:hAnsi="Cambria Math" w:cs="Arial"/>
                <w:sz w:val="20"/>
                <w:szCs w:val="20"/>
                <w:lang w:val="en-IN"/>
              </w:rPr>
              <m:t>CM</m:t>
            </m:r>
          </m:sub>
        </m:sSub>
        <m:r>
          <w:rPr>
            <w:rFonts w:ascii="Cambria Math" w:hAnsi="Cambria Math" w:cs="Arial"/>
            <w:sz w:val="20"/>
            <w:szCs w:val="20"/>
            <w:lang w:val="en-IN"/>
          </w:rPr>
          <m:t>)</m:t>
        </m:r>
      </m:oMath>
      <w:r w:rsidRPr="00B2432F">
        <w:rPr>
          <w:rFonts w:ascii="Arial" w:hAnsi="Arial" w:cs="Arial"/>
          <w:bCs/>
          <w:iCs/>
          <w:sz w:val="20"/>
          <w:szCs w:val="20"/>
          <w:lang w:val="en-IN"/>
        </w:rPr>
        <w:t xml:space="preserve"> and inertia (</w:t>
      </w:r>
      <m:oMath>
        <m:sSub>
          <m:sSubPr>
            <m:ctrlPr>
              <w:rPr>
                <w:rFonts w:ascii="Cambria Math" w:hAnsi="Cambria Math" w:cs="Arial"/>
                <w:sz w:val="20"/>
                <w:szCs w:val="20"/>
                <w:lang w:val="en-IN"/>
              </w:rPr>
            </m:ctrlPr>
          </m:sSubPr>
          <m:e>
            <m:r>
              <w:rPr>
                <w:rFonts w:ascii="Cambria Math" w:hAnsi="Cambria Math" w:cs="Arial"/>
                <w:sz w:val="20"/>
                <w:szCs w:val="20"/>
                <w:lang w:val="en-IN"/>
              </w:rPr>
              <m:t>I</m:t>
            </m:r>
          </m:e>
          <m:sub>
            <m:r>
              <w:rPr>
                <w:rFonts w:ascii="Cambria Math" w:hAnsi="Cambria Math" w:cs="Arial"/>
                <w:sz w:val="20"/>
                <w:szCs w:val="20"/>
                <w:lang w:val="en-IN"/>
              </w:rPr>
              <m:t>X</m:t>
            </m:r>
          </m:sub>
        </m:sSub>
        <m:r>
          <w:rPr>
            <w:rFonts w:ascii="Cambria Math" w:hAnsi="Cambria Math" w:cs="Arial"/>
            <w:sz w:val="20"/>
            <w:szCs w:val="20"/>
            <w:lang w:val="en-IN"/>
          </w:rPr>
          <m:t xml:space="preserve">) </m:t>
        </m:r>
      </m:oMath>
      <w:r w:rsidRPr="00B2432F">
        <w:rPr>
          <w:rFonts w:ascii="Arial" w:hAnsi="Arial" w:cs="Arial"/>
          <w:bCs/>
          <w:iCs/>
          <w:sz w:val="20"/>
          <w:szCs w:val="20"/>
          <w:lang w:val="en-IN"/>
        </w:rPr>
        <w:t xml:space="preserve">of the beam layers, </w:t>
      </w:r>
      <w:r w:rsidR="005802B2">
        <w:rPr>
          <w:rFonts w:ascii="Arial" w:hAnsi="Arial" w:cs="Arial"/>
          <w:bCs/>
          <w:iCs/>
          <w:sz w:val="20"/>
          <w:szCs w:val="20"/>
          <w:lang w:val="en-IN"/>
        </w:rPr>
        <w:t>as shown in</w:t>
      </w:r>
      <w:r w:rsidRPr="00B2432F">
        <w:rPr>
          <w:rFonts w:ascii="Arial" w:hAnsi="Arial" w:cs="Arial"/>
          <w:bCs/>
          <w:iCs/>
          <w:sz w:val="20"/>
          <w:szCs w:val="20"/>
          <w:lang w:val="en-IN"/>
        </w:rPr>
        <w:t xml:space="preserve"> Equations S3 – S6.</w:t>
      </w:r>
    </w:p>
    <w:p w14:paraId="61F14504" w14:textId="404FC497"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CM</m:t>
            </m:r>
          </m:sub>
        </m:sSub>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1</m:t>
                </m:r>
              </m:sub>
            </m:s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2</m:t>
                </m:r>
              </m:sub>
            </m:s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3</m:t>
                </m:r>
              </m:sub>
            </m:sSub>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num>
              <m:den>
                <m:r>
                  <w:rPr>
                    <w:rFonts w:ascii="Cambria Math" w:hAnsi="Cambria Math" w:cs="Arial"/>
                    <w:sz w:val="20"/>
                    <w:szCs w:val="20"/>
                  </w:rPr>
                  <m:t>2</m:t>
                </m:r>
              </m:den>
            </m:f>
          </m:e>
        </m:d>
      </m:oMath>
      <w:r w:rsidR="00B2432F" w:rsidRPr="00B2432F">
        <w:rPr>
          <w:rFonts w:ascii="Arial" w:hAnsi="Arial" w:cs="Arial"/>
          <w:sz w:val="20"/>
          <w:szCs w:val="20"/>
        </w:rPr>
        <w:t xml:space="preserve"> (</w:t>
      </w:r>
      <w:r w:rsidR="00CE61D5">
        <w:rPr>
          <w:rFonts w:ascii="Arial" w:hAnsi="Arial" w:cs="Arial"/>
          <w:sz w:val="20"/>
          <w:szCs w:val="20"/>
        </w:rPr>
        <w:t>Equation S</w:t>
      </w:r>
      <w:r w:rsidR="00B2432F" w:rsidRPr="00B2432F">
        <w:rPr>
          <w:rFonts w:ascii="Arial" w:hAnsi="Arial" w:cs="Arial"/>
          <w:sz w:val="20"/>
          <w:szCs w:val="20"/>
        </w:rPr>
        <w:t>3)</w:t>
      </w:r>
    </w:p>
    <w:p w14:paraId="7FF1A1CF" w14:textId="19AC1ED4"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1</m:t>
            </m:r>
          </m:sub>
        </m:sSub>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w*</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e>
                  <m:sup>
                    <m:r>
                      <w:rPr>
                        <w:rFonts w:ascii="Cambria Math" w:hAnsi="Cambria Math" w:cs="Arial"/>
                        <w:sz w:val="20"/>
                        <w:szCs w:val="20"/>
                      </w:rPr>
                      <m:t>3</m:t>
                    </m:r>
                  </m:sup>
                </m:sSup>
              </m:num>
              <m:den>
                <m:r>
                  <w:rPr>
                    <w:rFonts w:ascii="Cambria Math" w:hAnsi="Cambria Math" w:cs="Arial"/>
                    <w:sz w:val="20"/>
                    <w:szCs w:val="20"/>
                  </w:rPr>
                  <m:t>12</m:t>
                </m:r>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w*</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CM</m:t>
            </m:r>
          </m:sub>
        </m:sSub>
        <m:sSup>
          <m:sSupPr>
            <m:ctrlPr>
              <w:rPr>
                <w:rFonts w:ascii="Cambria Math" w:hAnsi="Cambria Math" w:cs="Arial"/>
                <w:i/>
                <w:sz w:val="20"/>
                <w:szCs w:val="20"/>
              </w:rPr>
            </m:ctrlPr>
          </m:sSupPr>
          <m:e>
            <m:r>
              <w:rPr>
                <w:rFonts w:ascii="Cambria Math" w:hAnsi="Cambria Math" w:cs="Arial"/>
                <w:sz w:val="20"/>
                <w:szCs w:val="20"/>
              </w:rPr>
              <m:t>)</m:t>
            </m:r>
          </m:e>
          <m:sup>
            <m:r>
              <w:rPr>
                <w:rFonts w:ascii="Cambria Math" w:hAnsi="Cambria Math" w:cs="Arial"/>
                <w:sz w:val="20"/>
                <w:szCs w:val="20"/>
              </w:rPr>
              <m:t>2</m:t>
            </m:r>
          </m:sup>
        </m:sSup>
      </m:oMath>
      <w:r w:rsidR="00B2432F" w:rsidRPr="00B2432F">
        <w:rPr>
          <w:rFonts w:ascii="Arial" w:hAnsi="Arial" w:cs="Arial"/>
          <w:sz w:val="20"/>
          <w:szCs w:val="20"/>
        </w:rPr>
        <w:t xml:space="preserve"> (</w:t>
      </w:r>
      <w:r w:rsidR="00CE61D5">
        <w:rPr>
          <w:rFonts w:ascii="Arial" w:hAnsi="Arial" w:cs="Arial"/>
          <w:sz w:val="20"/>
          <w:szCs w:val="20"/>
        </w:rPr>
        <w:t>Equation S</w:t>
      </w:r>
      <w:r w:rsidR="00B2432F" w:rsidRPr="00B2432F">
        <w:rPr>
          <w:rFonts w:ascii="Arial" w:hAnsi="Arial" w:cs="Arial"/>
          <w:sz w:val="20"/>
          <w:szCs w:val="20"/>
        </w:rPr>
        <w:t>4)</w:t>
      </w:r>
    </w:p>
    <w:p w14:paraId="73D98FF6" w14:textId="5507D8E5"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2</m:t>
            </m:r>
          </m:sub>
        </m:sSub>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w*</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e>
                  <m:sup>
                    <m:r>
                      <w:rPr>
                        <w:rFonts w:ascii="Cambria Math" w:hAnsi="Cambria Math" w:cs="Arial"/>
                        <w:sz w:val="20"/>
                        <w:szCs w:val="20"/>
                      </w:rPr>
                      <m:t>3</m:t>
                    </m:r>
                  </m:sup>
                </m:sSup>
              </m:num>
              <m:den>
                <m:r>
                  <w:rPr>
                    <w:rFonts w:ascii="Cambria Math" w:hAnsi="Cambria Math" w:cs="Arial"/>
                    <w:sz w:val="20"/>
                    <w:szCs w:val="20"/>
                  </w:rPr>
                  <m:t>12</m:t>
                </m:r>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w*</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2</m:t>
                    </m:r>
                  </m:sub>
                </m:sSub>
              </m:num>
              <m:den>
                <m:r>
                  <w:rPr>
                    <w:rFonts w:ascii="Cambria Math" w:hAnsi="Cambria Math" w:cs="Arial"/>
                    <w:sz w:val="20"/>
                    <w:szCs w:val="20"/>
                  </w:rPr>
                  <m:t>2</m:t>
                </m:r>
              </m:den>
            </m:f>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CM</m:t>
            </m:r>
          </m:sub>
        </m:sSub>
        <m:sSup>
          <m:sSupPr>
            <m:ctrlPr>
              <w:rPr>
                <w:rFonts w:ascii="Cambria Math" w:hAnsi="Cambria Math" w:cs="Arial"/>
                <w:i/>
                <w:sz w:val="20"/>
                <w:szCs w:val="20"/>
              </w:rPr>
            </m:ctrlPr>
          </m:sSupPr>
          <m:e>
            <m:r>
              <w:rPr>
                <w:rFonts w:ascii="Cambria Math" w:hAnsi="Cambria Math" w:cs="Arial"/>
                <w:sz w:val="20"/>
                <w:szCs w:val="20"/>
              </w:rPr>
              <m:t>)</m:t>
            </m:r>
          </m:e>
          <m:sup>
            <m:r>
              <w:rPr>
                <w:rFonts w:ascii="Cambria Math" w:hAnsi="Cambria Math" w:cs="Arial"/>
                <w:sz w:val="20"/>
                <w:szCs w:val="20"/>
              </w:rPr>
              <m:t>2</m:t>
            </m:r>
          </m:sup>
        </m:sSup>
      </m:oMath>
      <w:r w:rsidR="00B2432F" w:rsidRPr="00B2432F">
        <w:rPr>
          <w:rFonts w:ascii="Arial" w:hAnsi="Arial" w:cs="Arial"/>
          <w:sz w:val="20"/>
          <w:szCs w:val="20"/>
        </w:rPr>
        <w:t xml:space="preserve"> (</w:t>
      </w:r>
      <w:r w:rsidR="00CE61D5">
        <w:rPr>
          <w:rFonts w:ascii="Arial" w:hAnsi="Arial" w:cs="Arial"/>
          <w:sz w:val="20"/>
          <w:szCs w:val="20"/>
        </w:rPr>
        <w:t>Equation S</w:t>
      </w:r>
      <w:r w:rsidR="00B2432F" w:rsidRPr="00B2432F">
        <w:rPr>
          <w:rFonts w:ascii="Arial" w:hAnsi="Arial" w:cs="Arial"/>
          <w:sz w:val="20"/>
          <w:szCs w:val="20"/>
        </w:rPr>
        <w:t>5)</w:t>
      </w:r>
    </w:p>
    <w:p w14:paraId="7C74C3AE" w14:textId="3CACF92B"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3</m:t>
            </m:r>
          </m:sub>
        </m:sSub>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r>
                  <w:rPr>
                    <w:rFonts w:ascii="Cambria Math" w:hAnsi="Cambria Math" w:cs="Arial"/>
                    <w:sz w:val="20"/>
                    <w:szCs w:val="20"/>
                  </w:rPr>
                  <m:t>w*</m:t>
                </m:r>
                <m:sSup>
                  <m:sSupPr>
                    <m:ctrlPr>
                      <w:rPr>
                        <w:rFonts w:ascii="Cambria Math" w:hAnsi="Cambria Math" w:cs="Arial"/>
                        <w:i/>
                        <w:sz w:val="20"/>
                        <w:szCs w:val="20"/>
                      </w:rPr>
                    </m:ctrlPr>
                  </m:sSupPr>
                  <m:e>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sup>
                    <m:r>
                      <w:rPr>
                        <w:rFonts w:ascii="Cambria Math" w:hAnsi="Cambria Math" w:cs="Arial"/>
                        <w:sz w:val="20"/>
                        <w:szCs w:val="20"/>
                      </w:rPr>
                      <m:t>3</m:t>
                    </m:r>
                  </m:sup>
                </m:sSup>
              </m:num>
              <m:den>
                <m:r>
                  <w:rPr>
                    <w:rFonts w:ascii="Cambria Math" w:hAnsi="Cambria Math" w:cs="Arial"/>
                    <w:sz w:val="20"/>
                    <w:szCs w:val="20"/>
                  </w:rPr>
                  <m:t>12</m:t>
                </m:r>
              </m:den>
            </m:f>
          </m:e>
        </m:d>
        <m:r>
          <w:rPr>
            <w:rFonts w:ascii="Cambria Math" w:hAnsi="Cambria Math" w:cs="Arial"/>
            <w:sz w:val="20"/>
            <w:szCs w:val="20"/>
          </w:rPr>
          <m:t>+</m:t>
        </m:r>
        <m:d>
          <m:dPr>
            <m:ctrlPr>
              <w:rPr>
                <w:rFonts w:ascii="Cambria Math" w:hAnsi="Cambria Math" w:cs="Arial"/>
                <w:i/>
                <w:sz w:val="20"/>
                <w:szCs w:val="20"/>
              </w:rPr>
            </m:ctrlPr>
          </m:dPr>
          <m:e>
            <m:r>
              <w:rPr>
                <w:rFonts w:ascii="Cambria Math" w:hAnsi="Cambria Math" w:cs="Arial"/>
                <w:sz w:val="20"/>
                <w:szCs w:val="20"/>
              </w:rPr>
              <m:t>w*</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e>
        </m:d>
        <m:r>
          <w:rPr>
            <w:rFonts w:ascii="Cambria Math" w:hAnsi="Cambria Math" w:cs="Arial"/>
            <w:sz w:val="20"/>
            <w:szCs w:val="20"/>
          </w:rPr>
          <m:t>*(</m:t>
        </m:r>
        <m:d>
          <m:dPr>
            <m:ctrlPr>
              <w:rPr>
                <w:rFonts w:ascii="Cambria Math" w:hAnsi="Cambria Math" w:cs="Arial"/>
                <w:i/>
                <w:sz w:val="20"/>
                <w:szCs w:val="20"/>
              </w:rPr>
            </m:ctrlPr>
          </m:dPr>
          <m:e>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3</m:t>
                    </m:r>
                  </m:sub>
                </m:sSub>
              </m:num>
              <m:den>
                <m:r>
                  <w:rPr>
                    <w:rFonts w:ascii="Cambria Math" w:hAnsi="Cambria Math" w:cs="Arial"/>
                    <w:sz w:val="20"/>
                    <w:szCs w:val="20"/>
                  </w:rPr>
                  <m:t>2</m:t>
                </m:r>
              </m:den>
            </m:f>
          </m:e>
        </m:d>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CM</m:t>
            </m:r>
          </m:sub>
        </m:sSub>
        <m:sSup>
          <m:sSupPr>
            <m:ctrlPr>
              <w:rPr>
                <w:rFonts w:ascii="Cambria Math" w:hAnsi="Cambria Math" w:cs="Arial"/>
                <w:i/>
                <w:sz w:val="20"/>
                <w:szCs w:val="20"/>
              </w:rPr>
            </m:ctrlPr>
          </m:sSupPr>
          <m:e>
            <m:r>
              <w:rPr>
                <w:rFonts w:ascii="Cambria Math" w:hAnsi="Cambria Math" w:cs="Arial"/>
                <w:sz w:val="20"/>
                <w:szCs w:val="20"/>
              </w:rPr>
              <m:t>)</m:t>
            </m:r>
          </m:e>
          <m:sup>
            <m:r>
              <w:rPr>
                <w:rFonts w:ascii="Cambria Math" w:hAnsi="Cambria Math" w:cs="Arial"/>
                <w:sz w:val="20"/>
                <w:szCs w:val="20"/>
              </w:rPr>
              <m:t>2</m:t>
            </m:r>
          </m:sup>
        </m:sSup>
      </m:oMath>
      <w:r w:rsidR="00B2432F" w:rsidRPr="00B2432F">
        <w:rPr>
          <w:rFonts w:ascii="Arial" w:hAnsi="Arial" w:cs="Arial"/>
          <w:sz w:val="20"/>
          <w:szCs w:val="20"/>
        </w:rPr>
        <w:t xml:space="preserve"> (</w:t>
      </w:r>
      <w:r w:rsidR="00CE61D5">
        <w:rPr>
          <w:rFonts w:ascii="Arial" w:hAnsi="Arial" w:cs="Arial"/>
          <w:sz w:val="20"/>
          <w:szCs w:val="20"/>
        </w:rPr>
        <w:t>Equation S</w:t>
      </w:r>
      <w:r w:rsidR="00B2432F" w:rsidRPr="00B2432F">
        <w:rPr>
          <w:rFonts w:ascii="Arial" w:hAnsi="Arial" w:cs="Arial"/>
          <w:sz w:val="20"/>
          <w:szCs w:val="20"/>
        </w:rPr>
        <w:t>6)</w:t>
      </w:r>
    </w:p>
    <w:p w14:paraId="2B29D443" w14:textId="11EDAB0E" w:rsidR="00B2432F" w:rsidRPr="00B2432F" w:rsidRDefault="00B2432F" w:rsidP="00FE6F3C">
      <w:pPr>
        <w:spacing w:line="480" w:lineRule="auto"/>
        <w:ind w:firstLine="720"/>
        <w:jc w:val="both"/>
        <w:rPr>
          <w:rFonts w:ascii="Arial" w:hAnsi="Arial" w:cs="Arial"/>
          <w:bCs/>
          <w:i/>
          <w:iCs/>
          <w:sz w:val="20"/>
          <w:szCs w:val="20"/>
        </w:rPr>
      </w:pPr>
      <w:r w:rsidRPr="00B2432F">
        <w:rPr>
          <w:rFonts w:ascii="Arial" w:hAnsi="Arial" w:cs="Arial"/>
          <w:iCs/>
          <w:sz w:val="20"/>
          <w:szCs w:val="20"/>
          <w:lang w:val="en-IN"/>
        </w:rPr>
        <w:t>Equation S7 demonstrates the resonant frequency is dependent on the geometrical dimensions of the cantilever: width (</w:t>
      </w:r>
      <w:r w:rsidRPr="00CE61D5">
        <w:rPr>
          <w:rFonts w:ascii="Arial" w:hAnsi="Arial" w:cs="Arial"/>
          <w:i/>
          <w:sz w:val="20"/>
          <w:szCs w:val="20"/>
          <w:lang w:val="en-IN"/>
        </w:rPr>
        <w:t>w</w:t>
      </w:r>
      <w:r w:rsidRPr="00B2432F">
        <w:rPr>
          <w:rFonts w:ascii="Arial" w:hAnsi="Arial" w:cs="Arial"/>
          <w:iCs/>
          <w:sz w:val="20"/>
          <w:szCs w:val="20"/>
          <w:lang w:val="en-IN"/>
        </w:rPr>
        <w:t>), length (</w:t>
      </w:r>
      <w:r w:rsidRPr="00CE61D5">
        <w:rPr>
          <w:rFonts w:ascii="Arial" w:hAnsi="Arial" w:cs="Arial"/>
          <w:i/>
          <w:sz w:val="20"/>
          <w:szCs w:val="20"/>
          <w:lang w:val="en-IN"/>
        </w:rPr>
        <w:t>L</w:t>
      </w:r>
      <w:r w:rsidRPr="00B2432F">
        <w:rPr>
          <w:rFonts w:ascii="Arial" w:hAnsi="Arial" w:cs="Arial"/>
          <w:iCs/>
          <w:sz w:val="20"/>
          <w:szCs w:val="20"/>
          <w:lang w:val="en-IN"/>
        </w:rPr>
        <w:t xml:space="preserve">), and thickness </w:t>
      </w:r>
      <m:oMath>
        <m:d>
          <m:dPr>
            <m:ctrlPr>
              <w:rPr>
                <w:rFonts w:ascii="Cambria Math" w:hAnsi="Cambria Math" w:cs="Arial"/>
                <w:iCs/>
                <w:sz w:val="20"/>
                <w:szCs w:val="20"/>
                <w:lang w:val="en-IN"/>
              </w:rPr>
            </m:ctrlPr>
          </m:dPr>
          <m:e>
            <m:sSub>
              <m:sSubPr>
                <m:ctrlPr>
                  <w:rPr>
                    <w:rFonts w:ascii="Cambria Math" w:hAnsi="Cambria Math" w:cs="Arial"/>
                    <w:iCs/>
                    <w:sz w:val="20"/>
                    <w:szCs w:val="20"/>
                    <w:lang w:val="en-IN"/>
                  </w:rPr>
                </m:ctrlPr>
              </m:sSubPr>
              <m:e>
                <m:r>
                  <w:rPr>
                    <w:rFonts w:ascii="Cambria Math" w:hAnsi="Cambria Math" w:cs="Arial"/>
                    <w:sz w:val="20"/>
                    <w:szCs w:val="20"/>
                    <w:lang w:val="en-IN"/>
                  </w:rPr>
                  <m:t>t</m:t>
                </m:r>
              </m:e>
              <m:sub>
                <m:r>
                  <w:rPr>
                    <w:rFonts w:ascii="Cambria Math" w:hAnsi="Cambria Math" w:cs="Arial"/>
                    <w:sz w:val="20"/>
                    <w:szCs w:val="20"/>
                    <w:lang w:val="en-IN"/>
                  </w:rPr>
                  <m:t>x</m:t>
                </m:r>
              </m:sub>
            </m:sSub>
          </m:e>
        </m:d>
        <m:r>
          <w:rPr>
            <w:rFonts w:ascii="Cambria Math" w:hAnsi="Cambria Math" w:cs="Arial"/>
            <w:sz w:val="20"/>
            <w:szCs w:val="20"/>
            <w:lang w:val="en-IN"/>
          </w:rPr>
          <m:t xml:space="preserve">, </m:t>
        </m:r>
      </m:oMath>
      <w:r w:rsidRPr="00B2432F">
        <w:rPr>
          <w:rFonts w:ascii="Arial" w:hAnsi="Arial" w:cs="Arial"/>
          <w:iCs/>
          <w:sz w:val="20"/>
          <w:szCs w:val="20"/>
        </w:rPr>
        <w:t xml:space="preserve">as well as the </w:t>
      </w:r>
      <w:r w:rsidRPr="00B2432F">
        <w:rPr>
          <w:rFonts w:ascii="Arial" w:hAnsi="Arial" w:cs="Arial"/>
          <w:iCs/>
          <w:sz w:val="20"/>
          <w:szCs w:val="20"/>
          <w:lang w:val="en-IN"/>
        </w:rPr>
        <w:t>Young’s modulus (</w:t>
      </w:r>
      <w:r w:rsidRPr="00CE61D5">
        <w:rPr>
          <w:rFonts w:ascii="Arial" w:hAnsi="Arial" w:cs="Arial"/>
          <w:i/>
          <w:sz w:val="20"/>
          <w:szCs w:val="20"/>
          <w:lang w:val="en-IN"/>
        </w:rPr>
        <w:t>E</w:t>
      </w:r>
      <w:r w:rsidRPr="00CE61D5">
        <w:rPr>
          <w:rFonts w:ascii="Arial" w:hAnsi="Arial" w:cs="Arial"/>
          <w:i/>
          <w:sz w:val="20"/>
          <w:szCs w:val="20"/>
          <w:vertAlign w:val="subscript"/>
          <w:lang w:val="en-IN"/>
        </w:rPr>
        <w:t>X</w:t>
      </w:r>
      <w:r w:rsidRPr="00B2432F">
        <w:rPr>
          <w:rFonts w:ascii="Arial" w:hAnsi="Arial" w:cs="Arial"/>
          <w:iCs/>
          <w:sz w:val="20"/>
          <w:szCs w:val="20"/>
          <w:lang w:val="en-IN"/>
        </w:rPr>
        <w:t xml:space="preserve">), density </w:t>
      </w:r>
      <m:oMath>
        <m:d>
          <m:dPr>
            <m:ctrlPr>
              <w:rPr>
                <w:rFonts w:ascii="Cambria Math" w:hAnsi="Cambria Math" w:cs="Arial"/>
                <w:iCs/>
                <w:sz w:val="20"/>
                <w:szCs w:val="20"/>
                <w:lang w:val="en-IN"/>
              </w:rPr>
            </m:ctrlPr>
          </m:dPr>
          <m:e>
            <m:sSub>
              <m:sSubPr>
                <m:ctrlPr>
                  <w:rPr>
                    <w:rFonts w:ascii="Cambria Math" w:hAnsi="Cambria Math" w:cs="Arial"/>
                    <w:iCs/>
                    <w:sz w:val="20"/>
                    <w:szCs w:val="20"/>
                    <w:lang w:val="en-IN"/>
                  </w:rPr>
                </m:ctrlPr>
              </m:sSubPr>
              <m:e>
                <m:r>
                  <w:rPr>
                    <w:rFonts w:ascii="Cambria Math" w:hAnsi="Cambria Math" w:cs="Arial"/>
                    <w:sz w:val="20"/>
                    <w:szCs w:val="20"/>
                    <w:lang w:val="en-IN"/>
                  </w:rPr>
                  <m:t>ρ</m:t>
                </m:r>
              </m:e>
              <m:sub>
                <m:r>
                  <w:rPr>
                    <w:rFonts w:ascii="Cambria Math" w:hAnsi="Cambria Math" w:cs="Arial"/>
                    <w:sz w:val="20"/>
                    <w:szCs w:val="20"/>
                    <w:lang w:val="en-IN"/>
                  </w:rPr>
                  <m:t>x</m:t>
                </m:r>
              </m:sub>
            </m:sSub>
          </m:e>
        </m:d>
      </m:oMath>
      <w:r w:rsidRPr="00B2432F">
        <w:rPr>
          <w:rFonts w:ascii="Arial" w:hAnsi="Arial" w:cs="Arial"/>
          <w:iCs/>
          <w:sz w:val="20"/>
          <w:szCs w:val="20"/>
          <w:lang w:val="en-IN"/>
        </w:rPr>
        <w:t>, moment of inertia (</w:t>
      </w:r>
      <w:r w:rsidRPr="00CE61D5">
        <w:rPr>
          <w:rFonts w:ascii="Arial" w:hAnsi="Arial" w:cs="Arial"/>
          <w:i/>
          <w:sz w:val="20"/>
          <w:szCs w:val="20"/>
          <w:lang w:val="en-IN"/>
        </w:rPr>
        <w:t>I</w:t>
      </w:r>
      <w:r w:rsidRPr="00CE61D5">
        <w:rPr>
          <w:rFonts w:ascii="Arial" w:hAnsi="Arial" w:cs="Arial"/>
          <w:i/>
          <w:sz w:val="20"/>
          <w:szCs w:val="20"/>
          <w:vertAlign w:val="subscript"/>
          <w:lang w:val="en-IN"/>
        </w:rPr>
        <w:t>x</w:t>
      </w:r>
      <w:r w:rsidRPr="00B2432F">
        <w:rPr>
          <w:rFonts w:ascii="Arial" w:hAnsi="Arial" w:cs="Arial"/>
          <w:iCs/>
          <w:sz w:val="20"/>
          <w:szCs w:val="20"/>
          <w:lang w:val="en-IN"/>
        </w:rPr>
        <w:t>), and in-plane surface area (</w:t>
      </w:r>
      <w:proofErr w:type="spellStart"/>
      <w:r w:rsidRPr="00CE61D5">
        <w:rPr>
          <w:rFonts w:ascii="Arial" w:hAnsi="Arial" w:cs="Arial"/>
          <w:i/>
          <w:sz w:val="20"/>
          <w:szCs w:val="20"/>
          <w:lang w:val="en-IN"/>
        </w:rPr>
        <w:t>A</w:t>
      </w:r>
      <w:r w:rsidRPr="00CE61D5">
        <w:rPr>
          <w:rFonts w:ascii="Arial" w:hAnsi="Arial" w:cs="Arial"/>
          <w:i/>
          <w:sz w:val="20"/>
          <w:szCs w:val="20"/>
          <w:vertAlign w:val="subscript"/>
          <w:lang w:val="en-IN"/>
        </w:rPr>
        <w:t>x</w:t>
      </w:r>
      <w:proofErr w:type="spellEnd"/>
      <w:r w:rsidRPr="00B2432F">
        <w:rPr>
          <w:rFonts w:ascii="Arial" w:hAnsi="Arial" w:cs="Arial"/>
          <w:iCs/>
          <w:sz w:val="20"/>
          <w:szCs w:val="20"/>
          <w:lang w:val="en-IN"/>
        </w:rPr>
        <w:t>) of each material layer (</w:t>
      </w:r>
      <m:oMath>
        <m:r>
          <w:rPr>
            <w:rFonts w:ascii="Cambria Math" w:hAnsi="Cambria Math" w:cs="Arial"/>
            <w:sz w:val="20"/>
            <w:szCs w:val="20"/>
            <w:lang w:val="en-IN"/>
          </w:rPr>
          <m:t>x</m:t>
        </m:r>
      </m:oMath>
      <w:r w:rsidRPr="00B2432F">
        <w:rPr>
          <w:rFonts w:ascii="Arial" w:hAnsi="Arial" w:cs="Arial"/>
          <w:iCs/>
          <w:sz w:val="20"/>
          <w:szCs w:val="20"/>
          <w:lang w:val="en-IN"/>
        </w:rPr>
        <w:t xml:space="preserve"> = ME, NiTi, Si or 1, 2, 3</w:t>
      </w:r>
      <w:r w:rsidRPr="00B2432F">
        <w:rPr>
          <w:rFonts w:ascii="Arial" w:hAnsi="Arial" w:cs="Arial"/>
          <w:i/>
          <w:sz w:val="20"/>
          <w:szCs w:val="20"/>
          <w:lang w:val="en-IN"/>
        </w:rPr>
        <w:t>).</w:t>
      </w:r>
      <w:r w:rsidRPr="00B2432F">
        <w:rPr>
          <w:rFonts w:ascii="Arial" w:hAnsi="Arial" w:cs="Arial"/>
          <w:bCs/>
          <w:i/>
          <w:sz w:val="20"/>
          <w:szCs w:val="20"/>
          <w:lang w:val="en-IN"/>
        </w:rPr>
        <w:t xml:space="preserve"> </w:t>
      </w:r>
      <w:r w:rsidRPr="00B2432F">
        <w:rPr>
          <w:rFonts w:ascii="Arial" w:hAnsi="Arial" w:cs="Arial"/>
          <w:bCs/>
          <w:iCs/>
          <w:sz w:val="20"/>
          <w:szCs w:val="20"/>
        </w:rPr>
        <w:t xml:space="preserve">Here </w:t>
      </w:r>
      <w:r w:rsidRPr="000B51E7">
        <w:rPr>
          <w:rFonts w:ascii="Arial" w:hAnsi="Arial" w:cs="Arial"/>
          <w:bCs/>
          <w:i/>
          <w:sz w:val="20"/>
          <w:szCs w:val="20"/>
        </w:rPr>
        <w:t>A</w:t>
      </w:r>
      <w:r w:rsidRPr="00B2432F">
        <w:rPr>
          <w:rFonts w:ascii="Arial" w:hAnsi="Arial" w:cs="Arial"/>
          <w:bCs/>
          <w:iCs/>
          <w:sz w:val="20"/>
          <w:szCs w:val="20"/>
        </w:rPr>
        <w:t xml:space="preserve"> is the in-plane surface area: </w:t>
      </w:r>
      <m:oMath>
        <m:sSub>
          <m:sSubPr>
            <m:ctrlPr>
              <w:rPr>
                <w:rFonts w:ascii="Cambria Math" w:hAnsi="Cambria Math" w:cs="Arial"/>
                <w:bCs/>
                <w:iCs/>
                <w:sz w:val="20"/>
                <w:szCs w:val="20"/>
              </w:rPr>
            </m:ctrlPr>
          </m:sSubPr>
          <m:e>
            <m:r>
              <w:rPr>
                <w:rFonts w:ascii="Cambria Math" w:hAnsi="Cambria Math" w:cs="Arial"/>
                <w:sz w:val="20"/>
                <w:szCs w:val="20"/>
              </w:rPr>
              <m:t>A</m:t>
            </m:r>
          </m:e>
          <m:sub>
            <m:r>
              <w:rPr>
                <w:rFonts w:ascii="Cambria Math" w:hAnsi="Cambria Math" w:cs="Arial"/>
                <w:sz w:val="20"/>
                <w:szCs w:val="20"/>
              </w:rPr>
              <m:t>x</m:t>
            </m:r>
          </m:sub>
        </m:sSub>
        <m:r>
          <w:rPr>
            <w:rFonts w:ascii="Cambria Math" w:hAnsi="Cambria Math" w:cs="Arial"/>
            <w:sz w:val="20"/>
            <w:szCs w:val="20"/>
          </w:rPr>
          <m:t>=w*</m:t>
        </m:r>
        <m:sSub>
          <m:sSubPr>
            <m:ctrlPr>
              <w:rPr>
                <w:rFonts w:ascii="Cambria Math" w:hAnsi="Cambria Math" w:cs="Arial"/>
                <w:bCs/>
                <w:iCs/>
                <w:sz w:val="20"/>
                <w:szCs w:val="20"/>
              </w:rPr>
            </m:ctrlPr>
          </m:sSubPr>
          <m:e>
            <m:r>
              <w:rPr>
                <w:rFonts w:ascii="Cambria Math" w:hAnsi="Cambria Math" w:cs="Arial"/>
                <w:sz w:val="20"/>
                <w:szCs w:val="20"/>
              </w:rPr>
              <m:t>t</m:t>
            </m:r>
          </m:e>
          <m:sub>
            <m:r>
              <w:rPr>
                <w:rFonts w:ascii="Cambria Math" w:hAnsi="Cambria Math" w:cs="Arial"/>
                <w:sz w:val="20"/>
                <w:szCs w:val="20"/>
              </w:rPr>
              <m:t>x</m:t>
            </m:r>
          </m:sub>
        </m:sSub>
        <m:r>
          <w:rPr>
            <w:rFonts w:ascii="Cambria Math" w:hAnsi="Cambria Math" w:cs="Arial"/>
            <w:sz w:val="20"/>
            <w:szCs w:val="20"/>
          </w:rPr>
          <m:t xml:space="preserve"> </m:t>
        </m:r>
      </m:oMath>
      <w:r w:rsidRPr="00B2432F">
        <w:rPr>
          <w:rFonts w:ascii="Arial" w:hAnsi="Arial" w:cs="Arial"/>
          <w:bCs/>
          <w:iCs/>
          <w:sz w:val="20"/>
          <w:szCs w:val="20"/>
        </w:rPr>
        <w:t xml:space="preserve">(i.e short axis cross section) of the cantilever. </w:t>
      </w:r>
      <w:r w:rsidRPr="00B2432F">
        <w:rPr>
          <w:rFonts w:ascii="Arial" w:hAnsi="Arial" w:cs="Arial"/>
          <w:sz w:val="20"/>
          <w:szCs w:val="20"/>
          <w:lang w:val="en-IN"/>
        </w:rPr>
        <w:t>λ is an integration constant determined by the boundary conditions (</w:t>
      </w:r>
      <w:r w:rsidRPr="00CE61D5">
        <w:rPr>
          <w:rFonts w:ascii="Arial" w:hAnsi="Arial" w:cs="Arial"/>
          <w:i/>
          <w:iCs/>
          <w:sz w:val="20"/>
          <w:szCs w:val="20"/>
          <w:lang w:val="en-IN"/>
        </w:rPr>
        <w:t xml:space="preserve">λ </w:t>
      </w:r>
      <w:r w:rsidRPr="00B2432F">
        <w:rPr>
          <w:rFonts w:ascii="Arial" w:hAnsi="Arial" w:cs="Arial"/>
          <w:sz w:val="20"/>
          <w:szCs w:val="20"/>
          <w:lang w:val="en-IN"/>
        </w:rPr>
        <w:t>= 1.875)</w:t>
      </w:r>
      <w:r w:rsidRPr="00B2432F">
        <w:rPr>
          <w:rFonts w:ascii="Arial" w:hAnsi="Arial" w:cs="Arial"/>
          <w:bCs/>
          <w:iCs/>
          <w:sz w:val="20"/>
          <w:szCs w:val="20"/>
          <w:lang w:val="en-IN"/>
        </w:rPr>
        <w:t xml:space="preserve"> </w:t>
      </w:r>
      <w:r w:rsidRPr="00B2432F">
        <w:rPr>
          <w:rFonts w:ascii="Arial" w:hAnsi="Arial" w:cs="Arial"/>
          <w:sz w:val="20"/>
          <w:szCs w:val="20"/>
          <w:lang w:val="en-IN"/>
        </w:rPr>
        <w:t>for the first bending mode of a cantilever beam.</w:t>
      </w:r>
      <w:r w:rsidRPr="00B2432F">
        <w:rPr>
          <w:rFonts w:ascii="Arial" w:hAnsi="Arial" w:cs="Arial"/>
          <w:sz w:val="20"/>
          <w:szCs w:val="20"/>
          <w:lang w:val="en-IN"/>
        </w:rPr>
        <w:fldChar w:fldCharType="begin" w:fldLock="1"/>
      </w:r>
      <w:r>
        <w:rPr>
          <w:rFonts w:ascii="Arial" w:hAnsi="Arial" w:cs="Arial"/>
          <w:sz w:val="20"/>
          <w:szCs w:val="20"/>
          <w:lang w:val="en-IN"/>
        </w:rPr>
        <w:instrText>ADDIN CSL_CITATION {"citationItems":[{"id":"ITEM-1","itemData":{"author":[{"dropping-particle":"","family":"Zhao","given":"Peng","non-dropping-particle":"","parse-names":false,"suffix":""},{"dropping-particle":"","family":"Zhao","given":"Zhenli","non-dropping-particle":"","parse-names":false,"suffix":""},{"dropping-particle":"","family":"Hunter","given":"Dwight","non-dropping-particle":"","parse-names":false,"suffix":""},{"dropping-particle":"","family":"Suchoski","given":"Richard","non-dropping-particle":"","parse-names":false,"suffix":""},{"dropping-particle":"","family":"Gao","given":"Chen","non-dropping-particle":"","parse-names":false,"suffix":""},{"dropping-particle":"","family":"Mathews","given":"Scott","non-dropping-particle":"","parse-names":false,"suffix":""},{"dropping-particle":"","family":"Wuttig","given":"Manfred","non-dropping-particle":"","parse-names":false,"suffix":""},{"dropping-particle":"","family":"Takeuchi","given":"Ichiro","non-dropping-particle":"","parse-names":false,"suffix":""}],"container-title":"Applied Physics Letters","id":"ITEM-1","issue":"24","issued":{"date-parts":[["2009"]]},"page":"243507","publisher":"AIP","title":"Fabrication and characterization of all-thin-film magnetoelectric sensors","type":"article-journal","volume":"94"},"uris":["http://www.mendeley.com/documents/?uuid=78956459-e316-4dab-98e2-2808de513ad6"]}],"mendeley":{"formattedCitation":"&lt;sup&gt;4&lt;/sup&gt;","plainTextFormattedCitation":"4","previouslyFormattedCitation":"&lt;sup&gt;4&lt;/sup&gt;"},"properties":{"noteIndex":0},"schema":"https://github.com/citation-style-language/schema/raw/master/csl-citation.json"}</w:instrText>
      </w:r>
      <w:r w:rsidRPr="00B2432F">
        <w:rPr>
          <w:rFonts w:ascii="Arial" w:hAnsi="Arial" w:cs="Arial"/>
          <w:sz w:val="20"/>
          <w:szCs w:val="20"/>
          <w:lang w:val="en-IN"/>
        </w:rPr>
        <w:fldChar w:fldCharType="separate"/>
      </w:r>
      <w:r w:rsidRPr="00B2432F">
        <w:rPr>
          <w:rFonts w:ascii="Arial" w:hAnsi="Arial" w:cs="Arial"/>
          <w:noProof/>
          <w:sz w:val="20"/>
          <w:szCs w:val="20"/>
          <w:vertAlign w:val="superscript"/>
          <w:lang w:val="en-IN"/>
        </w:rPr>
        <w:t>4</w:t>
      </w:r>
      <w:r w:rsidRPr="00B2432F">
        <w:rPr>
          <w:rFonts w:ascii="Arial" w:hAnsi="Arial" w:cs="Arial"/>
          <w:sz w:val="20"/>
          <w:szCs w:val="20"/>
        </w:rPr>
        <w:fldChar w:fldCharType="end"/>
      </w:r>
      <w:r w:rsidRPr="00B2432F">
        <w:rPr>
          <w:rFonts w:ascii="Arial" w:hAnsi="Arial" w:cs="Arial"/>
          <w:sz w:val="20"/>
          <w:szCs w:val="20"/>
          <w:lang w:val="en-IN"/>
        </w:rPr>
        <w:t xml:space="preserve"> </w:t>
      </w:r>
      <w:r w:rsidRPr="00B2432F">
        <w:rPr>
          <w:rFonts w:ascii="Arial" w:hAnsi="Arial" w:cs="Arial"/>
          <w:bCs/>
          <w:iCs/>
          <w:sz w:val="20"/>
          <w:szCs w:val="20"/>
        </w:rPr>
        <w:t xml:space="preserve"> </w:t>
      </w:r>
      <w:r w:rsidR="004E5ED3">
        <w:rPr>
          <w:rFonts w:ascii="Arial" w:hAnsi="Arial" w:cs="Arial"/>
          <w:sz w:val="20"/>
          <w:szCs w:val="20"/>
        </w:rPr>
        <w:t>T</w:t>
      </w:r>
      <w:r w:rsidR="004E5ED3" w:rsidRPr="00B2432F">
        <w:rPr>
          <w:rFonts w:ascii="Arial" w:hAnsi="Arial" w:cs="Arial"/>
          <w:sz w:val="20"/>
          <w:szCs w:val="20"/>
        </w:rPr>
        <w:t>he same cantilever geometry (</w:t>
      </w:r>
      <w:r w:rsidR="004E5ED3">
        <w:rPr>
          <w:rFonts w:ascii="Arial" w:hAnsi="Arial" w:cs="Arial"/>
          <w:sz w:val="20"/>
          <w:szCs w:val="20"/>
        </w:rPr>
        <w:t xml:space="preserve">w = </w:t>
      </w:r>
      <w:r w:rsidR="004E5ED3" w:rsidRPr="00B2432F">
        <w:rPr>
          <w:rFonts w:ascii="Arial" w:hAnsi="Arial" w:cs="Arial"/>
          <w:sz w:val="20"/>
          <w:szCs w:val="20"/>
        </w:rPr>
        <w:t xml:space="preserve">2.5 mm x </w:t>
      </w:r>
      <w:r w:rsidR="004E5ED3">
        <w:rPr>
          <w:rFonts w:ascii="Arial" w:hAnsi="Arial" w:cs="Arial"/>
          <w:sz w:val="20"/>
          <w:szCs w:val="20"/>
        </w:rPr>
        <w:t xml:space="preserve">L = </w:t>
      </w:r>
      <w:r w:rsidR="004E5ED3" w:rsidRPr="00B2432F">
        <w:rPr>
          <w:rFonts w:ascii="Arial" w:hAnsi="Arial" w:cs="Arial"/>
          <w:sz w:val="20"/>
          <w:szCs w:val="20"/>
        </w:rPr>
        <w:t>25 mm</w:t>
      </w:r>
      <w:r w:rsidR="00715EDA">
        <w:rPr>
          <w:rFonts w:ascii="Arial" w:hAnsi="Arial" w:cs="Arial"/>
          <w:sz w:val="20"/>
          <w:szCs w:val="20"/>
        </w:rPr>
        <w:t xml:space="preserve">) is </w:t>
      </w:r>
      <w:r w:rsidR="004E5ED3">
        <w:rPr>
          <w:rFonts w:ascii="Arial" w:hAnsi="Arial" w:cs="Arial"/>
          <w:sz w:val="20"/>
          <w:szCs w:val="20"/>
        </w:rPr>
        <w:t>held consistent in all calculations.</w:t>
      </w:r>
    </w:p>
    <w:p w14:paraId="7EC0C555" w14:textId="77777777" w:rsidR="00B2432F" w:rsidRPr="00B2432F" w:rsidRDefault="00B2432F" w:rsidP="00841634">
      <w:pPr>
        <w:spacing w:line="480" w:lineRule="auto"/>
        <w:rPr>
          <w:rFonts w:ascii="Arial" w:hAnsi="Arial" w:cs="Arial"/>
          <w:sz w:val="20"/>
          <w:szCs w:val="20"/>
          <w:lang w:val="en-IN"/>
        </w:rPr>
      </w:pPr>
    </w:p>
    <w:bookmarkStart w:id="6" w:name="_Hlk27840314"/>
    <w:p w14:paraId="445F5A85" w14:textId="6FB05949" w:rsidR="00B2432F" w:rsidRPr="00B2432F"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r</m:t>
            </m:r>
          </m:sub>
        </m:sSub>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2π</m:t>
            </m:r>
          </m:den>
        </m:f>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den>
        </m:f>
        <m:r>
          <w:rPr>
            <w:rFonts w:ascii="Cambria Math" w:hAnsi="Cambria Math" w:cs="Arial"/>
            <w:sz w:val="20"/>
            <w:szCs w:val="20"/>
          </w:rPr>
          <m:t>*</m:t>
        </m:r>
        <m:rad>
          <m:radPr>
            <m:degHide m:val="1"/>
            <m:ctrlPr>
              <w:rPr>
                <w:rFonts w:ascii="Cambria Math" w:hAnsi="Cambria Math" w:cs="Arial"/>
                <w:i/>
                <w:sz w:val="20"/>
                <w:szCs w:val="20"/>
              </w:rPr>
            </m:ctrlPr>
          </m:radPr>
          <m:deg/>
          <m:e>
            <m:f>
              <m:fPr>
                <m:ctrlPr>
                  <w:rPr>
                    <w:rFonts w:ascii="Cambria Math" w:hAnsi="Cambria Math" w:cs="Arial"/>
                    <w:i/>
                    <w:sz w:val="20"/>
                    <w:szCs w:val="20"/>
                  </w:rPr>
                </m:ctrlPr>
              </m:fPr>
              <m:num>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1</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1</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2</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2</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3</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3</m:t>
                        </m:r>
                      </m:sub>
                    </m:sSub>
                  </m:e>
                </m:d>
              </m:num>
              <m:den>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1</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1</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2</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2</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3</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3</m:t>
                        </m:r>
                      </m:sub>
                    </m:sSub>
                  </m:e>
                </m:d>
              </m:den>
            </m:f>
          </m:e>
        </m:rad>
        <w:bookmarkEnd w:id="6"/>
        <m:r>
          <w:rPr>
            <w:rFonts w:ascii="Cambria Math" w:hAnsi="Cambria Math" w:cs="Arial"/>
            <w:sz w:val="20"/>
            <w:szCs w:val="20"/>
          </w:rPr>
          <m:t xml:space="preserve">= </m:t>
        </m:r>
        <w:bookmarkStart w:id="7" w:name="_Hlk28077451"/>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2π</m:t>
            </m:r>
          </m:den>
        </m:f>
        <m:r>
          <w:rPr>
            <w:rFonts w:ascii="Cambria Math" w:hAnsi="Cambria Math" w:cs="Arial"/>
            <w:sz w:val="20"/>
            <w:szCs w:val="20"/>
          </w:rPr>
          <m:t>*</m:t>
        </m:r>
        <m:f>
          <m:fPr>
            <m:ctrlPr>
              <w:rPr>
                <w:rFonts w:ascii="Cambria Math" w:hAnsi="Cambria Math" w:cs="Arial"/>
                <w:i/>
                <w:sz w:val="20"/>
                <w:szCs w:val="20"/>
              </w:rPr>
            </m:ctrlPr>
          </m:fPr>
          <m:num>
            <m:sSup>
              <m:sSupPr>
                <m:ctrlPr>
                  <w:rPr>
                    <w:rFonts w:ascii="Cambria Math" w:hAnsi="Cambria Math" w:cs="Arial"/>
                    <w:i/>
                    <w:sz w:val="20"/>
                    <w:szCs w:val="20"/>
                  </w:rPr>
                </m:ctrlPr>
              </m:sSupPr>
              <m:e>
                <m:r>
                  <w:rPr>
                    <w:rFonts w:ascii="Cambria Math" w:hAnsi="Cambria Math" w:cs="Arial"/>
                    <w:sz w:val="20"/>
                    <w:szCs w:val="20"/>
                  </w:rPr>
                  <m:t>λ</m:t>
                </m:r>
              </m:e>
              <m:sup>
                <m:r>
                  <w:rPr>
                    <w:rFonts w:ascii="Cambria Math" w:hAnsi="Cambria Math" w:cs="Arial"/>
                    <w:sz w:val="20"/>
                    <w:szCs w:val="20"/>
                  </w:rPr>
                  <m:t>2</m:t>
                </m:r>
              </m:sup>
            </m:sSup>
          </m:num>
          <m:den>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2</m:t>
                </m:r>
              </m:sup>
            </m:sSup>
          </m:den>
        </m:f>
        <m:r>
          <w:rPr>
            <w:rFonts w:ascii="Cambria Math" w:hAnsi="Cambria Math" w:cs="Arial"/>
            <w:sz w:val="20"/>
            <w:szCs w:val="20"/>
          </w:rPr>
          <m:t>*</m:t>
        </m:r>
        <m:rad>
          <m:radPr>
            <m:degHide m:val="1"/>
            <m:ctrlPr>
              <w:rPr>
                <w:rFonts w:ascii="Cambria Math" w:hAnsi="Cambria Math" w:cs="Arial"/>
                <w:i/>
                <w:sz w:val="20"/>
                <w:szCs w:val="20"/>
              </w:rPr>
            </m:ctrlPr>
          </m:radPr>
          <m:deg/>
          <m:e>
            <m:f>
              <m:fPr>
                <m:ctrlPr>
                  <w:rPr>
                    <w:rFonts w:ascii="Cambria Math" w:hAnsi="Cambria Math" w:cs="Arial"/>
                    <w:i/>
                    <w:sz w:val="20"/>
                    <w:szCs w:val="20"/>
                  </w:rPr>
                </m:ctrlPr>
              </m:fPr>
              <m:num>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ME</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ME</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NiTi</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NiTi</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E</m:t>
                        </m:r>
                      </m:e>
                      <m:sub>
                        <m:r>
                          <w:rPr>
                            <w:rFonts w:ascii="Cambria Math" w:hAnsi="Cambria Math" w:cs="Arial"/>
                            <w:sz w:val="20"/>
                            <w:szCs w:val="20"/>
                          </w:rPr>
                          <m:t>Si</m:t>
                        </m:r>
                      </m:sub>
                    </m:sSub>
                    <m:sSub>
                      <m:sSubPr>
                        <m:ctrlPr>
                          <w:rPr>
                            <w:rFonts w:ascii="Cambria Math" w:hAnsi="Cambria Math" w:cs="Arial"/>
                            <w:i/>
                            <w:sz w:val="20"/>
                            <w:szCs w:val="20"/>
                          </w:rPr>
                        </m:ctrlPr>
                      </m:sSubPr>
                      <m:e>
                        <m:r>
                          <w:rPr>
                            <w:rFonts w:ascii="Cambria Math" w:hAnsi="Cambria Math" w:cs="Arial"/>
                            <w:sz w:val="20"/>
                            <w:szCs w:val="20"/>
                          </w:rPr>
                          <m:t>I</m:t>
                        </m:r>
                      </m:e>
                      <m:sub>
                        <m:r>
                          <w:rPr>
                            <w:rFonts w:ascii="Cambria Math" w:hAnsi="Cambria Math" w:cs="Arial"/>
                            <w:sz w:val="20"/>
                            <w:szCs w:val="20"/>
                          </w:rPr>
                          <m:t>Si</m:t>
                        </m:r>
                      </m:sub>
                    </m:sSub>
                  </m:e>
                </m:d>
              </m:num>
              <m:den>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ME</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ME</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NiTi</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NiTi</m:t>
                        </m:r>
                      </m:sub>
                    </m:sSub>
                  </m:e>
                </m:d>
                <m:r>
                  <w:rPr>
                    <w:rFonts w:ascii="Cambria Math" w:hAnsi="Cambria Math" w:cs="Arial"/>
                    <w:sz w:val="20"/>
                    <w:szCs w:val="20"/>
                  </w:rPr>
                  <m:t>+</m:t>
                </m:r>
                <m:d>
                  <m:dPr>
                    <m:ctrlPr>
                      <w:rPr>
                        <w:rFonts w:ascii="Cambria Math" w:hAnsi="Cambria Math" w:cs="Arial"/>
                        <w:i/>
                        <w:sz w:val="20"/>
                        <w:szCs w:val="20"/>
                      </w:rPr>
                    </m:ctrlPr>
                  </m:dPr>
                  <m:e>
                    <m:sSub>
                      <m:sSubPr>
                        <m:ctrlPr>
                          <w:rPr>
                            <w:rFonts w:ascii="Cambria Math" w:hAnsi="Cambria Math" w:cs="Arial"/>
                            <w:i/>
                            <w:sz w:val="20"/>
                            <w:szCs w:val="20"/>
                          </w:rPr>
                        </m:ctrlPr>
                      </m:sSubPr>
                      <m:e>
                        <m:r>
                          <w:rPr>
                            <w:rFonts w:ascii="Cambria Math" w:hAnsi="Cambria Math" w:cs="Arial"/>
                            <w:sz w:val="20"/>
                            <w:szCs w:val="20"/>
                          </w:rPr>
                          <m:t>ρ</m:t>
                        </m:r>
                      </m:e>
                      <m:sub>
                        <m:r>
                          <w:rPr>
                            <w:rFonts w:ascii="Cambria Math" w:hAnsi="Cambria Math" w:cs="Arial"/>
                            <w:sz w:val="20"/>
                            <w:szCs w:val="20"/>
                          </w:rPr>
                          <m:t>Si</m:t>
                        </m:r>
                      </m:sub>
                    </m:sSub>
                    <m:sSub>
                      <m:sSubPr>
                        <m:ctrlPr>
                          <w:rPr>
                            <w:rFonts w:ascii="Cambria Math" w:hAnsi="Cambria Math" w:cs="Arial"/>
                            <w:i/>
                            <w:sz w:val="20"/>
                            <w:szCs w:val="20"/>
                          </w:rPr>
                        </m:ctrlPr>
                      </m:sSubPr>
                      <m:e>
                        <m:r>
                          <w:rPr>
                            <w:rFonts w:ascii="Cambria Math" w:hAnsi="Cambria Math" w:cs="Arial"/>
                            <w:sz w:val="20"/>
                            <w:szCs w:val="20"/>
                          </w:rPr>
                          <m:t>A</m:t>
                        </m:r>
                      </m:e>
                      <m:sub>
                        <m:r>
                          <w:rPr>
                            <w:rFonts w:ascii="Cambria Math" w:hAnsi="Cambria Math" w:cs="Arial"/>
                            <w:sz w:val="20"/>
                            <w:szCs w:val="20"/>
                          </w:rPr>
                          <m:t>Si</m:t>
                        </m:r>
                      </m:sub>
                    </m:sSub>
                  </m:e>
                </m:d>
              </m:den>
            </m:f>
          </m:e>
        </m:rad>
      </m:oMath>
      <w:r w:rsidR="00B2432F" w:rsidRPr="00B2432F">
        <w:rPr>
          <w:rFonts w:ascii="Arial" w:hAnsi="Arial" w:cs="Arial"/>
          <w:sz w:val="20"/>
          <w:szCs w:val="20"/>
        </w:rPr>
        <w:t xml:space="preserve">    </w:t>
      </w:r>
      <w:bookmarkEnd w:id="7"/>
      <w:r w:rsidR="00B2432F" w:rsidRPr="00B2432F">
        <w:rPr>
          <w:rFonts w:ascii="Arial" w:hAnsi="Arial" w:cs="Arial"/>
          <w:sz w:val="20"/>
          <w:szCs w:val="20"/>
        </w:rPr>
        <w:t xml:space="preserve">  (7)</w:t>
      </w:r>
    </w:p>
    <w:p w14:paraId="192077E9" w14:textId="61F84AD3" w:rsidR="00B2432F" w:rsidRPr="00B2432F" w:rsidRDefault="00B2432F" w:rsidP="00FE6F3C">
      <w:pPr>
        <w:spacing w:line="480" w:lineRule="auto"/>
        <w:ind w:firstLine="720"/>
        <w:rPr>
          <w:rFonts w:ascii="Arial" w:hAnsi="Arial" w:cs="Arial"/>
          <w:sz w:val="20"/>
          <w:szCs w:val="20"/>
        </w:rPr>
      </w:pPr>
      <w:r w:rsidRPr="00B2432F">
        <w:rPr>
          <w:rFonts w:ascii="Arial" w:hAnsi="Arial" w:cs="Arial"/>
          <w:sz w:val="20"/>
          <w:szCs w:val="20"/>
        </w:rPr>
        <w:t xml:space="preserve">Since it is possible to gradually </w:t>
      </w:r>
      <w:r w:rsidR="00CE61D5">
        <w:rPr>
          <w:rFonts w:ascii="Arial" w:hAnsi="Arial" w:cs="Arial"/>
          <w:sz w:val="20"/>
          <w:szCs w:val="20"/>
        </w:rPr>
        <w:t xml:space="preserve">and reversibly </w:t>
      </w:r>
      <w:r w:rsidRPr="00B2432F">
        <w:rPr>
          <w:rFonts w:ascii="Arial" w:hAnsi="Arial" w:cs="Arial"/>
          <w:sz w:val="20"/>
          <w:szCs w:val="20"/>
        </w:rPr>
        <w:t xml:space="preserve">change the Young’s modulus of </w:t>
      </w:r>
      <w:proofErr w:type="spellStart"/>
      <w:r w:rsidRPr="00B2432F">
        <w:rPr>
          <w:rFonts w:ascii="Arial" w:hAnsi="Arial" w:cs="Arial"/>
          <w:sz w:val="20"/>
          <w:szCs w:val="20"/>
        </w:rPr>
        <w:t>NiTi</w:t>
      </w:r>
      <w:proofErr w:type="spellEnd"/>
      <w:r w:rsidRPr="00B2432F">
        <w:rPr>
          <w:rFonts w:ascii="Arial" w:hAnsi="Arial" w:cs="Arial"/>
          <w:sz w:val="20"/>
          <w:szCs w:val="20"/>
        </w:rPr>
        <w:t xml:space="preserve"> by inducing a partial phase transformation</w:t>
      </w:r>
      <w:r w:rsidR="0086290E">
        <w:rPr>
          <w:rFonts w:ascii="Arial" w:hAnsi="Arial" w:cs="Arial"/>
          <w:sz w:val="20"/>
          <w:szCs w:val="20"/>
        </w:rPr>
        <w:t>,</w:t>
      </w:r>
      <w:r w:rsidRPr="00B2432F">
        <w:rPr>
          <w:rFonts w:ascii="Arial" w:hAnsi="Arial" w:cs="Arial"/>
          <w:sz w:val="20"/>
          <w:szCs w:val="20"/>
        </w:rPr>
        <w:t xml:space="preserve"> a </w:t>
      </w:r>
      <w:r w:rsidR="000B51E7">
        <w:rPr>
          <w:rFonts w:ascii="Arial" w:hAnsi="Arial" w:cs="Arial"/>
          <w:sz w:val="20"/>
          <w:szCs w:val="20"/>
        </w:rPr>
        <w:t xml:space="preserve">gradual </w:t>
      </w:r>
      <w:r w:rsidRPr="00B2432F">
        <w:rPr>
          <w:rFonts w:ascii="Arial" w:hAnsi="Arial" w:cs="Arial"/>
          <w:sz w:val="20"/>
          <w:szCs w:val="20"/>
        </w:rPr>
        <w:t xml:space="preserve">change in the resonant frequency can be obtained. The largest </w:t>
      </w:r>
      <w:proofErr w:type="spellStart"/>
      <w:r w:rsidRPr="00B2432F">
        <w:rPr>
          <w:rFonts w:ascii="Arial" w:hAnsi="Arial" w:cs="Arial"/>
          <w:sz w:val="20"/>
          <w:szCs w:val="20"/>
        </w:rPr>
        <w:t>Δf</w:t>
      </w:r>
      <w:proofErr w:type="spellEnd"/>
      <w:r w:rsidRPr="00B2432F">
        <w:rPr>
          <w:rFonts w:ascii="Arial" w:hAnsi="Arial" w:cs="Arial"/>
          <w:sz w:val="20"/>
          <w:szCs w:val="20"/>
        </w:rPr>
        <w:t xml:space="preserve"> will occur when there is a complete phase transformation from the low-temperature martensite phase (</w:t>
      </w:r>
      <w:proofErr w:type="spellStart"/>
      <w:proofErr w:type="gramStart"/>
      <w:r w:rsidRPr="00B2432F">
        <w:rPr>
          <w:rFonts w:ascii="Arial" w:hAnsi="Arial" w:cs="Arial"/>
          <w:i/>
          <w:iCs/>
          <w:sz w:val="20"/>
          <w:szCs w:val="20"/>
        </w:rPr>
        <w:t>E</w:t>
      </w:r>
      <w:r w:rsidRPr="00B2432F">
        <w:rPr>
          <w:rFonts w:ascii="Arial" w:hAnsi="Arial" w:cs="Arial"/>
          <w:i/>
          <w:iCs/>
          <w:sz w:val="20"/>
          <w:szCs w:val="20"/>
          <w:vertAlign w:val="subscript"/>
        </w:rPr>
        <w:t>NiTi,martensite</w:t>
      </w:r>
      <w:proofErr w:type="spellEnd"/>
      <w:proofErr w:type="gramEnd"/>
      <w:r w:rsidRPr="00B2432F">
        <w:rPr>
          <w:rFonts w:ascii="Arial" w:hAnsi="Arial" w:cs="Arial"/>
          <w:i/>
          <w:iCs/>
          <w:sz w:val="20"/>
          <w:szCs w:val="20"/>
          <w:vertAlign w:val="subscript"/>
        </w:rPr>
        <w:t xml:space="preserve"> </w:t>
      </w:r>
      <w:r w:rsidRPr="00B2432F">
        <w:rPr>
          <w:rFonts w:ascii="Arial" w:hAnsi="Arial" w:cs="Arial"/>
          <w:sz w:val="20"/>
          <w:szCs w:val="20"/>
        </w:rPr>
        <w:t xml:space="preserve">= 41 </w:t>
      </w:r>
      <w:proofErr w:type="spellStart"/>
      <w:r w:rsidRPr="00B2432F">
        <w:rPr>
          <w:rFonts w:ascii="Arial" w:hAnsi="Arial" w:cs="Arial"/>
          <w:sz w:val="20"/>
          <w:szCs w:val="20"/>
        </w:rPr>
        <w:t>GPa</w:t>
      </w:r>
      <w:proofErr w:type="spellEnd"/>
      <w:r w:rsidRPr="00B2432F">
        <w:rPr>
          <w:rFonts w:ascii="Arial" w:hAnsi="Arial" w:cs="Arial"/>
          <w:sz w:val="20"/>
          <w:szCs w:val="20"/>
        </w:rPr>
        <w:t>) to the high-temperature austenite phase (</w:t>
      </w:r>
      <w:proofErr w:type="spellStart"/>
      <w:r w:rsidRPr="00B2432F">
        <w:rPr>
          <w:rFonts w:ascii="Arial" w:hAnsi="Arial" w:cs="Arial"/>
          <w:i/>
          <w:iCs/>
          <w:sz w:val="20"/>
          <w:szCs w:val="20"/>
        </w:rPr>
        <w:t>E</w:t>
      </w:r>
      <w:r w:rsidRPr="00B2432F">
        <w:rPr>
          <w:rFonts w:ascii="Arial" w:hAnsi="Arial" w:cs="Arial"/>
          <w:i/>
          <w:iCs/>
          <w:sz w:val="20"/>
          <w:szCs w:val="20"/>
          <w:vertAlign w:val="subscript"/>
        </w:rPr>
        <w:t>NiTi,austenite</w:t>
      </w:r>
      <w:proofErr w:type="spellEnd"/>
      <w:r w:rsidRPr="00B2432F">
        <w:rPr>
          <w:rFonts w:ascii="Arial" w:hAnsi="Arial" w:cs="Arial"/>
          <w:i/>
          <w:iCs/>
          <w:sz w:val="20"/>
          <w:szCs w:val="20"/>
          <w:vertAlign w:val="subscript"/>
        </w:rPr>
        <w:t xml:space="preserve"> </w:t>
      </w:r>
      <w:r w:rsidRPr="00B2432F">
        <w:rPr>
          <w:rFonts w:ascii="Arial" w:hAnsi="Arial" w:cs="Arial"/>
          <w:sz w:val="20"/>
          <w:szCs w:val="20"/>
        </w:rPr>
        <w:t xml:space="preserve">= 83 </w:t>
      </w:r>
      <w:proofErr w:type="spellStart"/>
      <w:r w:rsidRPr="00B2432F">
        <w:rPr>
          <w:rFonts w:ascii="Arial" w:hAnsi="Arial" w:cs="Arial"/>
          <w:sz w:val="20"/>
          <w:szCs w:val="20"/>
        </w:rPr>
        <w:t>GPa</w:t>
      </w:r>
      <w:proofErr w:type="spellEnd"/>
      <w:r w:rsidRPr="00B2432F">
        <w:rPr>
          <w:rFonts w:ascii="Arial" w:hAnsi="Arial" w:cs="Arial"/>
          <w:sz w:val="20"/>
          <w:szCs w:val="20"/>
        </w:rPr>
        <w:t xml:space="preserve">). Equation S8 demonstrates the expression used to calculate </w:t>
      </w:r>
      <w:r w:rsidR="000B51E7">
        <w:rPr>
          <w:rFonts w:ascii="Arial" w:eastAsiaTheme="minorEastAsia" w:hAnsi="Arial" w:cs="Arial"/>
          <w:sz w:val="20"/>
          <w:szCs w:val="20"/>
        </w:rPr>
        <w:t xml:space="preserve">the maximum </w:t>
      </w:r>
      <m:oMath>
        <m:sSub>
          <m:sSubPr>
            <m:ctrlPr>
              <w:rPr>
                <w:rFonts w:ascii="Cambria Math" w:hAnsi="Cambria Math" w:cs="Arial"/>
                <w:i/>
                <w:sz w:val="20"/>
                <w:szCs w:val="20"/>
              </w:rPr>
            </m:ctrlPr>
          </m:sSubPr>
          <m:e>
            <m:r>
              <w:rPr>
                <w:rFonts w:ascii="Cambria Math" w:hAnsi="Cambria Math" w:cs="Arial"/>
                <w:sz w:val="20"/>
                <w:szCs w:val="20"/>
              </w:rPr>
              <m:t>Δf</m:t>
            </m:r>
          </m:e>
          <m:sub>
            <m:r>
              <w:rPr>
                <w:rFonts w:ascii="Cambria Math" w:hAnsi="Cambria Math" w:cs="Arial"/>
                <w:sz w:val="20"/>
                <w:szCs w:val="20"/>
              </w:rPr>
              <m:t>r.</m:t>
            </m:r>
          </m:sub>
        </m:sSub>
      </m:oMath>
      <w:r w:rsidRPr="00B2432F">
        <w:rPr>
          <w:rFonts w:ascii="Arial" w:hAnsi="Arial" w:cs="Arial"/>
          <w:sz w:val="20"/>
          <w:szCs w:val="20"/>
        </w:rPr>
        <w:t xml:space="preserve">  </w:t>
      </w:r>
    </w:p>
    <w:p w14:paraId="176EBD32" w14:textId="227A00D9" w:rsidR="00125F89" w:rsidRPr="00B42C32" w:rsidRDefault="00015D69" w:rsidP="00841634">
      <w:pPr>
        <w:spacing w:line="480" w:lineRule="auto"/>
        <w:rPr>
          <w:rFonts w:ascii="Arial" w:hAnsi="Arial" w:cs="Arial"/>
          <w:sz w:val="20"/>
          <w:szCs w:val="20"/>
        </w:rPr>
      </w:pPr>
      <m:oMath>
        <m:sSub>
          <m:sSubPr>
            <m:ctrlPr>
              <w:rPr>
                <w:rFonts w:ascii="Cambria Math" w:hAnsi="Cambria Math" w:cs="Arial"/>
                <w:i/>
                <w:sz w:val="20"/>
                <w:szCs w:val="20"/>
              </w:rPr>
            </m:ctrlPr>
          </m:sSubPr>
          <m:e>
            <m:r>
              <w:rPr>
                <w:rFonts w:ascii="Cambria Math" w:hAnsi="Cambria Math" w:cs="Arial"/>
                <w:sz w:val="20"/>
                <w:szCs w:val="20"/>
              </w:rPr>
              <m:t>Δf</m:t>
            </m:r>
          </m:e>
          <m:sub>
            <m:r>
              <w:rPr>
                <w:rFonts w:ascii="Cambria Math" w:hAnsi="Cambria Math" w:cs="Arial"/>
                <w:sz w:val="20"/>
                <w:szCs w:val="20"/>
              </w:rPr>
              <m:t>r</m:t>
            </m:r>
          </m:sub>
        </m:sSub>
        <m:r>
          <w:rPr>
            <w:rFonts w:ascii="Cambria Math" w:hAnsi="Cambria Math" w:cs="Arial"/>
            <w:sz w:val="20"/>
            <w:szCs w:val="20"/>
          </w:rPr>
          <m:t>=</m:t>
        </m:r>
        <m:f>
          <m:fPr>
            <m:ctrlPr>
              <w:rPr>
                <w:rFonts w:ascii="Cambria Math" w:hAnsi="Cambria Math" w:cs="Arial"/>
                <w:i/>
                <w:sz w:val="20"/>
                <w:szCs w:val="20"/>
              </w:rPr>
            </m:ctrlPr>
          </m:fPr>
          <m:num>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r, NiTi_austenite</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r, NiTi_martensite</m:t>
                </m:r>
              </m:sub>
            </m:sSub>
          </m:num>
          <m:den>
            <m:sSub>
              <m:sSubPr>
                <m:ctrlPr>
                  <w:rPr>
                    <w:rFonts w:ascii="Cambria Math" w:hAnsi="Cambria Math" w:cs="Arial"/>
                    <w:i/>
                    <w:sz w:val="20"/>
                    <w:szCs w:val="20"/>
                  </w:rPr>
                </m:ctrlPr>
              </m:sSubPr>
              <m:e>
                <m:r>
                  <w:rPr>
                    <w:rFonts w:ascii="Cambria Math" w:hAnsi="Cambria Math" w:cs="Arial"/>
                    <w:sz w:val="20"/>
                    <w:szCs w:val="20"/>
                  </w:rPr>
                  <m:t>f</m:t>
                </m:r>
              </m:e>
              <m:sub>
                <m:r>
                  <w:rPr>
                    <w:rFonts w:ascii="Cambria Math" w:hAnsi="Cambria Math" w:cs="Arial"/>
                    <w:sz w:val="20"/>
                    <w:szCs w:val="20"/>
                  </w:rPr>
                  <m:t>r, NiTi_martensite</m:t>
                </m:r>
              </m:sub>
            </m:sSub>
          </m:den>
        </m:f>
        <m:r>
          <w:rPr>
            <w:rFonts w:ascii="Cambria Math" w:hAnsi="Cambria Math" w:cs="Arial"/>
            <w:sz w:val="20"/>
            <w:szCs w:val="20"/>
          </w:rPr>
          <m:t>*100%</m:t>
        </m:r>
      </m:oMath>
      <w:r w:rsidR="00B2432F" w:rsidRPr="00B2432F">
        <w:rPr>
          <w:rFonts w:ascii="Arial" w:hAnsi="Arial" w:cs="Arial"/>
          <w:sz w:val="20"/>
          <w:szCs w:val="20"/>
        </w:rPr>
        <w:t xml:space="preserve">   (8)</w:t>
      </w:r>
    </w:p>
    <w:p w14:paraId="2A51E2E4" w14:textId="4CCB00B6" w:rsidR="00B42C32" w:rsidRPr="00B2432F" w:rsidRDefault="00B42C32" w:rsidP="00841634">
      <w:pPr>
        <w:spacing w:line="480" w:lineRule="auto"/>
        <w:jc w:val="both"/>
        <w:rPr>
          <w:rFonts w:ascii="Arial" w:hAnsi="Arial" w:cs="Arial"/>
          <w:b/>
          <w:color w:val="8B2F57"/>
          <w:sz w:val="20"/>
          <w:szCs w:val="20"/>
        </w:rPr>
      </w:pPr>
      <w:r>
        <w:rPr>
          <w:rFonts w:ascii="Arial" w:hAnsi="Arial" w:cs="Arial"/>
          <w:b/>
          <w:color w:val="8B2F57"/>
          <w:sz w:val="20"/>
          <w:szCs w:val="20"/>
        </w:rPr>
        <w:t>B</w:t>
      </w:r>
      <w:r w:rsidRPr="00B2432F">
        <w:rPr>
          <w:rFonts w:ascii="Arial" w:hAnsi="Arial" w:cs="Arial"/>
          <w:b/>
          <w:color w:val="8B2F57"/>
          <w:sz w:val="20"/>
          <w:szCs w:val="20"/>
        </w:rPr>
        <w:t xml:space="preserve">. </w:t>
      </w:r>
      <w:r>
        <w:rPr>
          <w:rFonts w:ascii="Arial" w:hAnsi="Arial" w:cs="Arial"/>
          <w:b/>
          <w:color w:val="8B2F57"/>
          <w:sz w:val="20"/>
          <w:szCs w:val="20"/>
        </w:rPr>
        <w:t>Experimental Verification of the Model</w:t>
      </w:r>
      <w:r w:rsidRPr="00B2432F">
        <w:rPr>
          <w:rFonts w:ascii="Arial" w:hAnsi="Arial" w:cs="Arial"/>
          <w:b/>
          <w:color w:val="8B2F57"/>
          <w:sz w:val="20"/>
          <w:szCs w:val="20"/>
        </w:rPr>
        <w:t>:</w:t>
      </w:r>
    </w:p>
    <w:p w14:paraId="1E3EE403" w14:textId="0F052F41" w:rsidR="00B42C32" w:rsidRPr="00A76351" w:rsidRDefault="00B42C32" w:rsidP="00841634">
      <w:pPr>
        <w:pStyle w:val="CommentText"/>
        <w:spacing w:line="480" w:lineRule="auto"/>
        <w:ind w:firstLine="720"/>
        <w:jc w:val="both"/>
        <w:rPr>
          <w:rFonts w:ascii="Arial" w:hAnsi="Arial" w:cs="Arial"/>
        </w:rPr>
      </w:pPr>
      <w:r w:rsidRPr="00B42C32">
        <w:rPr>
          <w:rFonts w:ascii="Arial" w:hAnsi="Arial" w:cs="Arial"/>
        </w:rPr>
        <w:t xml:space="preserve">The </w:t>
      </w:r>
      <w:proofErr w:type="spellStart"/>
      <w:r w:rsidR="00A76351">
        <w:rPr>
          <w:rFonts w:ascii="Arial" w:hAnsi="Arial" w:cs="Arial"/>
        </w:rPr>
        <w:t>M</w:t>
      </w:r>
      <w:r w:rsidRPr="00B42C32">
        <w:rPr>
          <w:rFonts w:ascii="Arial" w:hAnsi="Arial" w:cs="Arial"/>
        </w:rPr>
        <w:t>atlab</w:t>
      </w:r>
      <w:proofErr w:type="spellEnd"/>
      <w:r w:rsidRPr="00B42C32">
        <w:rPr>
          <w:rFonts w:ascii="Arial" w:hAnsi="Arial" w:cs="Arial"/>
        </w:rPr>
        <w:t xml:space="preserve"> code output of the first bending mode of a 4 </w:t>
      </w:r>
      <w:proofErr w:type="spellStart"/>
      <w:r w:rsidRPr="00B42C32">
        <w:rPr>
          <w:rFonts w:ascii="Arial" w:hAnsi="Arial" w:cs="Arial"/>
        </w:rPr>
        <w:t>μm</w:t>
      </w:r>
      <w:proofErr w:type="spellEnd"/>
      <w:r w:rsidRPr="00B42C32">
        <w:rPr>
          <w:rFonts w:ascii="Arial" w:hAnsi="Arial" w:cs="Arial"/>
        </w:rPr>
        <w:t xml:space="preserve"> ME / 5.1 </w:t>
      </w:r>
      <w:proofErr w:type="spellStart"/>
      <w:r w:rsidRPr="00B42C32">
        <w:rPr>
          <w:rFonts w:ascii="Arial" w:hAnsi="Arial" w:cs="Arial"/>
        </w:rPr>
        <w:t>μm</w:t>
      </w:r>
      <w:proofErr w:type="spellEnd"/>
      <w:r w:rsidRPr="00B42C32">
        <w:rPr>
          <w:rFonts w:ascii="Arial" w:hAnsi="Arial" w:cs="Arial"/>
        </w:rPr>
        <w:t xml:space="preserve"> </w:t>
      </w:r>
      <w:proofErr w:type="spellStart"/>
      <w:r w:rsidRPr="00B42C32">
        <w:rPr>
          <w:rFonts w:ascii="Arial" w:hAnsi="Arial" w:cs="Arial"/>
        </w:rPr>
        <w:t>NiTi</w:t>
      </w:r>
      <w:proofErr w:type="spellEnd"/>
      <w:r w:rsidRPr="00B42C32">
        <w:rPr>
          <w:rFonts w:ascii="Arial" w:hAnsi="Arial" w:cs="Arial"/>
        </w:rPr>
        <w:t xml:space="preserve"> / 350 </w:t>
      </w:r>
      <w:proofErr w:type="spellStart"/>
      <w:r w:rsidRPr="00B42C32">
        <w:rPr>
          <w:rFonts w:ascii="Arial" w:hAnsi="Arial" w:cs="Arial"/>
        </w:rPr>
        <w:t>μm</w:t>
      </w:r>
      <w:proofErr w:type="spellEnd"/>
      <w:r w:rsidRPr="00B42C32">
        <w:rPr>
          <w:rFonts w:ascii="Arial" w:hAnsi="Arial" w:cs="Arial"/>
        </w:rPr>
        <w:t xml:space="preserve"> Si composite </w:t>
      </w:r>
      <w:r w:rsidR="005802B2">
        <w:rPr>
          <w:rFonts w:ascii="Arial" w:hAnsi="Arial" w:cs="Arial"/>
        </w:rPr>
        <w:t>predicts</w:t>
      </w:r>
      <w:r w:rsidRPr="00B42C32">
        <w:rPr>
          <w:rFonts w:ascii="Arial" w:hAnsi="Arial" w:cs="Arial"/>
        </w:rPr>
        <w:t xml:space="preserve"> a </w:t>
      </w:r>
      <w:r w:rsidR="00715EDA">
        <w:rPr>
          <w:rFonts w:ascii="Arial" w:hAnsi="Arial" w:cs="Arial"/>
        </w:rPr>
        <w:t xml:space="preserve">maximum </w:t>
      </w:r>
      <w:r w:rsidRPr="00B42C32">
        <w:rPr>
          <w:rFonts w:ascii="Arial" w:hAnsi="Arial" w:cs="Arial"/>
        </w:rPr>
        <w:t xml:space="preserve">resonant frequency </w:t>
      </w:r>
      <w:r w:rsidR="005E64D7">
        <w:rPr>
          <w:rFonts w:ascii="Arial" w:hAnsi="Arial" w:cs="Arial"/>
        </w:rPr>
        <w:t xml:space="preserve">shift </w:t>
      </w:r>
      <w:r w:rsidR="005E64D7" w:rsidRPr="00B42C32">
        <w:rPr>
          <w:rFonts w:ascii="Arial" w:hAnsi="Arial" w:cs="Arial"/>
        </w:rPr>
        <w:t>(</w:t>
      </w:r>
      <w:proofErr w:type="spellStart"/>
      <w:r w:rsidR="005E64D7" w:rsidRPr="00B42C32">
        <w:rPr>
          <w:rFonts w:ascii="Arial" w:eastAsiaTheme="minorEastAsia" w:hAnsi="Arial" w:cs="Arial"/>
        </w:rPr>
        <w:t>Δf</w:t>
      </w:r>
      <w:proofErr w:type="spellEnd"/>
      <w:r w:rsidR="005E64D7" w:rsidRPr="00B42C32">
        <w:rPr>
          <w:rFonts w:ascii="Arial" w:eastAsiaTheme="minorEastAsia" w:hAnsi="Arial" w:cs="Arial"/>
        </w:rPr>
        <w:t xml:space="preserve"> = 0.5%)</w:t>
      </w:r>
      <w:r w:rsidR="005E64D7">
        <w:rPr>
          <w:rFonts w:ascii="Arial" w:eastAsiaTheme="minorEastAsia" w:hAnsi="Arial" w:cs="Arial"/>
        </w:rPr>
        <w:t xml:space="preserve"> </w:t>
      </w:r>
      <w:r w:rsidRPr="00B42C32">
        <w:rPr>
          <w:rFonts w:ascii="Arial" w:hAnsi="Arial" w:cs="Arial"/>
        </w:rPr>
        <w:t>from 76</w:t>
      </w:r>
      <w:r w:rsidR="00CE61D5">
        <w:rPr>
          <w:rFonts w:ascii="Arial" w:hAnsi="Arial" w:cs="Arial"/>
        </w:rPr>
        <w:t>8</w:t>
      </w:r>
      <w:r w:rsidRPr="00B42C32">
        <w:rPr>
          <w:rFonts w:ascii="Arial" w:hAnsi="Arial" w:cs="Arial"/>
        </w:rPr>
        <w:t xml:space="preserve"> Hz to 772 Hz</w:t>
      </w:r>
      <w:r w:rsidR="00715EDA">
        <w:rPr>
          <w:rFonts w:ascii="Arial" w:eastAsiaTheme="minorEastAsia" w:hAnsi="Arial" w:cs="Arial"/>
        </w:rPr>
        <w:t>.</w:t>
      </w:r>
      <w:r w:rsidRPr="00B42C32">
        <w:rPr>
          <w:rFonts w:ascii="Arial" w:eastAsiaTheme="minorEastAsia" w:hAnsi="Arial" w:cs="Arial"/>
        </w:rPr>
        <w:t xml:space="preserve"> </w:t>
      </w:r>
      <w:r w:rsidRPr="00B42C32">
        <w:rPr>
          <w:rFonts w:ascii="Arial" w:hAnsi="Arial" w:cs="Arial"/>
        </w:rPr>
        <w:t xml:space="preserve">The mechanical properties of binary </w:t>
      </w:r>
      <w:proofErr w:type="spellStart"/>
      <w:r w:rsidRPr="00B42C32">
        <w:rPr>
          <w:rFonts w:ascii="Arial" w:hAnsi="Arial" w:cs="Arial"/>
        </w:rPr>
        <w:t>NiTi</w:t>
      </w:r>
      <w:proofErr w:type="spellEnd"/>
      <w:r w:rsidRPr="00B42C32">
        <w:rPr>
          <w:rFonts w:ascii="Arial" w:hAnsi="Arial" w:cs="Arial"/>
        </w:rPr>
        <w:t xml:space="preserve"> (</w:t>
      </w:r>
      <w:proofErr w:type="spellStart"/>
      <w:r w:rsidRPr="00B42C32">
        <w:rPr>
          <w:rFonts w:ascii="Arial" w:hAnsi="Arial" w:cs="Arial"/>
        </w:rPr>
        <w:t>E</w:t>
      </w:r>
      <w:r w:rsidRPr="00B42C32">
        <w:rPr>
          <w:rFonts w:ascii="Arial" w:hAnsi="Arial" w:cs="Arial"/>
          <w:vertAlign w:val="subscript"/>
        </w:rPr>
        <w:t>Martensite</w:t>
      </w:r>
      <w:proofErr w:type="spellEnd"/>
      <w:r w:rsidRPr="00B42C32">
        <w:rPr>
          <w:rFonts w:ascii="Arial" w:hAnsi="Arial" w:cs="Arial"/>
          <w:vertAlign w:val="subscript"/>
        </w:rPr>
        <w:t xml:space="preserve"> </w:t>
      </w:r>
      <w:r w:rsidRPr="00B42C32">
        <w:rPr>
          <w:rFonts w:ascii="Arial" w:hAnsi="Arial" w:cs="Arial"/>
        </w:rPr>
        <w:t xml:space="preserve">= 41 </w:t>
      </w:r>
      <w:proofErr w:type="spellStart"/>
      <w:r w:rsidRPr="00B42C32">
        <w:rPr>
          <w:rFonts w:ascii="Arial" w:hAnsi="Arial" w:cs="Arial"/>
        </w:rPr>
        <w:t>GPa</w:t>
      </w:r>
      <w:proofErr w:type="spellEnd"/>
      <w:r w:rsidRPr="00B42C32">
        <w:rPr>
          <w:rFonts w:ascii="Arial" w:hAnsi="Arial" w:cs="Arial"/>
        </w:rPr>
        <w:t xml:space="preserve">, </w:t>
      </w:r>
      <w:proofErr w:type="spellStart"/>
      <w:r w:rsidRPr="00B42C32">
        <w:rPr>
          <w:rFonts w:ascii="Arial" w:hAnsi="Arial" w:cs="Arial"/>
        </w:rPr>
        <w:t>E</w:t>
      </w:r>
      <w:r w:rsidRPr="00B42C32">
        <w:rPr>
          <w:rFonts w:ascii="Arial" w:hAnsi="Arial" w:cs="Arial"/>
          <w:vertAlign w:val="subscript"/>
        </w:rPr>
        <w:t>Austenite</w:t>
      </w:r>
      <w:proofErr w:type="spellEnd"/>
      <w:r w:rsidRPr="00B42C32">
        <w:rPr>
          <w:rFonts w:ascii="Arial" w:hAnsi="Arial" w:cs="Arial"/>
          <w:vertAlign w:val="subscript"/>
        </w:rPr>
        <w:t xml:space="preserve"> </w:t>
      </w:r>
      <w:r w:rsidRPr="00B42C32">
        <w:rPr>
          <w:rFonts w:ascii="Arial" w:hAnsi="Arial" w:cs="Arial"/>
        </w:rPr>
        <w:t xml:space="preserve">= 83 </w:t>
      </w:r>
      <w:proofErr w:type="spellStart"/>
      <w:r w:rsidRPr="00B42C32">
        <w:rPr>
          <w:rFonts w:ascii="Arial" w:hAnsi="Arial" w:cs="Arial"/>
        </w:rPr>
        <w:t>GPa</w:t>
      </w:r>
      <w:proofErr w:type="spellEnd"/>
      <w:r w:rsidRPr="00B42C32">
        <w:rPr>
          <w:rFonts w:ascii="Arial" w:hAnsi="Arial" w:cs="Arial"/>
        </w:rPr>
        <w:t>, ρ = 6450 kg/m</w:t>
      </w:r>
      <w:r w:rsidRPr="00B42C32">
        <w:rPr>
          <w:rFonts w:ascii="Arial" w:hAnsi="Arial" w:cs="Arial"/>
          <w:vertAlign w:val="superscript"/>
        </w:rPr>
        <w:t>3</w:t>
      </w:r>
      <w:r w:rsidRPr="00B42C32">
        <w:rPr>
          <w:rFonts w:ascii="Arial" w:hAnsi="Arial" w:cs="Arial"/>
        </w:rPr>
        <w:t>)</w:t>
      </w:r>
      <w:r w:rsidR="002D1C4E">
        <w:rPr>
          <w:rFonts w:ascii="Arial" w:hAnsi="Arial" w:cs="Arial"/>
        </w:rPr>
        <w:fldChar w:fldCharType="begin" w:fldLock="1"/>
      </w:r>
      <w:r w:rsidR="002D1C4E">
        <w:rPr>
          <w:rFonts w:ascii="Arial" w:hAnsi="Arial" w:cs="Arial"/>
        </w:rPr>
        <w:instrText>ADDIN CSL_CITATION {"citationItems":[{"id":"ITEM-1","itemData":{"id":"ITEM-1","issued":{"date-parts":[["0"]]},"title":"Johnson Matthey Medical Components, Nitinol Technical Properties.","type":"webpage"},"uris":["http://www.mendeley.com/documents/?uuid=a195281e-01d4-49ca-820e-6e981b222e67"]}],"mendeley":{"formattedCitation":"&lt;sup&gt;5&lt;/sup&gt;","plainTextFormattedCitation":"5","previouslyFormattedCitation":"&lt;sup&gt;5&lt;/sup&gt;"},"properties":{"noteIndex":0},"schema":"https://github.com/citation-style-language/schema/raw/master/csl-citation.json"}</w:instrText>
      </w:r>
      <w:r w:rsidR="002D1C4E">
        <w:rPr>
          <w:rFonts w:ascii="Arial" w:hAnsi="Arial" w:cs="Arial"/>
        </w:rPr>
        <w:fldChar w:fldCharType="separate"/>
      </w:r>
      <w:r w:rsidR="002D1C4E" w:rsidRPr="002D1C4E">
        <w:rPr>
          <w:rFonts w:ascii="Arial" w:hAnsi="Arial" w:cs="Arial"/>
          <w:noProof/>
          <w:vertAlign w:val="superscript"/>
        </w:rPr>
        <w:t>5</w:t>
      </w:r>
      <w:r w:rsidR="002D1C4E">
        <w:rPr>
          <w:rFonts w:ascii="Arial" w:hAnsi="Arial" w:cs="Arial"/>
        </w:rPr>
        <w:fldChar w:fldCharType="end"/>
      </w:r>
      <w:r w:rsidRPr="00B42C32">
        <w:rPr>
          <w:rFonts w:ascii="Arial" w:hAnsi="Arial" w:cs="Arial"/>
        </w:rPr>
        <w:t xml:space="preserve"> are well studied and like that of </w:t>
      </w:r>
      <w:proofErr w:type="spellStart"/>
      <w:r w:rsidRPr="00B42C32">
        <w:rPr>
          <w:rFonts w:ascii="Arial" w:hAnsi="Arial" w:cs="Arial"/>
        </w:rPr>
        <w:t>TiNiCu</w:t>
      </w:r>
      <w:proofErr w:type="spellEnd"/>
      <w:r w:rsidRPr="00B42C32">
        <w:rPr>
          <w:rFonts w:ascii="Arial" w:hAnsi="Arial" w:cs="Arial"/>
        </w:rPr>
        <w:t xml:space="preserve"> (</w:t>
      </w:r>
      <w:proofErr w:type="spellStart"/>
      <w:r w:rsidRPr="00B42C32">
        <w:rPr>
          <w:rFonts w:ascii="Arial" w:hAnsi="Arial" w:cs="Arial"/>
        </w:rPr>
        <w:t>E</w:t>
      </w:r>
      <w:r w:rsidRPr="00B42C32">
        <w:rPr>
          <w:rFonts w:ascii="Arial" w:hAnsi="Arial" w:cs="Arial"/>
          <w:vertAlign w:val="subscript"/>
        </w:rPr>
        <w:t>Austenite</w:t>
      </w:r>
      <w:proofErr w:type="spellEnd"/>
      <w:r w:rsidRPr="00B42C32">
        <w:rPr>
          <w:rFonts w:ascii="Arial" w:hAnsi="Arial" w:cs="Arial"/>
          <w:vertAlign w:val="subscript"/>
        </w:rPr>
        <w:t xml:space="preserve"> </w:t>
      </w:r>
      <w:r w:rsidRPr="00B42C32">
        <w:rPr>
          <w:rFonts w:ascii="Arial" w:hAnsi="Arial" w:cs="Arial"/>
        </w:rPr>
        <w:t xml:space="preserve">= 78 </w:t>
      </w:r>
      <w:proofErr w:type="spellStart"/>
      <w:r w:rsidRPr="00B42C32">
        <w:rPr>
          <w:rFonts w:ascii="Arial" w:hAnsi="Arial" w:cs="Arial"/>
        </w:rPr>
        <w:t>GPa</w:t>
      </w:r>
      <w:proofErr w:type="spellEnd"/>
      <w:r w:rsidRPr="00B42C32">
        <w:rPr>
          <w:rFonts w:ascii="Arial" w:hAnsi="Arial" w:cs="Arial"/>
        </w:rPr>
        <w:t>, ρ = 6500 kg/m</w:t>
      </w:r>
      <w:r w:rsidRPr="00B42C32">
        <w:rPr>
          <w:rFonts w:ascii="Arial" w:hAnsi="Arial" w:cs="Arial"/>
          <w:vertAlign w:val="superscript"/>
        </w:rPr>
        <w:t>3</w:t>
      </w:r>
      <w:r w:rsidRPr="00B42C32">
        <w:rPr>
          <w:rFonts w:ascii="Arial" w:hAnsi="Arial" w:cs="Arial"/>
        </w:rPr>
        <w:t>)</w:t>
      </w:r>
      <w:r w:rsidR="00B003E4">
        <w:rPr>
          <w:rFonts w:ascii="Arial" w:hAnsi="Arial" w:cs="Arial"/>
        </w:rPr>
        <w:t>.</w:t>
      </w:r>
      <w:r w:rsidR="002D1C4E">
        <w:rPr>
          <w:rFonts w:ascii="Arial" w:hAnsi="Arial" w:cs="Arial"/>
        </w:rPr>
        <w:fldChar w:fldCharType="begin" w:fldLock="1"/>
      </w:r>
      <w:r w:rsidR="00AC7EF1">
        <w:rPr>
          <w:rFonts w:ascii="Arial" w:hAnsi="Arial" w:cs="Arial"/>
        </w:rPr>
        <w:instrText>ADDIN CSL_CITATION {"citationItems":[{"id":"ITEM-1","itemData":{"author":[{"dropping-particle":"","family":"Fu","given":"Yongqing","non-dropping-particle":"","parse-names":false,"suffix":""},{"dropping-particle":"","family":"Du","given":"Hejun","non-dropping-particle":"","parse-names":false,"suffix":""},{"dropping-particle":"","family":"Zhang","given":"Sam","non-dropping-particle":"","parse-names":false,"suffix":""},{"dropping-particle":"","family":"Gu","given":"YanWei","non-dropping-particle":"","parse-names":false,"suffix":""}],"container-title":"Surface and Coatings Technology","id":"ITEM-1","issue":"1-3","issued":{"date-parts":[["2005"]]},"page":"389-394","publisher":"Elsevier","title":"Stress and surface morphology of TiNiCu thin films: effect of annealing temperature","type":"article-journal","volume":"198"},"uris":["http://www.mendeley.com/documents/?uuid=cbc7bda9-1806-431e-a96c-04629cd22484"]}],"mendeley":{"formattedCitation":"&lt;sup&gt;6&lt;/sup&gt;","plainTextFormattedCitation":"6","previouslyFormattedCitation":"&lt;sup&gt;6&lt;/sup&gt;"},"properties":{"noteIndex":0},"schema":"https://github.com/citation-style-language/schema/raw/master/csl-citation.json"}</w:instrText>
      </w:r>
      <w:r w:rsidR="002D1C4E">
        <w:rPr>
          <w:rFonts w:ascii="Arial" w:hAnsi="Arial" w:cs="Arial"/>
        </w:rPr>
        <w:fldChar w:fldCharType="separate"/>
      </w:r>
      <w:r w:rsidR="002D1C4E" w:rsidRPr="002D1C4E">
        <w:rPr>
          <w:rFonts w:ascii="Arial" w:hAnsi="Arial" w:cs="Arial"/>
          <w:noProof/>
          <w:vertAlign w:val="superscript"/>
        </w:rPr>
        <w:t>6</w:t>
      </w:r>
      <w:r w:rsidR="002D1C4E">
        <w:rPr>
          <w:rFonts w:ascii="Arial" w:hAnsi="Arial" w:cs="Arial"/>
        </w:rPr>
        <w:fldChar w:fldCharType="end"/>
      </w:r>
      <w:r w:rsidRPr="00B42C32">
        <w:rPr>
          <w:rFonts w:ascii="Arial" w:hAnsi="Arial" w:cs="Arial"/>
        </w:rPr>
        <w:t xml:space="preserve"> Therefore, we expect a maximum deflection (</w:t>
      </w:r>
      <w:proofErr w:type="spellStart"/>
      <w:r w:rsidRPr="00B42C32">
        <w:rPr>
          <w:rFonts w:ascii="Arial" w:hAnsi="Arial" w:cs="Arial"/>
        </w:rPr>
        <w:t>i.e</w:t>
      </w:r>
      <w:proofErr w:type="spellEnd"/>
      <w:r w:rsidRPr="00B42C32">
        <w:rPr>
          <w:rFonts w:ascii="Arial" w:hAnsi="Arial" w:cs="Arial"/>
        </w:rPr>
        <w:t xml:space="preserve"> first bending mode resonant frequency) of the fabricated 2 </w:t>
      </w:r>
      <w:proofErr w:type="spellStart"/>
      <w:r w:rsidRPr="00B42C32">
        <w:rPr>
          <w:rFonts w:ascii="Arial" w:hAnsi="Arial" w:cs="Arial"/>
        </w:rPr>
        <w:t>μm</w:t>
      </w:r>
      <w:proofErr w:type="spellEnd"/>
      <w:r w:rsidRPr="00B42C32">
        <w:rPr>
          <w:rFonts w:ascii="Arial" w:hAnsi="Arial" w:cs="Arial"/>
        </w:rPr>
        <w:t xml:space="preserve"> </w:t>
      </w:r>
      <w:proofErr w:type="spellStart"/>
      <w:r w:rsidRPr="00B42C32">
        <w:rPr>
          <w:rFonts w:ascii="Arial" w:hAnsi="Arial" w:cs="Arial"/>
        </w:rPr>
        <w:t>AlN</w:t>
      </w:r>
      <w:proofErr w:type="spellEnd"/>
      <w:r w:rsidRPr="00B42C32">
        <w:rPr>
          <w:rFonts w:ascii="Arial" w:hAnsi="Arial" w:cs="Arial"/>
        </w:rPr>
        <w:t xml:space="preserve">/ 5.1 </w:t>
      </w:r>
      <w:proofErr w:type="spellStart"/>
      <w:r w:rsidRPr="00B42C32">
        <w:rPr>
          <w:rFonts w:ascii="Arial" w:hAnsi="Arial" w:cs="Arial"/>
        </w:rPr>
        <w:t>μm</w:t>
      </w:r>
      <w:proofErr w:type="spellEnd"/>
      <w:r w:rsidRPr="00B42C32">
        <w:rPr>
          <w:rFonts w:ascii="Arial" w:hAnsi="Arial" w:cs="Arial"/>
        </w:rPr>
        <w:t xml:space="preserve"> </w:t>
      </w:r>
      <w:proofErr w:type="spellStart"/>
      <w:r w:rsidRPr="00B42C32">
        <w:rPr>
          <w:rFonts w:ascii="Arial" w:hAnsi="Arial" w:cs="Arial"/>
        </w:rPr>
        <w:t>TiNiCu</w:t>
      </w:r>
      <w:proofErr w:type="spellEnd"/>
      <w:r w:rsidRPr="00B42C32">
        <w:rPr>
          <w:rFonts w:ascii="Arial" w:hAnsi="Arial" w:cs="Arial"/>
        </w:rPr>
        <w:t xml:space="preserve">/ 350 </w:t>
      </w:r>
      <w:proofErr w:type="spellStart"/>
      <w:r w:rsidRPr="00B42C32">
        <w:rPr>
          <w:rFonts w:ascii="Arial" w:hAnsi="Arial" w:cs="Arial"/>
        </w:rPr>
        <w:t>μm</w:t>
      </w:r>
      <w:proofErr w:type="spellEnd"/>
      <w:r w:rsidRPr="00B42C32">
        <w:rPr>
          <w:rFonts w:ascii="Arial" w:hAnsi="Arial" w:cs="Arial"/>
        </w:rPr>
        <w:t xml:space="preserve"> Si/ 2 </w:t>
      </w:r>
      <w:proofErr w:type="spellStart"/>
      <w:r w:rsidRPr="00B42C32">
        <w:rPr>
          <w:rFonts w:ascii="Arial" w:hAnsi="Arial" w:cs="Arial"/>
        </w:rPr>
        <w:t>μm</w:t>
      </w:r>
      <w:proofErr w:type="spellEnd"/>
      <w:r w:rsidRPr="00B42C32">
        <w:rPr>
          <w:rFonts w:ascii="Arial" w:hAnsi="Arial" w:cs="Arial"/>
        </w:rPr>
        <w:t xml:space="preserve"> </w:t>
      </w:r>
      <w:proofErr w:type="spellStart"/>
      <w:r w:rsidRPr="00B42C32">
        <w:rPr>
          <w:rFonts w:ascii="Arial" w:hAnsi="Arial" w:cs="Arial"/>
        </w:rPr>
        <w:t>FeCoSiB</w:t>
      </w:r>
      <w:proofErr w:type="spellEnd"/>
      <w:r w:rsidRPr="00B42C32">
        <w:rPr>
          <w:rFonts w:ascii="Arial" w:hAnsi="Arial" w:cs="Arial"/>
        </w:rPr>
        <w:t xml:space="preserve"> cantilever composite to fall within this range. Figure S1</w:t>
      </w:r>
      <w:r w:rsidR="00CE61D5">
        <w:rPr>
          <w:rFonts w:ascii="Arial" w:hAnsi="Arial" w:cs="Arial"/>
        </w:rPr>
        <w:t>(</w:t>
      </w:r>
      <w:r w:rsidRPr="00B42C32">
        <w:rPr>
          <w:rFonts w:ascii="Arial" w:hAnsi="Arial" w:cs="Arial"/>
        </w:rPr>
        <w:t>a</w:t>
      </w:r>
      <w:r w:rsidR="00CE61D5">
        <w:rPr>
          <w:rFonts w:ascii="Arial" w:hAnsi="Arial" w:cs="Arial"/>
        </w:rPr>
        <w:t>)</w:t>
      </w:r>
      <w:r w:rsidRPr="00B42C32">
        <w:rPr>
          <w:rFonts w:ascii="Arial" w:hAnsi="Arial" w:cs="Arial"/>
        </w:rPr>
        <w:t xml:space="preserve"> demonstrates the cross-section of the ME/ SMA/ Si composites investigated through analytical calculations</w:t>
      </w:r>
      <w:r w:rsidRPr="00A76351">
        <w:rPr>
          <w:rFonts w:ascii="Arial" w:hAnsi="Arial" w:cs="Arial"/>
        </w:rPr>
        <w:t>. This is the analytical equivalent composite to the fabricated experimental composite, shown in Figure S2</w:t>
      </w:r>
      <w:r w:rsidR="00CE61D5" w:rsidRPr="00A76351">
        <w:rPr>
          <w:rFonts w:ascii="Arial" w:hAnsi="Arial" w:cs="Arial"/>
        </w:rPr>
        <w:t>(</w:t>
      </w:r>
      <w:r w:rsidRPr="00A76351">
        <w:rPr>
          <w:rFonts w:ascii="Arial" w:hAnsi="Arial" w:cs="Arial"/>
        </w:rPr>
        <w:t>b</w:t>
      </w:r>
      <w:r w:rsidR="00CE61D5" w:rsidRPr="00A76351">
        <w:rPr>
          <w:rFonts w:ascii="Arial" w:hAnsi="Arial" w:cs="Arial"/>
        </w:rPr>
        <w:t>)</w:t>
      </w:r>
      <w:r w:rsidRPr="00A76351">
        <w:rPr>
          <w:rFonts w:ascii="Arial" w:hAnsi="Arial" w:cs="Arial"/>
        </w:rPr>
        <w:t>.</w:t>
      </w:r>
    </w:p>
    <w:p w14:paraId="6DBE0BCC" w14:textId="6351A493" w:rsidR="00B42C32" w:rsidRPr="00B42C32" w:rsidRDefault="00B42C32" w:rsidP="00841634">
      <w:pPr>
        <w:spacing w:line="480" w:lineRule="auto"/>
        <w:ind w:firstLine="720"/>
        <w:jc w:val="both"/>
        <w:rPr>
          <w:rFonts w:ascii="Arial" w:eastAsia="Times New Roman" w:hAnsi="Arial" w:cs="Arial"/>
          <w:color w:val="000000"/>
          <w:sz w:val="20"/>
          <w:szCs w:val="20"/>
          <w:lang w:eastAsia="de-DE"/>
        </w:rPr>
      </w:pPr>
      <w:r w:rsidRPr="00A76351">
        <w:rPr>
          <w:rFonts w:ascii="Arial" w:hAnsi="Arial" w:cs="Arial"/>
          <w:sz w:val="20"/>
          <w:szCs w:val="20"/>
        </w:rPr>
        <w:t>The experimental resonant frequency was obtained using an optical read-out deflection set-up, similar to the one described elsewhere.</w:t>
      </w:r>
      <w:r w:rsidRPr="00FE0113">
        <w:rPr>
          <w:rFonts w:ascii="Arial" w:hAnsi="Arial" w:cs="Arial"/>
          <w:sz w:val="20"/>
          <w:szCs w:val="20"/>
        </w:rPr>
        <w:fldChar w:fldCharType="begin" w:fldLock="1"/>
      </w:r>
      <w:r w:rsidR="00AC7EF1" w:rsidRPr="00A76351">
        <w:rPr>
          <w:rFonts w:ascii="Arial" w:hAnsi="Arial" w:cs="Arial"/>
          <w:sz w:val="20"/>
          <w:szCs w:val="20"/>
        </w:rPr>
        <w:instrText>ADDIN CSL_CITATION {"citationItems":[{"id":"ITEM-1","itemData":{"author":[{"dropping-particle":"","family":"Durdaut","given":"Phillip","non-dropping-particle":"","parse-names":false,"suffix":""},{"dropping-particle":"","family":"Salzer","given":"Sebastian","non-dropping-particle":"","parse-names":false,"suffix":""},{"dropping-particle":"","family":"Reermann","given":"Jens","non-dropping-particle":"","parse-names":false,"suffix":""},{"dropping-particle":"","family":"Röbisch","given":"Volker","non-dropping-particle":"","parse-names":false,"suffix":""},{"dropping-particle":"","family":"Hayes","given":"Patrick","non-dropping-particle":"","parse-names":false,"suffix":""},{"dropping-particle":"","family":"Piorra","given":"Andre","non-dropping-particle":"","parse-names":false,"suffix":""},{"dropping-particle":"","family":"Meyners","given":"Dirk","non-dropping-particle":"","parse-names":false,"suffix":""},{"dropping-particle":"","family":"Quandt","given":"Eckhard","non-dropping-particle":"","parse-names":false,"suffix":""},{"dropping-particle":"","family":"Schmidt","given":"Gerhard","non-dropping-particle":"","parse-names":false,"suffix":""},{"dropping-particle":"","family":"Knöchel","given":"Reinhard","non-dropping-particle":"","parse-names":false,"suffix":""},{"dropping-particle":"","family":"others","given":"","non-dropping-particle":"","parse-names":false,"suffix":""}],"container-title":"IEEE Sensors Journal","id":"ITEM-1","issue":"8","issued":{"date-parts":[["2017"]]},"page":"2338-2348","publisher":"IEEE","title":"Thermal-mechanical noise in resonant thin-film magnetoelectric sensors","type":"article-journal","volume":"17"},"uris":["http://www.mendeley.com/documents/?uuid=8caafe7c-6dd1-4254-b6e6-07d70b80a88f"]}],"mendeley":{"formattedCitation":"&lt;sup&gt;7&lt;/sup&gt;","plainTextFormattedCitation":"7","previouslyFormattedCitation":"&lt;sup&gt;7&lt;/sup&gt;"},"properties":{"noteIndex":0},"schema":"https://github.com/citation-style-language/schema/raw/master/csl-citation.json"}</w:instrText>
      </w:r>
      <w:r w:rsidRPr="00FE0113">
        <w:rPr>
          <w:rFonts w:ascii="Arial" w:hAnsi="Arial" w:cs="Arial"/>
          <w:sz w:val="20"/>
          <w:szCs w:val="20"/>
        </w:rPr>
        <w:fldChar w:fldCharType="separate"/>
      </w:r>
      <w:r w:rsidR="002D1C4E" w:rsidRPr="00A76351">
        <w:rPr>
          <w:rFonts w:ascii="Arial" w:hAnsi="Arial" w:cs="Arial"/>
          <w:noProof/>
          <w:sz w:val="20"/>
          <w:szCs w:val="20"/>
          <w:vertAlign w:val="superscript"/>
        </w:rPr>
        <w:t>7</w:t>
      </w:r>
      <w:r w:rsidRPr="00FE0113">
        <w:rPr>
          <w:rFonts w:ascii="Arial" w:hAnsi="Arial" w:cs="Arial"/>
          <w:sz w:val="20"/>
          <w:szCs w:val="20"/>
        </w:rPr>
        <w:fldChar w:fldCharType="end"/>
      </w:r>
      <w:r w:rsidRPr="00A76351">
        <w:rPr>
          <w:rFonts w:ascii="Arial" w:hAnsi="Arial" w:cs="Arial"/>
          <w:sz w:val="20"/>
          <w:szCs w:val="20"/>
        </w:rPr>
        <w:t xml:space="preserve"> The end 1 mm o</w:t>
      </w:r>
      <w:r w:rsidRPr="00B42C32">
        <w:rPr>
          <w:rFonts w:ascii="Arial" w:hAnsi="Arial" w:cs="Arial"/>
          <w:sz w:val="20"/>
          <w:szCs w:val="20"/>
        </w:rPr>
        <w:t>f the fabricated 2.5 mm x 2</w:t>
      </w:r>
      <w:r w:rsidR="000B51E7">
        <w:rPr>
          <w:rFonts w:ascii="Arial" w:hAnsi="Arial" w:cs="Arial"/>
          <w:sz w:val="20"/>
          <w:szCs w:val="20"/>
        </w:rPr>
        <w:t>6</w:t>
      </w:r>
      <w:r w:rsidRPr="00B42C32">
        <w:rPr>
          <w:rFonts w:ascii="Arial" w:hAnsi="Arial" w:cs="Arial"/>
          <w:sz w:val="20"/>
          <w:szCs w:val="20"/>
        </w:rPr>
        <w:t xml:space="preserve"> mm cantilever ME/ SMA/ Si composite was fixed onto a holder (freestanding length 25 mm). A time varying magnetic field, having a nonzero DC component matching the working point of the ME composite</w:t>
      </w:r>
      <w:r w:rsidR="0086290E">
        <w:rPr>
          <w:rFonts w:ascii="Arial" w:hAnsi="Arial" w:cs="Arial"/>
          <w:sz w:val="20"/>
          <w:szCs w:val="20"/>
        </w:rPr>
        <w:t>,</w:t>
      </w:r>
      <w:r w:rsidRPr="00B42C32">
        <w:rPr>
          <w:rFonts w:ascii="Arial" w:hAnsi="Arial" w:cs="Arial"/>
          <w:sz w:val="20"/>
          <w:szCs w:val="20"/>
        </w:rPr>
        <w:t xml:space="preserve"> is used to excite the </w:t>
      </w:r>
      <w:proofErr w:type="spellStart"/>
      <w:r w:rsidRPr="00B42C32">
        <w:rPr>
          <w:rFonts w:ascii="Arial" w:hAnsi="Arial" w:cs="Arial"/>
          <w:sz w:val="20"/>
          <w:szCs w:val="20"/>
        </w:rPr>
        <w:t>magnetostrictive</w:t>
      </w:r>
      <w:proofErr w:type="spellEnd"/>
      <w:r w:rsidRPr="00B42C32">
        <w:rPr>
          <w:rFonts w:ascii="Arial" w:hAnsi="Arial" w:cs="Arial"/>
          <w:sz w:val="20"/>
          <w:szCs w:val="20"/>
        </w:rPr>
        <w:t xml:space="preserve"> </w:t>
      </w:r>
      <w:proofErr w:type="spellStart"/>
      <w:r w:rsidRPr="00B42C32">
        <w:rPr>
          <w:rFonts w:ascii="Arial" w:hAnsi="Arial" w:cs="Arial"/>
          <w:sz w:val="20"/>
          <w:szCs w:val="20"/>
        </w:rPr>
        <w:t>FeCoSiB</w:t>
      </w:r>
      <w:proofErr w:type="spellEnd"/>
      <w:r w:rsidRPr="00B42C32">
        <w:rPr>
          <w:rFonts w:ascii="Arial" w:hAnsi="Arial" w:cs="Arial"/>
          <w:sz w:val="20"/>
          <w:szCs w:val="20"/>
        </w:rPr>
        <w:t xml:space="preserve"> layer, which is mechanically coupled to the piezoelectric layer of </w:t>
      </w:r>
      <w:proofErr w:type="spellStart"/>
      <w:r w:rsidRPr="00B42C32">
        <w:rPr>
          <w:rFonts w:ascii="Arial" w:hAnsi="Arial" w:cs="Arial"/>
          <w:sz w:val="20"/>
          <w:szCs w:val="20"/>
        </w:rPr>
        <w:t>AlN</w:t>
      </w:r>
      <w:proofErr w:type="spellEnd"/>
      <w:r w:rsidRPr="00B42C32">
        <w:rPr>
          <w:rFonts w:ascii="Arial" w:hAnsi="Arial" w:cs="Arial"/>
          <w:sz w:val="20"/>
          <w:szCs w:val="20"/>
        </w:rPr>
        <w:t>, thus inducing the composite magnetoelectric effect. When this composite is sent into mechanical resonance, a vast increase in deflection amplitude is observed. Figure S2</w:t>
      </w:r>
      <w:r w:rsidR="00CE61D5">
        <w:rPr>
          <w:rFonts w:ascii="Arial" w:hAnsi="Arial" w:cs="Arial"/>
          <w:sz w:val="20"/>
          <w:szCs w:val="20"/>
        </w:rPr>
        <w:t>(</w:t>
      </w:r>
      <w:r w:rsidRPr="00B42C32">
        <w:rPr>
          <w:rFonts w:ascii="Arial" w:hAnsi="Arial" w:cs="Arial"/>
          <w:sz w:val="20"/>
          <w:szCs w:val="20"/>
        </w:rPr>
        <w:t>c</w:t>
      </w:r>
      <w:r w:rsidR="00CE61D5">
        <w:rPr>
          <w:rFonts w:ascii="Arial" w:hAnsi="Arial" w:cs="Arial"/>
          <w:sz w:val="20"/>
          <w:szCs w:val="20"/>
        </w:rPr>
        <w:t>)</w:t>
      </w:r>
      <w:r w:rsidRPr="00B42C32">
        <w:rPr>
          <w:rFonts w:ascii="Arial" w:hAnsi="Arial" w:cs="Arial"/>
          <w:sz w:val="20"/>
          <w:szCs w:val="20"/>
        </w:rPr>
        <w:t xml:space="preserve"> shows the obtained experimental mechanical resonance frequency at 771 Hz with a corresponding phase change also at 771 Hz which </w:t>
      </w:r>
      <w:r w:rsidRPr="00B42C32">
        <w:rPr>
          <w:rFonts w:ascii="Arial" w:hAnsi="Arial" w:cs="Arial"/>
          <w:sz w:val="20"/>
          <w:szCs w:val="20"/>
        </w:rPr>
        <w:lastRenderedPageBreak/>
        <w:t xml:space="preserve">indicates a maximum deflection. This result is in excellent agreement with the analytical calculation, using the mechanical properties of binary </w:t>
      </w:r>
      <w:proofErr w:type="spellStart"/>
      <w:r w:rsidRPr="00B42C32">
        <w:rPr>
          <w:rFonts w:ascii="Arial" w:hAnsi="Arial" w:cs="Arial"/>
          <w:sz w:val="20"/>
          <w:szCs w:val="20"/>
        </w:rPr>
        <w:t>NiTi</w:t>
      </w:r>
      <w:proofErr w:type="spellEnd"/>
      <w:r w:rsidRPr="00B42C32">
        <w:rPr>
          <w:rFonts w:ascii="Arial" w:hAnsi="Arial" w:cs="Arial"/>
          <w:sz w:val="20"/>
          <w:szCs w:val="20"/>
        </w:rPr>
        <w:t>, which predicts a resonant frequency of 76</w:t>
      </w:r>
      <w:r w:rsidR="00CE61D5">
        <w:rPr>
          <w:rFonts w:ascii="Arial" w:hAnsi="Arial" w:cs="Arial"/>
          <w:sz w:val="20"/>
          <w:szCs w:val="20"/>
        </w:rPr>
        <w:t>8</w:t>
      </w:r>
      <w:r w:rsidRPr="00B42C32">
        <w:rPr>
          <w:rFonts w:ascii="Arial" w:hAnsi="Arial" w:cs="Arial"/>
          <w:sz w:val="20"/>
          <w:szCs w:val="20"/>
        </w:rPr>
        <w:t>-772 Hz</w:t>
      </w:r>
      <w:r w:rsidR="00981B18">
        <w:rPr>
          <w:rFonts w:ascii="Arial" w:hAnsi="Arial" w:cs="Arial"/>
          <w:sz w:val="20"/>
          <w:szCs w:val="20"/>
        </w:rPr>
        <w:t>.</w:t>
      </w:r>
    </w:p>
    <w:p w14:paraId="2161ACFF" w14:textId="278DAB43" w:rsidR="0086290E" w:rsidRDefault="00CC3601" w:rsidP="00841634">
      <w:pPr>
        <w:spacing w:line="480" w:lineRule="auto"/>
        <w:jc w:val="center"/>
        <w:rPr>
          <w:rFonts w:ascii="Arial" w:eastAsia="Times New Roman" w:hAnsi="Arial" w:cs="Arial"/>
          <w:b/>
          <w:bCs/>
          <w:color w:val="000000"/>
          <w:sz w:val="20"/>
          <w:szCs w:val="20"/>
          <w:lang w:eastAsia="de-DE"/>
        </w:rPr>
      </w:pPr>
      <w:r>
        <w:rPr>
          <w:rFonts w:ascii="Arial" w:eastAsia="Times New Roman" w:hAnsi="Arial" w:cs="Arial"/>
          <w:b/>
          <w:bCs/>
          <w:noProof/>
          <w:color w:val="000000"/>
          <w:sz w:val="20"/>
          <w:szCs w:val="20"/>
          <w:lang w:val="de-DE" w:eastAsia="de-DE"/>
        </w:rPr>
        <w:drawing>
          <wp:inline distT="0" distB="0" distL="0" distR="0" wp14:anchorId="1E7EF89C" wp14:editId="055A5C25">
            <wp:extent cx="4666054" cy="213986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3369" cy="2161564"/>
                    </a:xfrm>
                    <a:prstGeom prst="rect">
                      <a:avLst/>
                    </a:prstGeom>
                    <a:noFill/>
                  </pic:spPr>
                </pic:pic>
              </a:graphicData>
            </a:graphic>
          </wp:inline>
        </w:drawing>
      </w:r>
    </w:p>
    <w:p w14:paraId="59A38A97" w14:textId="0DE6D031" w:rsidR="00B42C32" w:rsidRPr="00B42C32" w:rsidRDefault="00B42C32" w:rsidP="00841634">
      <w:pPr>
        <w:spacing w:line="480" w:lineRule="auto"/>
        <w:jc w:val="both"/>
        <w:rPr>
          <w:rFonts w:ascii="Arial" w:eastAsiaTheme="minorEastAsia" w:hAnsi="Arial" w:cs="Arial"/>
          <w:sz w:val="20"/>
          <w:szCs w:val="20"/>
        </w:rPr>
      </w:pPr>
      <w:r w:rsidRPr="00B42C32">
        <w:rPr>
          <w:rFonts w:ascii="Arial" w:eastAsia="Times New Roman" w:hAnsi="Arial" w:cs="Arial"/>
          <w:b/>
          <w:bCs/>
          <w:color w:val="000000"/>
          <w:sz w:val="20"/>
          <w:szCs w:val="20"/>
          <w:lang w:eastAsia="de-DE"/>
        </w:rPr>
        <w:t xml:space="preserve">Figure S1: </w:t>
      </w:r>
      <w:r w:rsidRPr="00B42C32">
        <w:rPr>
          <w:rFonts w:ascii="Arial" w:eastAsia="Times New Roman" w:hAnsi="Arial" w:cs="Arial"/>
          <w:color w:val="000000"/>
          <w:sz w:val="20"/>
          <w:szCs w:val="20"/>
          <w:lang w:eastAsia="de-DE"/>
        </w:rPr>
        <w:t>(a)</w:t>
      </w:r>
      <w:r w:rsidRPr="00B42C32">
        <w:rPr>
          <w:rFonts w:ascii="Arial" w:eastAsia="Times New Roman" w:hAnsi="Arial" w:cs="Arial"/>
          <w:b/>
          <w:bCs/>
          <w:color w:val="000000"/>
          <w:sz w:val="20"/>
          <w:szCs w:val="20"/>
          <w:lang w:eastAsia="de-DE"/>
        </w:rPr>
        <w:t xml:space="preserve"> </w:t>
      </w:r>
      <w:r w:rsidRPr="00B42C32">
        <w:rPr>
          <w:rFonts w:ascii="Arial" w:eastAsia="Times New Roman" w:hAnsi="Arial" w:cs="Arial"/>
          <w:color w:val="000000"/>
          <w:sz w:val="20"/>
          <w:szCs w:val="20"/>
          <w:lang w:eastAsia="de-DE"/>
        </w:rPr>
        <w:t xml:space="preserve">Cross-section of the modeled ME / </w:t>
      </w:r>
      <w:proofErr w:type="spellStart"/>
      <w:r w:rsidR="00CE61D5">
        <w:rPr>
          <w:rFonts w:ascii="Arial" w:eastAsia="Times New Roman" w:hAnsi="Arial" w:cs="Arial"/>
          <w:color w:val="000000"/>
          <w:sz w:val="20"/>
          <w:szCs w:val="20"/>
          <w:lang w:eastAsia="de-DE"/>
        </w:rPr>
        <w:t>NiTi</w:t>
      </w:r>
      <w:proofErr w:type="spellEnd"/>
      <w:r w:rsidRPr="00B42C32">
        <w:rPr>
          <w:rFonts w:ascii="Arial" w:eastAsia="Times New Roman" w:hAnsi="Arial" w:cs="Arial"/>
          <w:color w:val="000000"/>
          <w:sz w:val="20"/>
          <w:szCs w:val="20"/>
          <w:lang w:eastAsia="de-DE"/>
        </w:rPr>
        <w:t xml:space="preserve"> / Si composite</w:t>
      </w:r>
      <w:r w:rsidR="00CE61D5">
        <w:rPr>
          <w:rFonts w:ascii="Arial" w:eastAsia="Times New Roman" w:hAnsi="Arial" w:cs="Arial"/>
          <w:color w:val="000000"/>
          <w:sz w:val="20"/>
          <w:szCs w:val="20"/>
          <w:lang w:eastAsia="de-DE"/>
        </w:rPr>
        <w:t xml:space="preserve"> used in analytical frequency calculations</w:t>
      </w:r>
      <w:r w:rsidRPr="00B42C32">
        <w:rPr>
          <w:rFonts w:ascii="Arial" w:eastAsia="Times New Roman" w:hAnsi="Arial" w:cs="Arial"/>
          <w:color w:val="000000"/>
          <w:sz w:val="20"/>
          <w:szCs w:val="20"/>
          <w:lang w:eastAsia="de-DE"/>
        </w:rPr>
        <w:t xml:space="preserve">. (b) Cross-section of the fabricated </w:t>
      </w:r>
      <w:proofErr w:type="spellStart"/>
      <w:r w:rsidR="00CE61D5">
        <w:rPr>
          <w:rFonts w:ascii="Arial" w:eastAsia="Times New Roman" w:hAnsi="Arial" w:cs="Arial"/>
          <w:color w:val="000000"/>
          <w:sz w:val="20"/>
          <w:szCs w:val="20"/>
          <w:lang w:eastAsia="de-DE"/>
        </w:rPr>
        <w:t>AlN</w:t>
      </w:r>
      <w:proofErr w:type="spellEnd"/>
      <w:r w:rsidR="00CE61D5">
        <w:rPr>
          <w:rFonts w:ascii="Arial" w:eastAsia="Times New Roman" w:hAnsi="Arial" w:cs="Arial"/>
          <w:color w:val="000000"/>
          <w:sz w:val="20"/>
          <w:szCs w:val="20"/>
          <w:lang w:eastAsia="de-DE"/>
        </w:rPr>
        <w:t xml:space="preserve"> / </w:t>
      </w:r>
      <w:proofErr w:type="spellStart"/>
      <w:r w:rsidR="00CE61D5">
        <w:rPr>
          <w:rFonts w:ascii="Arial" w:eastAsia="Times New Roman" w:hAnsi="Arial" w:cs="Arial"/>
          <w:color w:val="000000"/>
          <w:sz w:val="20"/>
          <w:szCs w:val="20"/>
          <w:lang w:eastAsia="de-DE"/>
        </w:rPr>
        <w:t>TiNiCu</w:t>
      </w:r>
      <w:proofErr w:type="spellEnd"/>
      <w:r w:rsidR="00CE61D5">
        <w:rPr>
          <w:rFonts w:ascii="Arial" w:eastAsia="Times New Roman" w:hAnsi="Arial" w:cs="Arial"/>
          <w:color w:val="000000"/>
          <w:sz w:val="20"/>
          <w:szCs w:val="20"/>
          <w:lang w:eastAsia="de-DE"/>
        </w:rPr>
        <w:t xml:space="preserve">/ Si/ </w:t>
      </w:r>
      <w:proofErr w:type="spellStart"/>
      <w:r w:rsidR="00CE61D5">
        <w:rPr>
          <w:rFonts w:ascii="Arial" w:eastAsia="Times New Roman" w:hAnsi="Arial" w:cs="Arial"/>
          <w:color w:val="000000"/>
          <w:sz w:val="20"/>
          <w:szCs w:val="20"/>
          <w:lang w:eastAsia="de-DE"/>
        </w:rPr>
        <w:t>FeCoSiB</w:t>
      </w:r>
      <w:proofErr w:type="spellEnd"/>
      <w:r w:rsidRPr="00B42C32">
        <w:rPr>
          <w:rFonts w:ascii="Arial" w:eastAsia="Times New Roman" w:hAnsi="Arial" w:cs="Arial"/>
          <w:color w:val="000000"/>
          <w:sz w:val="20"/>
          <w:szCs w:val="20"/>
          <w:lang w:eastAsia="de-DE"/>
        </w:rPr>
        <w:t xml:space="preserve"> composite. (</w:t>
      </w:r>
      <w:r w:rsidR="00CE61D5">
        <w:rPr>
          <w:rFonts w:ascii="Arial" w:eastAsia="Times New Roman" w:hAnsi="Arial" w:cs="Arial"/>
          <w:color w:val="000000"/>
          <w:sz w:val="20"/>
          <w:szCs w:val="20"/>
          <w:lang w:eastAsia="de-DE"/>
        </w:rPr>
        <w:t>c</w:t>
      </w:r>
      <w:r w:rsidRPr="00B42C32">
        <w:rPr>
          <w:rFonts w:ascii="Arial" w:eastAsia="Times New Roman" w:hAnsi="Arial" w:cs="Arial"/>
          <w:color w:val="000000"/>
          <w:sz w:val="20"/>
          <w:szCs w:val="20"/>
          <w:lang w:eastAsia="de-DE"/>
        </w:rPr>
        <w:t xml:space="preserve">) </w:t>
      </w:r>
      <w:r w:rsidR="000B51E7">
        <w:rPr>
          <w:rFonts w:ascii="Arial" w:eastAsia="Times New Roman" w:hAnsi="Arial" w:cs="Arial"/>
          <w:color w:val="000000"/>
          <w:sz w:val="20"/>
          <w:szCs w:val="20"/>
          <w:lang w:eastAsia="de-DE"/>
        </w:rPr>
        <w:t>R</w:t>
      </w:r>
      <w:r w:rsidRPr="00B42C32">
        <w:rPr>
          <w:rFonts w:ascii="Arial" w:eastAsia="Times New Roman" w:hAnsi="Arial" w:cs="Arial"/>
          <w:color w:val="000000"/>
          <w:sz w:val="20"/>
          <w:szCs w:val="20"/>
          <w:lang w:eastAsia="de-DE"/>
        </w:rPr>
        <w:t xml:space="preserve">esonant frequency and phase measurement of </w:t>
      </w:r>
      <w:proofErr w:type="spellStart"/>
      <w:r w:rsidR="00CE61D5">
        <w:rPr>
          <w:rFonts w:ascii="Arial" w:eastAsia="Times New Roman" w:hAnsi="Arial" w:cs="Arial"/>
          <w:color w:val="000000"/>
          <w:sz w:val="20"/>
          <w:szCs w:val="20"/>
          <w:lang w:eastAsia="de-DE"/>
        </w:rPr>
        <w:t>AlN</w:t>
      </w:r>
      <w:proofErr w:type="spellEnd"/>
      <w:r w:rsidR="00CE61D5">
        <w:rPr>
          <w:rFonts w:ascii="Arial" w:eastAsia="Times New Roman" w:hAnsi="Arial" w:cs="Arial"/>
          <w:color w:val="000000"/>
          <w:sz w:val="20"/>
          <w:szCs w:val="20"/>
          <w:lang w:eastAsia="de-DE"/>
        </w:rPr>
        <w:t xml:space="preserve"> / </w:t>
      </w:r>
      <w:proofErr w:type="spellStart"/>
      <w:r w:rsidR="00CE61D5">
        <w:rPr>
          <w:rFonts w:ascii="Arial" w:eastAsia="Times New Roman" w:hAnsi="Arial" w:cs="Arial"/>
          <w:color w:val="000000"/>
          <w:sz w:val="20"/>
          <w:szCs w:val="20"/>
          <w:lang w:eastAsia="de-DE"/>
        </w:rPr>
        <w:t>TiNiCu</w:t>
      </w:r>
      <w:proofErr w:type="spellEnd"/>
      <w:r w:rsidR="00CE61D5">
        <w:rPr>
          <w:rFonts w:ascii="Arial" w:eastAsia="Times New Roman" w:hAnsi="Arial" w:cs="Arial"/>
          <w:color w:val="000000"/>
          <w:sz w:val="20"/>
          <w:szCs w:val="20"/>
          <w:lang w:eastAsia="de-DE"/>
        </w:rPr>
        <w:t xml:space="preserve">/ Si/ </w:t>
      </w:r>
      <w:proofErr w:type="spellStart"/>
      <w:r w:rsidR="00CE61D5">
        <w:rPr>
          <w:rFonts w:ascii="Arial" w:eastAsia="Times New Roman" w:hAnsi="Arial" w:cs="Arial"/>
          <w:color w:val="000000"/>
          <w:sz w:val="20"/>
          <w:szCs w:val="20"/>
          <w:lang w:eastAsia="de-DE"/>
        </w:rPr>
        <w:t>FeCoSiB</w:t>
      </w:r>
      <w:proofErr w:type="spellEnd"/>
      <w:r w:rsidRPr="00B42C32">
        <w:rPr>
          <w:rFonts w:ascii="Arial" w:eastAsia="Times New Roman" w:hAnsi="Arial" w:cs="Arial"/>
          <w:color w:val="000000"/>
          <w:sz w:val="20"/>
          <w:szCs w:val="20"/>
          <w:lang w:eastAsia="de-DE"/>
        </w:rPr>
        <w:t xml:space="preserve"> composite </w:t>
      </w:r>
      <w:r w:rsidRPr="00B42C32">
        <w:rPr>
          <w:rFonts w:ascii="Arial" w:hAnsi="Arial" w:cs="Arial"/>
          <w:sz w:val="20"/>
          <w:szCs w:val="20"/>
        </w:rPr>
        <w:t xml:space="preserve">taken by optical beam deflection while magnetically excited. An experimental resonant frequency of 771 Hz was obtained. </w:t>
      </w:r>
    </w:p>
    <w:p w14:paraId="7208B62B" w14:textId="77777777" w:rsidR="00B42C32" w:rsidRPr="004122DD" w:rsidRDefault="00B42C32" w:rsidP="00841634">
      <w:pPr>
        <w:spacing w:line="480" w:lineRule="auto"/>
        <w:jc w:val="both"/>
        <w:rPr>
          <w:rFonts w:ascii="Arial" w:hAnsi="Arial" w:cs="Arial"/>
          <w:sz w:val="24"/>
          <w:szCs w:val="24"/>
        </w:rPr>
      </w:pPr>
    </w:p>
    <w:p w14:paraId="53417E5D" w14:textId="77777777" w:rsidR="00B42C32" w:rsidRPr="004122DD" w:rsidRDefault="00B42C32" w:rsidP="00841634">
      <w:pPr>
        <w:pStyle w:val="Para"/>
        <w:spacing w:line="480" w:lineRule="auto"/>
        <w:ind w:firstLine="0"/>
        <w:rPr>
          <w:rFonts w:ascii="Arial" w:eastAsiaTheme="minorEastAsia" w:hAnsi="Arial" w:cs="Arial"/>
          <w:b/>
          <w:color w:val="8B2F57"/>
          <w:sz w:val="24"/>
          <w:szCs w:val="24"/>
          <w:u w:val="single"/>
        </w:rPr>
      </w:pPr>
    </w:p>
    <w:p w14:paraId="1DF9B16D" w14:textId="33A808B4" w:rsidR="00B42C32" w:rsidRDefault="00B42C32" w:rsidP="00841634">
      <w:pPr>
        <w:spacing w:line="480" w:lineRule="auto"/>
        <w:jc w:val="both"/>
        <w:rPr>
          <w:rFonts w:ascii="Arial" w:hAnsi="Arial" w:cs="Arial"/>
          <w:b/>
          <w:color w:val="8B2F57"/>
          <w:sz w:val="24"/>
          <w:szCs w:val="24"/>
        </w:rPr>
      </w:pPr>
      <w:r>
        <w:rPr>
          <w:rFonts w:ascii="Arial" w:hAnsi="Arial" w:cs="Arial"/>
          <w:b/>
          <w:color w:val="8B2F57"/>
          <w:sz w:val="24"/>
          <w:szCs w:val="24"/>
        </w:rPr>
        <w:t xml:space="preserve">II: </w:t>
      </w:r>
      <w:r w:rsidRPr="00B42C32">
        <w:rPr>
          <w:rFonts w:ascii="Arial" w:hAnsi="Arial" w:cs="Arial"/>
          <w:b/>
          <w:color w:val="8B2F57"/>
          <w:sz w:val="24"/>
          <w:szCs w:val="24"/>
        </w:rPr>
        <w:t>Fabrication Parameters</w:t>
      </w:r>
    </w:p>
    <w:p w14:paraId="36A40147" w14:textId="756EC2A2" w:rsidR="005802B2" w:rsidRDefault="00B42C32" w:rsidP="00841634">
      <w:pPr>
        <w:spacing w:line="480" w:lineRule="auto"/>
        <w:ind w:firstLine="720"/>
        <w:jc w:val="both"/>
        <w:rPr>
          <w:rFonts w:ascii="Arial" w:eastAsiaTheme="minorEastAsia" w:hAnsi="Arial" w:cs="Arial"/>
          <w:sz w:val="20"/>
          <w:szCs w:val="20"/>
        </w:rPr>
      </w:pPr>
      <w:r w:rsidRPr="00DA3C73">
        <w:rPr>
          <w:rFonts w:ascii="Arial" w:hAnsi="Arial" w:cs="Arial"/>
          <w:b/>
          <w:color w:val="8B2F57"/>
          <w:sz w:val="20"/>
          <w:szCs w:val="20"/>
        </w:rPr>
        <w:t xml:space="preserve">  </w:t>
      </w:r>
      <w:r w:rsidR="00DA3C73" w:rsidRPr="00DA3C73">
        <w:rPr>
          <w:rFonts w:ascii="Arial" w:eastAsiaTheme="minorEastAsia" w:hAnsi="Arial" w:cs="Arial"/>
          <w:sz w:val="20"/>
          <w:szCs w:val="20"/>
        </w:rPr>
        <w:t xml:space="preserve">The texture and smoothness of the underlying substrate will strongly influence the piezoelectric performance of </w:t>
      </w:r>
      <w:proofErr w:type="spellStart"/>
      <w:r w:rsidR="00DA3C73" w:rsidRPr="00DA3C73">
        <w:rPr>
          <w:rFonts w:ascii="Arial" w:eastAsiaTheme="minorEastAsia" w:hAnsi="Arial" w:cs="Arial"/>
          <w:sz w:val="20"/>
          <w:szCs w:val="20"/>
        </w:rPr>
        <w:t>AlN</w:t>
      </w:r>
      <w:proofErr w:type="spellEnd"/>
      <w:r w:rsidR="00DA3C73" w:rsidRPr="00DA3C73">
        <w:rPr>
          <w:rFonts w:ascii="Arial" w:eastAsiaTheme="minorEastAsia" w:hAnsi="Arial" w:cs="Arial"/>
          <w:sz w:val="20"/>
          <w:szCs w:val="20"/>
        </w:rPr>
        <w:t xml:space="preserve"> thin-films</w:t>
      </w:r>
      <w:r w:rsidR="00246D39">
        <w:rPr>
          <w:rFonts w:ascii="Arial" w:eastAsiaTheme="minorEastAsia" w:hAnsi="Arial" w:cs="Arial"/>
          <w:sz w:val="20"/>
          <w:szCs w:val="20"/>
        </w:rPr>
        <w:t>.</w:t>
      </w:r>
      <w:r w:rsidR="00246D39">
        <w:rPr>
          <w:rFonts w:ascii="Arial" w:eastAsiaTheme="minorEastAsia" w:hAnsi="Arial" w:cs="Arial"/>
          <w:sz w:val="20"/>
          <w:szCs w:val="20"/>
        </w:rPr>
        <w:fldChar w:fldCharType="begin" w:fldLock="1"/>
      </w:r>
      <w:r w:rsidR="00AC7EF1">
        <w:rPr>
          <w:rFonts w:ascii="Arial" w:eastAsiaTheme="minorEastAsia" w:hAnsi="Arial" w:cs="Arial"/>
          <w:sz w:val="20"/>
          <w:szCs w:val="20"/>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sidR="00246D39">
        <w:rPr>
          <w:rFonts w:ascii="Arial" w:eastAsiaTheme="minorEastAsia" w:hAnsi="Arial" w:cs="Arial"/>
          <w:sz w:val="20"/>
          <w:szCs w:val="20"/>
        </w:rPr>
        <w:fldChar w:fldCharType="separate"/>
      </w:r>
      <w:r w:rsidR="002D1C4E" w:rsidRPr="002D1C4E">
        <w:rPr>
          <w:rFonts w:ascii="Arial" w:eastAsiaTheme="minorEastAsia" w:hAnsi="Arial" w:cs="Arial"/>
          <w:noProof/>
          <w:sz w:val="20"/>
          <w:szCs w:val="20"/>
          <w:vertAlign w:val="superscript"/>
        </w:rPr>
        <w:t>8</w:t>
      </w:r>
      <w:r w:rsidR="00246D39">
        <w:rPr>
          <w:rFonts w:ascii="Arial" w:eastAsiaTheme="minorEastAsia" w:hAnsi="Arial" w:cs="Arial"/>
          <w:sz w:val="20"/>
          <w:szCs w:val="20"/>
        </w:rPr>
        <w:fldChar w:fldCharType="end"/>
      </w:r>
      <w:r w:rsidR="00DA3C73" w:rsidRPr="00DA3C73">
        <w:rPr>
          <w:rFonts w:ascii="Arial" w:eastAsiaTheme="minorEastAsia" w:hAnsi="Arial" w:cs="Arial"/>
          <w:sz w:val="20"/>
          <w:szCs w:val="20"/>
        </w:rPr>
        <w:t xml:space="preserve"> To remove any impurities from the substrates, all Si substrates were first cleaned in a series of acetone, isopropyl alcohol, and water ultra-sonic baths, followed by heating on a hot-plate to 100 °C. All layers were sputtered using a Von </w:t>
      </w:r>
      <w:proofErr w:type="spellStart"/>
      <w:r w:rsidR="00DA3C73" w:rsidRPr="00DA3C73">
        <w:rPr>
          <w:rFonts w:ascii="Arial" w:eastAsiaTheme="minorEastAsia" w:hAnsi="Arial" w:cs="Arial"/>
          <w:sz w:val="20"/>
          <w:szCs w:val="20"/>
        </w:rPr>
        <w:t>Ardenne</w:t>
      </w:r>
      <w:proofErr w:type="spellEnd"/>
      <w:r w:rsidR="00DA3C73" w:rsidRPr="00DA3C73">
        <w:rPr>
          <w:rFonts w:ascii="Arial" w:eastAsiaTheme="minorEastAsia" w:hAnsi="Arial" w:cs="Arial"/>
          <w:sz w:val="20"/>
          <w:szCs w:val="20"/>
        </w:rPr>
        <w:t xml:space="preserve"> (CS 730S) magnetron cluster system, capable of DC, RF, and Pulsed DC sputtering. Prior to all depositions, a free-sputter for a minimum of 5 minutes took place on all targets to ensure the removal of impurities. </w:t>
      </w:r>
      <w:r w:rsidR="005802B2" w:rsidRPr="00DA3C73">
        <w:rPr>
          <w:rFonts w:ascii="Arial" w:eastAsiaTheme="minorEastAsia" w:hAnsi="Arial" w:cs="Arial"/>
          <w:sz w:val="20"/>
          <w:szCs w:val="20"/>
        </w:rPr>
        <w:t>Prior to deposition of the adhesion layer (Ta) and piezoelectric layer (</w:t>
      </w:r>
      <w:proofErr w:type="spellStart"/>
      <w:r w:rsidR="005802B2" w:rsidRPr="00DA3C73">
        <w:rPr>
          <w:rFonts w:ascii="Arial" w:eastAsiaTheme="minorEastAsia" w:hAnsi="Arial" w:cs="Arial"/>
          <w:sz w:val="20"/>
          <w:szCs w:val="20"/>
        </w:rPr>
        <w:t>AlN</w:t>
      </w:r>
      <w:proofErr w:type="spellEnd"/>
      <w:r w:rsidR="005802B2" w:rsidRPr="00DA3C73">
        <w:rPr>
          <w:rFonts w:ascii="Arial" w:eastAsiaTheme="minorEastAsia" w:hAnsi="Arial" w:cs="Arial"/>
          <w:sz w:val="20"/>
          <w:szCs w:val="20"/>
        </w:rPr>
        <w:t xml:space="preserve">), the first few nm of the sample </w:t>
      </w:r>
      <w:proofErr w:type="gramStart"/>
      <w:r w:rsidR="005802B2" w:rsidRPr="00DA3C73">
        <w:rPr>
          <w:rFonts w:ascii="Arial" w:eastAsiaTheme="minorEastAsia" w:hAnsi="Arial" w:cs="Arial"/>
          <w:sz w:val="20"/>
          <w:szCs w:val="20"/>
        </w:rPr>
        <w:t>w</w:t>
      </w:r>
      <w:r w:rsidR="005802B2">
        <w:rPr>
          <w:rFonts w:ascii="Arial" w:eastAsiaTheme="minorEastAsia" w:hAnsi="Arial" w:cs="Arial"/>
          <w:sz w:val="20"/>
          <w:szCs w:val="20"/>
        </w:rPr>
        <w:t>ere</w:t>
      </w:r>
      <w:proofErr w:type="gramEnd"/>
      <w:r w:rsidR="005802B2" w:rsidRPr="00DA3C73">
        <w:rPr>
          <w:rFonts w:ascii="Arial" w:eastAsiaTheme="minorEastAsia" w:hAnsi="Arial" w:cs="Arial"/>
          <w:sz w:val="20"/>
          <w:szCs w:val="20"/>
        </w:rPr>
        <w:t xml:space="preserve"> plasma etched in </w:t>
      </w:r>
      <w:proofErr w:type="spellStart"/>
      <w:r w:rsidR="005802B2" w:rsidRPr="00DA3C73">
        <w:rPr>
          <w:rFonts w:ascii="Arial" w:eastAsiaTheme="minorEastAsia" w:hAnsi="Arial" w:cs="Arial"/>
          <w:sz w:val="20"/>
          <w:szCs w:val="20"/>
        </w:rPr>
        <w:t>Ar</w:t>
      </w:r>
      <w:proofErr w:type="spellEnd"/>
      <w:r w:rsidR="005802B2" w:rsidRPr="00DA3C73">
        <w:rPr>
          <w:rFonts w:ascii="Arial" w:eastAsiaTheme="minorEastAsia" w:hAnsi="Arial" w:cs="Arial"/>
          <w:sz w:val="20"/>
          <w:szCs w:val="20"/>
        </w:rPr>
        <w:t xml:space="preserve"> atmosphere. </w:t>
      </w:r>
    </w:p>
    <w:p w14:paraId="3E934CA2" w14:textId="6327586A" w:rsidR="00DA3C73" w:rsidRPr="00DA3C73" w:rsidRDefault="005802B2" w:rsidP="00841634">
      <w:pPr>
        <w:spacing w:line="480" w:lineRule="auto"/>
        <w:ind w:firstLine="720"/>
        <w:jc w:val="both"/>
        <w:rPr>
          <w:rFonts w:ascii="Arial" w:eastAsiaTheme="minorEastAsia" w:hAnsi="Arial" w:cs="Arial"/>
          <w:sz w:val="20"/>
          <w:szCs w:val="20"/>
        </w:rPr>
      </w:pPr>
      <w:r w:rsidRPr="00DA3C73">
        <w:rPr>
          <w:rFonts w:ascii="Arial" w:eastAsiaTheme="minorEastAsia" w:hAnsi="Arial" w:cs="Arial"/>
          <w:sz w:val="20"/>
          <w:szCs w:val="20"/>
        </w:rPr>
        <w:lastRenderedPageBreak/>
        <w:t xml:space="preserve">Low-temperature magnetron sputtering of </w:t>
      </w:r>
      <w:proofErr w:type="spellStart"/>
      <w:r w:rsidRPr="00DA3C73">
        <w:rPr>
          <w:rFonts w:ascii="Arial" w:eastAsiaTheme="minorEastAsia" w:hAnsi="Arial" w:cs="Arial"/>
          <w:sz w:val="20"/>
          <w:szCs w:val="20"/>
        </w:rPr>
        <w:t>AlN</w:t>
      </w:r>
      <w:proofErr w:type="spellEnd"/>
      <w:r w:rsidRPr="00DA3C73">
        <w:rPr>
          <w:rFonts w:ascii="Arial" w:eastAsiaTheme="minorEastAsia" w:hAnsi="Arial" w:cs="Arial"/>
          <w:sz w:val="20"/>
          <w:szCs w:val="20"/>
        </w:rPr>
        <w:t xml:space="preserve"> from an aluminum (Al) target in a reactive environment is a well-established process. Here, we follow the recipe established by </w:t>
      </w:r>
      <w:proofErr w:type="spellStart"/>
      <w:r w:rsidRPr="00DA3C73">
        <w:rPr>
          <w:rFonts w:ascii="Arial" w:eastAsiaTheme="minorEastAsia" w:hAnsi="Arial" w:cs="Arial"/>
          <w:i/>
          <w:iCs/>
          <w:sz w:val="20"/>
          <w:szCs w:val="20"/>
        </w:rPr>
        <w:t>Yarar</w:t>
      </w:r>
      <w:proofErr w:type="spellEnd"/>
      <w:r w:rsidRPr="00DA3C73">
        <w:rPr>
          <w:rFonts w:ascii="Arial" w:eastAsiaTheme="minorEastAsia" w:hAnsi="Arial" w:cs="Arial"/>
          <w:i/>
          <w:iCs/>
          <w:sz w:val="20"/>
          <w:szCs w:val="20"/>
        </w:rPr>
        <w:t xml:space="preserve"> et. al.</w:t>
      </w:r>
      <w:r>
        <w:rPr>
          <w:rFonts w:ascii="Arial" w:eastAsiaTheme="minorEastAsia" w:hAnsi="Arial" w:cs="Arial"/>
          <w:i/>
          <w:iCs/>
          <w:sz w:val="20"/>
          <w:szCs w:val="20"/>
        </w:rPr>
        <w:t>.</w:t>
      </w:r>
      <w:r>
        <w:rPr>
          <w:rFonts w:ascii="Arial" w:eastAsiaTheme="minorEastAsia" w:hAnsi="Arial" w:cs="Arial"/>
          <w:i/>
          <w:iCs/>
          <w:sz w:val="20"/>
          <w:szCs w:val="20"/>
        </w:rPr>
        <w:fldChar w:fldCharType="begin" w:fldLock="1"/>
      </w:r>
      <w:r w:rsidR="00AC7EF1">
        <w:rPr>
          <w:rFonts w:ascii="Arial" w:eastAsiaTheme="minorEastAsia" w:hAnsi="Arial" w:cs="Arial"/>
          <w:i/>
          <w:iCs/>
          <w:sz w:val="20"/>
          <w:szCs w:val="20"/>
        </w:rPr>
        <w:instrText>ADDIN CSL_CITATION {"citationItems":[{"id":"ITEM-1","itemData":{"author":[{"dropping-particle":"","family":"Yarar","given":"E","non-dropping-particle":"","parse-names":false,"suffix":""},{"dropping-particle":"","family":"Hrkac","given":"V","non-dropping-particle":"","parse-names":false,"suffix":""},{"dropping-particle":"","family":"Zamponi","given":"C","non-dropping-particle":"","parse-names":false,"suffix":""},{"dropping-particle":"","family":"Piorra","given":"A","non-dropping-particle":"","parse-names":false,"suffix":""},{"dropping-particle":"","family":"Kienle","given":"L","non-dropping-particle":"","parse-names":false,"suffix":""},{"dropping-particle":"","family":"Quandt","given":"E","non-dropping-particle":"","parse-names":false,"suffix":""}],"container-title":"AIP Advances","id":"ITEM-1","issue":"7","issued":{"date-parts":[["2016"]]},"page":"75115","publisher":"AIP Publishing","title":"Low temperature aluminum nitride thin films for sensory applications","type":"article-journal","volume":"6"},"uris":["http://www.mendeley.com/documents/?uuid=b453ff2b-1156-43e7-a004-95ca34aa8843"]}],"mendeley":{"formattedCitation":"&lt;sup&gt;9&lt;/sup&gt;","plainTextFormattedCitation":"9","previouslyFormattedCitation":"&lt;sup&gt;9&lt;/sup&gt;"},"properties":{"noteIndex":0},"schema":"https://github.com/citation-style-language/schema/raw/master/csl-citation.json"}</w:instrText>
      </w:r>
      <w:r>
        <w:rPr>
          <w:rFonts w:ascii="Arial" w:eastAsiaTheme="minorEastAsia" w:hAnsi="Arial" w:cs="Arial"/>
          <w:i/>
          <w:iCs/>
          <w:sz w:val="20"/>
          <w:szCs w:val="20"/>
        </w:rPr>
        <w:fldChar w:fldCharType="separate"/>
      </w:r>
      <w:r w:rsidR="002D1C4E" w:rsidRPr="002D1C4E">
        <w:rPr>
          <w:rFonts w:ascii="Arial" w:eastAsiaTheme="minorEastAsia" w:hAnsi="Arial" w:cs="Arial"/>
          <w:iCs/>
          <w:noProof/>
          <w:sz w:val="20"/>
          <w:szCs w:val="20"/>
          <w:vertAlign w:val="superscript"/>
        </w:rPr>
        <w:t>9</w:t>
      </w:r>
      <w:r>
        <w:rPr>
          <w:rFonts w:ascii="Arial" w:eastAsiaTheme="minorEastAsia" w:hAnsi="Arial" w:cs="Arial"/>
          <w:i/>
          <w:iCs/>
          <w:sz w:val="20"/>
          <w:szCs w:val="20"/>
        </w:rPr>
        <w:fldChar w:fldCharType="end"/>
      </w:r>
      <w:r w:rsidRPr="00DA3C73">
        <w:rPr>
          <w:rFonts w:ascii="Arial" w:eastAsiaTheme="minorEastAsia" w:hAnsi="Arial" w:cs="Arial"/>
          <w:i/>
          <w:iCs/>
          <w:sz w:val="20"/>
          <w:szCs w:val="20"/>
        </w:rPr>
        <w:t xml:space="preserve"> </w:t>
      </w:r>
      <w:proofErr w:type="spellStart"/>
      <w:r w:rsidR="00DA3C73" w:rsidRPr="00DA3C73">
        <w:rPr>
          <w:rFonts w:ascii="Arial" w:eastAsiaTheme="minorEastAsia" w:hAnsi="Arial" w:cs="Arial"/>
          <w:sz w:val="20"/>
          <w:szCs w:val="20"/>
        </w:rPr>
        <w:t>AlN</w:t>
      </w:r>
      <w:proofErr w:type="spellEnd"/>
      <w:r w:rsidR="00DA3C73" w:rsidRPr="00DA3C73">
        <w:rPr>
          <w:rFonts w:ascii="Arial" w:eastAsiaTheme="minorEastAsia" w:hAnsi="Arial" w:cs="Arial"/>
          <w:sz w:val="20"/>
          <w:szCs w:val="20"/>
        </w:rPr>
        <w:t xml:space="preserve"> is deposited through a pulsed DC reactive sputtering process using ultra-pure (5N) N</w:t>
      </w:r>
      <w:r w:rsidR="00DA3C73" w:rsidRPr="00DA3C73">
        <w:rPr>
          <w:rFonts w:ascii="Arial" w:eastAsiaTheme="minorEastAsia" w:hAnsi="Arial" w:cs="Arial"/>
          <w:sz w:val="20"/>
          <w:szCs w:val="20"/>
          <w:vertAlign w:val="subscript"/>
        </w:rPr>
        <w:t>2</w:t>
      </w:r>
      <w:r w:rsidR="00DA3C73" w:rsidRPr="00DA3C73">
        <w:rPr>
          <w:rFonts w:ascii="Arial" w:eastAsiaTheme="minorEastAsia" w:hAnsi="Arial" w:cs="Arial"/>
          <w:sz w:val="20"/>
          <w:szCs w:val="20"/>
        </w:rPr>
        <w:t xml:space="preserve"> gas and a high purity Al-target (99.999%). </w:t>
      </w:r>
      <w:r>
        <w:rPr>
          <w:rFonts w:ascii="Arial" w:eastAsiaTheme="minorEastAsia" w:hAnsi="Arial" w:cs="Arial"/>
          <w:sz w:val="20"/>
          <w:szCs w:val="20"/>
        </w:rPr>
        <w:t xml:space="preserve">The </w:t>
      </w:r>
      <w:r w:rsidR="00DA3C73" w:rsidRPr="00DA3C73">
        <w:rPr>
          <w:rFonts w:ascii="Arial" w:eastAsiaTheme="minorEastAsia" w:hAnsi="Arial" w:cs="Arial"/>
          <w:sz w:val="20"/>
          <w:szCs w:val="20"/>
        </w:rPr>
        <w:t>Al target was first conditioned via DC free-sputtering with Argon gas (</w:t>
      </w:r>
      <w:proofErr w:type="spellStart"/>
      <w:r w:rsidR="00DA3C73" w:rsidRPr="00DA3C73">
        <w:rPr>
          <w:rFonts w:ascii="Arial" w:eastAsiaTheme="minorEastAsia" w:hAnsi="Arial" w:cs="Arial"/>
          <w:sz w:val="20"/>
          <w:szCs w:val="20"/>
        </w:rPr>
        <w:t>Ar</w:t>
      </w:r>
      <w:proofErr w:type="spellEnd"/>
      <w:r w:rsidR="00DA3C73" w:rsidRPr="00DA3C73">
        <w:rPr>
          <w:rFonts w:ascii="Arial" w:eastAsiaTheme="minorEastAsia" w:hAnsi="Arial" w:cs="Arial"/>
          <w:sz w:val="20"/>
          <w:szCs w:val="20"/>
        </w:rPr>
        <w:t xml:space="preserve">) on an empty carrier plate for 15 minutes. Afterward, </w:t>
      </w:r>
      <w:proofErr w:type="spellStart"/>
      <w:r w:rsidR="00DA3C73" w:rsidRPr="00DA3C73">
        <w:rPr>
          <w:rFonts w:ascii="Arial" w:eastAsiaTheme="minorEastAsia" w:hAnsi="Arial" w:cs="Arial"/>
          <w:sz w:val="20"/>
          <w:szCs w:val="20"/>
        </w:rPr>
        <w:t>AlN</w:t>
      </w:r>
      <w:proofErr w:type="spellEnd"/>
      <w:r w:rsidR="00DA3C73" w:rsidRPr="00DA3C73">
        <w:rPr>
          <w:rFonts w:ascii="Arial" w:eastAsiaTheme="minorEastAsia" w:hAnsi="Arial" w:cs="Arial"/>
          <w:sz w:val="20"/>
          <w:szCs w:val="20"/>
        </w:rPr>
        <w:t xml:space="preserve"> was also conditioned for 15 minutes on the carrier plate via pulsed DC reactive sputtering, powered by a Pinnacle Plus+ 10kW (Advanced Energy) asymmetric bipolar pulsed DC power supply sputtering operating at a frequency of 250 kHz with 1.6 µs reverse time.  </w:t>
      </w:r>
      <w:r w:rsidR="00DA3C73" w:rsidRPr="00DA3C73">
        <w:rPr>
          <w:rFonts w:ascii="Arial" w:hAnsi="Arial" w:cs="Arial"/>
          <w:sz w:val="20"/>
          <w:szCs w:val="20"/>
        </w:rPr>
        <w:t xml:space="preserve">After these conditioning steps took place, ~2 µm of </w:t>
      </w:r>
      <w:proofErr w:type="spellStart"/>
      <w:r w:rsidR="00DA3C73" w:rsidRPr="00DA3C73">
        <w:rPr>
          <w:rFonts w:ascii="Arial" w:hAnsi="Arial" w:cs="Arial"/>
          <w:sz w:val="20"/>
          <w:szCs w:val="20"/>
        </w:rPr>
        <w:t>AlN</w:t>
      </w:r>
      <w:proofErr w:type="spellEnd"/>
      <w:r w:rsidR="00DA3C73" w:rsidRPr="00DA3C73">
        <w:rPr>
          <w:rFonts w:ascii="Arial" w:hAnsi="Arial" w:cs="Arial"/>
          <w:sz w:val="20"/>
          <w:szCs w:val="20"/>
        </w:rPr>
        <w:t xml:space="preserve"> was sputtered under the same conditions on the sample for 42 minutes. </w:t>
      </w:r>
      <w:r>
        <w:rPr>
          <w:rFonts w:ascii="Arial" w:hAnsi="Arial" w:cs="Arial"/>
          <w:sz w:val="20"/>
          <w:szCs w:val="20"/>
        </w:rPr>
        <w:t xml:space="preserve">Finally, </w:t>
      </w:r>
      <w:r w:rsidRPr="00DA3C73">
        <w:rPr>
          <w:rFonts w:ascii="Arial" w:hAnsi="Arial" w:cs="Arial"/>
          <w:sz w:val="20"/>
          <w:szCs w:val="20"/>
        </w:rPr>
        <w:t xml:space="preserve">~2 µm </w:t>
      </w:r>
      <w:proofErr w:type="spellStart"/>
      <w:r w:rsidR="00DA3C73" w:rsidRPr="00DA3C73">
        <w:rPr>
          <w:rFonts w:ascii="Arial" w:hAnsi="Arial" w:cs="Arial"/>
          <w:sz w:val="20"/>
          <w:szCs w:val="20"/>
        </w:rPr>
        <w:t>FeCoSiB</w:t>
      </w:r>
      <w:proofErr w:type="spellEnd"/>
      <w:r w:rsidR="00DA3C73" w:rsidRPr="00DA3C73">
        <w:rPr>
          <w:rFonts w:ascii="Arial" w:hAnsi="Arial" w:cs="Arial"/>
          <w:sz w:val="20"/>
          <w:szCs w:val="20"/>
        </w:rPr>
        <w:t xml:space="preserve"> </w:t>
      </w:r>
      <w:r>
        <w:rPr>
          <w:rFonts w:ascii="Arial" w:hAnsi="Arial" w:cs="Arial"/>
          <w:sz w:val="20"/>
          <w:szCs w:val="20"/>
        </w:rPr>
        <w:t>is</w:t>
      </w:r>
      <w:r w:rsidR="00DA3C73" w:rsidRPr="00DA3C73">
        <w:rPr>
          <w:rFonts w:ascii="Arial" w:hAnsi="Arial" w:cs="Arial"/>
          <w:sz w:val="20"/>
          <w:szCs w:val="20"/>
        </w:rPr>
        <w:t xml:space="preserve"> sandwiched between two layers of Ta (adhesion and protection layers) by means of RF sputtering on the backside of the wafer. </w:t>
      </w:r>
      <w:r w:rsidRPr="00DA3C73">
        <w:rPr>
          <w:rFonts w:ascii="Arial" w:eastAsiaTheme="minorEastAsia" w:hAnsi="Arial" w:cs="Arial"/>
          <w:sz w:val="20"/>
          <w:szCs w:val="20"/>
        </w:rPr>
        <w:t>The sputtering parameters used for depositions of all materials layers in the fabricated composite are shown in Table SI.</w:t>
      </w:r>
    </w:p>
    <w:p w14:paraId="714B15F5" w14:textId="21072C8D" w:rsidR="00B42C32" w:rsidRDefault="00B42C32" w:rsidP="00841634">
      <w:pPr>
        <w:spacing w:line="480" w:lineRule="auto"/>
        <w:jc w:val="both"/>
        <w:rPr>
          <w:rFonts w:ascii="Arial" w:hAnsi="Arial" w:cs="Arial"/>
          <w:b/>
          <w:color w:val="8B2F57"/>
          <w:sz w:val="24"/>
          <w:szCs w:val="24"/>
        </w:rPr>
      </w:pPr>
    </w:p>
    <w:p w14:paraId="5D086EB7" w14:textId="77777777" w:rsidR="00501C2B" w:rsidRPr="00501C2B" w:rsidRDefault="00501C2B" w:rsidP="00501C2B">
      <w:pPr>
        <w:spacing w:after="0" w:line="480" w:lineRule="auto"/>
        <w:ind w:firstLine="284"/>
        <w:rPr>
          <w:rFonts w:ascii="Arial" w:eastAsia="Calibri" w:hAnsi="Arial" w:cs="Times New Roman"/>
          <w:sz w:val="20"/>
          <w:szCs w:val="20"/>
          <w:lang w:eastAsia="de-DE"/>
        </w:rPr>
      </w:pPr>
      <w:bookmarkStart w:id="8" w:name="_Hlk27376396"/>
      <w:bookmarkStart w:id="9" w:name="_Hlk27834399"/>
      <w:bookmarkStart w:id="10" w:name="_Hlk27375151"/>
      <w:r w:rsidRPr="00501C2B">
        <w:rPr>
          <w:rFonts w:ascii="Arial" w:eastAsia="Calibri" w:hAnsi="Arial" w:cs="Times New Roman"/>
          <w:sz w:val="20"/>
          <w:szCs w:val="20"/>
          <w:lang w:eastAsia="de-DE"/>
        </w:rPr>
        <w:t xml:space="preserve">TABLE SI. Sputter deposition and fabrication processing parameters of each material in the </w:t>
      </w:r>
      <w:proofErr w:type="spellStart"/>
      <w:r w:rsidRPr="00501C2B">
        <w:rPr>
          <w:rFonts w:ascii="Arial" w:eastAsia="Calibri" w:hAnsi="Arial" w:cs="Times New Roman"/>
          <w:sz w:val="20"/>
          <w:szCs w:val="20"/>
          <w:lang w:eastAsia="de-DE"/>
        </w:rPr>
        <w:t>AlN</w:t>
      </w:r>
      <w:proofErr w:type="spellEnd"/>
      <w:r w:rsidRPr="00501C2B">
        <w:rPr>
          <w:rFonts w:ascii="Arial" w:eastAsia="Calibri" w:hAnsi="Arial" w:cs="Times New Roman"/>
          <w:sz w:val="20"/>
          <w:szCs w:val="20"/>
          <w:lang w:eastAsia="de-DE"/>
        </w:rPr>
        <w:t xml:space="preserve"> / </w:t>
      </w:r>
      <w:proofErr w:type="spellStart"/>
      <w:r w:rsidRPr="00501C2B">
        <w:rPr>
          <w:rFonts w:ascii="Arial" w:eastAsia="Calibri" w:hAnsi="Arial" w:cs="Times New Roman"/>
          <w:sz w:val="20"/>
          <w:szCs w:val="20"/>
          <w:lang w:eastAsia="de-DE"/>
        </w:rPr>
        <w:t>TiNiCu</w:t>
      </w:r>
      <w:proofErr w:type="spellEnd"/>
      <w:r w:rsidRPr="00501C2B">
        <w:rPr>
          <w:rFonts w:ascii="Arial" w:eastAsia="Calibri" w:hAnsi="Arial" w:cs="Times New Roman"/>
          <w:sz w:val="20"/>
          <w:szCs w:val="20"/>
          <w:lang w:eastAsia="de-DE"/>
        </w:rPr>
        <w:t xml:space="preserve">/ Si/ </w:t>
      </w:r>
      <w:proofErr w:type="spellStart"/>
      <w:r w:rsidRPr="00501C2B">
        <w:rPr>
          <w:rFonts w:ascii="Arial" w:eastAsia="Calibri" w:hAnsi="Arial" w:cs="Times New Roman"/>
          <w:sz w:val="20"/>
          <w:szCs w:val="20"/>
          <w:lang w:eastAsia="de-DE"/>
        </w:rPr>
        <w:t>FeCoSiB</w:t>
      </w:r>
      <w:proofErr w:type="spellEnd"/>
      <w:r w:rsidRPr="00501C2B">
        <w:rPr>
          <w:rFonts w:ascii="Arial" w:eastAsia="Calibri" w:hAnsi="Arial" w:cs="Times New Roman"/>
          <w:sz w:val="20"/>
          <w:szCs w:val="20"/>
          <w:lang w:eastAsia="de-DE"/>
        </w:rPr>
        <w:t xml:space="preserve"> composites </w:t>
      </w:r>
    </w:p>
    <w:tbl>
      <w:tblPr>
        <w:tblW w:w="9537" w:type="dxa"/>
        <w:tblLook w:val="04A0" w:firstRow="1" w:lastRow="0" w:firstColumn="1" w:lastColumn="0" w:noHBand="0" w:noVBand="1"/>
      </w:tblPr>
      <w:tblGrid>
        <w:gridCol w:w="1528"/>
        <w:gridCol w:w="1725"/>
        <w:gridCol w:w="948"/>
        <w:gridCol w:w="108"/>
        <w:gridCol w:w="989"/>
        <w:gridCol w:w="132"/>
        <w:gridCol w:w="909"/>
        <w:gridCol w:w="987"/>
        <w:gridCol w:w="22"/>
        <w:gridCol w:w="793"/>
        <w:gridCol w:w="195"/>
        <w:gridCol w:w="86"/>
        <w:gridCol w:w="1025"/>
        <w:gridCol w:w="90"/>
      </w:tblGrid>
      <w:tr w:rsidR="00501C2B" w:rsidRPr="00501C2B" w14:paraId="5AC4C7F0" w14:textId="77777777" w:rsidTr="00FE6F3C">
        <w:trPr>
          <w:trHeight w:val="679"/>
        </w:trPr>
        <w:tc>
          <w:tcPr>
            <w:tcW w:w="1393" w:type="dxa"/>
            <w:tcBorders>
              <w:top w:val="double" w:sz="4" w:space="0" w:color="auto"/>
              <w:bottom w:val="single" w:sz="4" w:space="0" w:color="auto"/>
            </w:tcBorders>
            <w:shd w:val="clear" w:color="auto" w:fill="auto"/>
            <w:vAlign w:val="center"/>
          </w:tcPr>
          <w:bookmarkEnd w:id="8"/>
          <w:p w14:paraId="278C5CEA"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Material Layer</w:t>
            </w:r>
          </w:p>
        </w:tc>
        <w:tc>
          <w:tcPr>
            <w:tcW w:w="1559" w:type="dxa"/>
            <w:tcBorders>
              <w:top w:val="double" w:sz="4" w:space="0" w:color="auto"/>
              <w:bottom w:val="single" w:sz="4" w:space="0" w:color="auto"/>
            </w:tcBorders>
            <w:vAlign w:val="center"/>
          </w:tcPr>
          <w:p w14:paraId="4ED54F34"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Sputter Target [diameter]</w:t>
            </w:r>
          </w:p>
        </w:tc>
        <w:tc>
          <w:tcPr>
            <w:tcW w:w="1145" w:type="dxa"/>
            <w:gridSpan w:val="2"/>
            <w:tcBorders>
              <w:top w:val="double" w:sz="4" w:space="0" w:color="auto"/>
              <w:bottom w:val="single" w:sz="4" w:space="0" w:color="auto"/>
            </w:tcBorders>
            <w:shd w:val="clear" w:color="auto" w:fill="auto"/>
            <w:vAlign w:val="center"/>
          </w:tcPr>
          <w:p w14:paraId="684C61B1"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Power </w:t>
            </w:r>
          </w:p>
        </w:tc>
        <w:tc>
          <w:tcPr>
            <w:tcW w:w="1171" w:type="dxa"/>
            <w:gridSpan w:val="2"/>
            <w:tcBorders>
              <w:top w:val="double" w:sz="4" w:space="0" w:color="auto"/>
              <w:bottom w:val="single" w:sz="4" w:space="0" w:color="auto"/>
            </w:tcBorders>
            <w:shd w:val="clear" w:color="auto" w:fill="auto"/>
            <w:vAlign w:val="center"/>
          </w:tcPr>
          <w:p w14:paraId="554CC167"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Sputter Pressure </w:t>
            </w:r>
          </w:p>
        </w:tc>
        <w:tc>
          <w:tcPr>
            <w:tcW w:w="1004" w:type="dxa"/>
            <w:tcBorders>
              <w:top w:val="double" w:sz="4" w:space="0" w:color="auto"/>
              <w:bottom w:val="single" w:sz="4" w:space="0" w:color="auto"/>
            </w:tcBorders>
            <w:shd w:val="clear" w:color="auto" w:fill="auto"/>
            <w:vAlign w:val="center"/>
          </w:tcPr>
          <w:p w14:paraId="7CA48127" w14:textId="77777777" w:rsidR="00501C2B" w:rsidRPr="00501C2B" w:rsidRDefault="00501C2B" w:rsidP="00501C2B">
            <w:pPr>
              <w:spacing w:after="0" w:line="240" w:lineRule="auto"/>
              <w:jc w:val="center"/>
              <w:rPr>
                <w:rFonts w:ascii="Arial" w:eastAsia="Calibri" w:hAnsi="Arial" w:cs="Times New Roman"/>
                <w:sz w:val="18"/>
                <w:szCs w:val="18"/>
                <w:lang w:eastAsia="de-DE"/>
              </w:rPr>
            </w:pPr>
            <w:proofErr w:type="spellStart"/>
            <w:r w:rsidRPr="00501C2B">
              <w:rPr>
                <w:rFonts w:ascii="Arial" w:eastAsia="Calibri" w:hAnsi="Arial" w:cs="Times New Roman"/>
                <w:sz w:val="18"/>
                <w:szCs w:val="18"/>
                <w:lang w:eastAsia="de-DE"/>
              </w:rPr>
              <w:t>Ar</w:t>
            </w:r>
            <w:proofErr w:type="spellEnd"/>
            <w:r w:rsidRPr="00501C2B">
              <w:rPr>
                <w:rFonts w:ascii="Arial" w:eastAsia="Calibri" w:hAnsi="Arial" w:cs="Times New Roman"/>
                <w:sz w:val="18"/>
                <w:szCs w:val="18"/>
                <w:lang w:eastAsia="de-DE"/>
              </w:rPr>
              <w:t xml:space="preserve"> / N</w:t>
            </w:r>
            <w:r w:rsidRPr="00501C2B">
              <w:rPr>
                <w:rFonts w:ascii="Arial" w:eastAsia="Calibri" w:hAnsi="Arial" w:cs="Times New Roman"/>
                <w:sz w:val="18"/>
                <w:szCs w:val="18"/>
                <w:vertAlign w:val="subscript"/>
                <w:lang w:eastAsia="de-DE"/>
              </w:rPr>
              <w:t>2</w:t>
            </w:r>
            <w:r w:rsidRPr="00501C2B">
              <w:rPr>
                <w:rFonts w:ascii="Arial" w:eastAsia="Calibri" w:hAnsi="Arial" w:cs="Times New Roman"/>
                <w:sz w:val="18"/>
                <w:szCs w:val="18"/>
                <w:lang w:eastAsia="de-DE"/>
              </w:rPr>
              <w:t xml:space="preserve"> flow </w:t>
            </w:r>
          </w:p>
        </w:tc>
        <w:tc>
          <w:tcPr>
            <w:tcW w:w="1043" w:type="dxa"/>
            <w:gridSpan w:val="2"/>
            <w:tcBorders>
              <w:top w:val="double" w:sz="4" w:space="0" w:color="auto"/>
              <w:bottom w:val="single" w:sz="4" w:space="0" w:color="auto"/>
            </w:tcBorders>
            <w:vAlign w:val="center"/>
          </w:tcPr>
          <w:p w14:paraId="4DFBB538"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Time </w:t>
            </w:r>
          </w:p>
        </w:tc>
        <w:tc>
          <w:tcPr>
            <w:tcW w:w="1104" w:type="dxa"/>
            <w:gridSpan w:val="3"/>
            <w:tcBorders>
              <w:top w:val="double" w:sz="4" w:space="0" w:color="auto"/>
              <w:bottom w:val="single" w:sz="4" w:space="0" w:color="auto"/>
            </w:tcBorders>
            <w:vAlign w:val="center"/>
          </w:tcPr>
          <w:p w14:paraId="4C640F84"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Film thickness </w:t>
            </w:r>
          </w:p>
        </w:tc>
        <w:tc>
          <w:tcPr>
            <w:tcW w:w="1117" w:type="dxa"/>
            <w:gridSpan w:val="2"/>
            <w:tcBorders>
              <w:top w:val="double" w:sz="4" w:space="0" w:color="auto"/>
              <w:bottom w:val="single" w:sz="4" w:space="0" w:color="auto"/>
            </w:tcBorders>
            <w:vAlign w:val="center"/>
          </w:tcPr>
          <w:p w14:paraId="35B4238E"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Additional Processing Notes</w:t>
            </w:r>
          </w:p>
        </w:tc>
      </w:tr>
      <w:tr w:rsidR="00501C2B" w:rsidRPr="00501C2B" w14:paraId="1B825D75" w14:textId="77777777" w:rsidTr="00FE6F3C">
        <w:trPr>
          <w:trHeight w:val="235"/>
        </w:trPr>
        <w:tc>
          <w:tcPr>
            <w:tcW w:w="2953" w:type="dxa"/>
            <w:gridSpan w:val="2"/>
            <w:tcBorders>
              <w:top w:val="single" w:sz="4" w:space="0" w:color="auto"/>
            </w:tcBorders>
            <w:shd w:val="clear" w:color="auto" w:fill="auto"/>
            <w:vAlign w:val="center"/>
          </w:tcPr>
          <w:p w14:paraId="4A373BB9" w14:textId="77777777" w:rsidR="00501C2B" w:rsidRPr="00501C2B" w:rsidRDefault="00501C2B" w:rsidP="00501C2B">
            <w:pPr>
              <w:spacing w:after="0" w:line="240" w:lineRule="auto"/>
              <w:rPr>
                <w:rFonts w:ascii="Arial" w:eastAsia="Calibri" w:hAnsi="Arial" w:cs="Times New Roman"/>
                <w:sz w:val="18"/>
                <w:szCs w:val="18"/>
                <w:lang w:eastAsia="de-DE"/>
              </w:rPr>
            </w:pPr>
            <w:r w:rsidRPr="00501C2B">
              <w:rPr>
                <w:rFonts w:ascii="Arial" w:eastAsia="Calibri" w:hAnsi="Arial" w:cs="Times New Roman"/>
                <w:sz w:val="18"/>
                <w:szCs w:val="18"/>
                <w:lang w:eastAsia="de-DE"/>
              </w:rPr>
              <w:t>Standard DC Sputtering:</w:t>
            </w:r>
          </w:p>
        </w:tc>
        <w:tc>
          <w:tcPr>
            <w:tcW w:w="1145" w:type="dxa"/>
            <w:gridSpan w:val="2"/>
            <w:tcBorders>
              <w:top w:val="single" w:sz="4" w:space="0" w:color="auto"/>
            </w:tcBorders>
            <w:shd w:val="clear" w:color="auto" w:fill="auto"/>
            <w:vAlign w:val="center"/>
          </w:tcPr>
          <w:p w14:paraId="43FAF383" w14:textId="77777777" w:rsidR="00501C2B" w:rsidRPr="00501C2B" w:rsidRDefault="00501C2B" w:rsidP="00501C2B">
            <w:pPr>
              <w:spacing w:after="0" w:line="240" w:lineRule="auto"/>
              <w:rPr>
                <w:rFonts w:ascii="Arial" w:eastAsia="Calibri" w:hAnsi="Arial" w:cs="Times New Roman"/>
                <w:sz w:val="18"/>
                <w:szCs w:val="18"/>
                <w:lang w:eastAsia="de-DE"/>
              </w:rPr>
            </w:pPr>
          </w:p>
        </w:tc>
        <w:tc>
          <w:tcPr>
            <w:tcW w:w="1171" w:type="dxa"/>
            <w:gridSpan w:val="2"/>
            <w:tcBorders>
              <w:top w:val="single" w:sz="4" w:space="0" w:color="auto"/>
            </w:tcBorders>
            <w:shd w:val="clear" w:color="auto" w:fill="auto"/>
            <w:vAlign w:val="center"/>
          </w:tcPr>
          <w:p w14:paraId="0D5CB120" w14:textId="77777777" w:rsidR="00501C2B" w:rsidRPr="00501C2B" w:rsidRDefault="00501C2B" w:rsidP="00501C2B">
            <w:pPr>
              <w:spacing w:after="0" w:line="240" w:lineRule="auto"/>
              <w:rPr>
                <w:rFonts w:ascii="Arial" w:eastAsia="Calibri" w:hAnsi="Arial" w:cs="Times New Roman"/>
                <w:sz w:val="18"/>
                <w:szCs w:val="18"/>
                <w:lang w:eastAsia="de-DE"/>
              </w:rPr>
            </w:pPr>
          </w:p>
        </w:tc>
        <w:tc>
          <w:tcPr>
            <w:tcW w:w="1004" w:type="dxa"/>
            <w:tcBorders>
              <w:top w:val="single" w:sz="4" w:space="0" w:color="auto"/>
            </w:tcBorders>
            <w:shd w:val="clear" w:color="auto" w:fill="auto"/>
            <w:vAlign w:val="center"/>
          </w:tcPr>
          <w:p w14:paraId="3803C582" w14:textId="77777777" w:rsidR="00501C2B" w:rsidRPr="00501C2B" w:rsidRDefault="00501C2B" w:rsidP="00501C2B">
            <w:pPr>
              <w:spacing w:after="0" w:line="240" w:lineRule="auto"/>
              <w:rPr>
                <w:rFonts w:ascii="Arial" w:eastAsia="Calibri" w:hAnsi="Arial" w:cs="Times New Roman"/>
                <w:sz w:val="18"/>
                <w:szCs w:val="18"/>
                <w:lang w:eastAsia="de-DE"/>
              </w:rPr>
            </w:pPr>
          </w:p>
        </w:tc>
        <w:tc>
          <w:tcPr>
            <w:tcW w:w="1043" w:type="dxa"/>
            <w:gridSpan w:val="2"/>
            <w:tcBorders>
              <w:top w:val="single" w:sz="4" w:space="0" w:color="auto"/>
            </w:tcBorders>
            <w:vAlign w:val="center"/>
          </w:tcPr>
          <w:p w14:paraId="03BCDE80" w14:textId="77777777" w:rsidR="00501C2B" w:rsidRPr="00501C2B" w:rsidRDefault="00501C2B" w:rsidP="00501C2B">
            <w:pPr>
              <w:spacing w:after="0" w:line="240" w:lineRule="auto"/>
              <w:rPr>
                <w:rFonts w:ascii="Arial" w:eastAsia="Calibri" w:hAnsi="Arial" w:cs="Times New Roman"/>
                <w:sz w:val="18"/>
                <w:szCs w:val="18"/>
                <w:lang w:eastAsia="de-DE"/>
              </w:rPr>
            </w:pPr>
          </w:p>
        </w:tc>
        <w:tc>
          <w:tcPr>
            <w:tcW w:w="1104" w:type="dxa"/>
            <w:gridSpan w:val="3"/>
            <w:tcBorders>
              <w:top w:val="single" w:sz="4" w:space="0" w:color="auto"/>
            </w:tcBorders>
            <w:vAlign w:val="center"/>
          </w:tcPr>
          <w:p w14:paraId="7FB098E8" w14:textId="77777777" w:rsidR="00501C2B" w:rsidRPr="00501C2B" w:rsidRDefault="00501C2B" w:rsidP="00501C2B">
            <w:pPr>
              <w:spacing w:after="0" w:line="240" w:lineRule="auto"/>
              <w:rPr>
                <w:rFonts w:ascii="Arial" w:eastAsia="Calibri" w:hAnsi="Arial" w:cs="Times New Roman"/>
                <w:sz w:val="18"/>
                <w:szCs w:val="18"/>
                <w:lang w:eastAsia="de-DE"/>
              </w:rPr>
            </w:pPr>
          </w:p>
        </w:tc>
        <w:tc>
          <w:tcPr>
            <w:tcW w:w="1117" w:type="dxa"/>
            <w:gridSpan w:val="2"/>
            <w:tcBorders>
              <w:top w:val="single" w:sz="4" w:space="0" w:color="auto"/>
            </w:tcBorders>
            <w:vAlign w:val="center"/>
          </w:tcPr>
          <w:p w14:paraId="34E6F644" w14:textId="77777777" w:rsidR="00501C2B" w:rsidRPr="00501C2B" w:rsidRDefault="00501C2B" w:rsidP="00501C2B">
            <w:pPr>
              <w:spacing w:after="0" w:line="240" w:lineRule="auto"/>
              <w:rPr>
                <w:rFonts w:ascii="Arial" w:eastAsia="Calibri" w:hAnsi="Arial" w:cs="Times New Roman"/>
                <w:sz w:val="18"/>
                <w:szCs w:val="18"/>
                <w:lang w:eastAsia="de-DE"/>
              </w:rPr>
            </w:pPr>
          </w:p>
        </w:tc>
      </w:tr>
      <w:tr w:rsidR="00501C2B" w:rsidRPr="00501C2B" w14:paraId="24197258" w14:textId="77777777" w:rsidTr="00FE6F3C">
        <w:trPr>
          <w:trHeight w:val="470"/>
        </w:trPr>
        <w:tc>
          <w:tcPr>
            <w:tcW w:w="1393" w:type="dxa"/>
            <w:tcBorders>
              <w:top w:val="single" w:sz="4" w:space="0" w:color="auto"/>
            </w:tcBorders>
            <w:shd w:val="clear" w:color="auto" w:fill="auto"/>
            <w:vAlign w:val="center"/>
          </w:tcPr>
          <w:p w14:paraId="7348014E"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Pre-etch</w:t>
            </w:r>
          </w:p>
        </w:tc>
        <w:tc>
          <w:tcPr>
            <w:tcW w:w="1559" w:type="dxa"/>
            <w:tcBorders>
              <w:top w:val="single" w:sz="4" w:space="0" w:color="auto"/>
            </w:tcBorders>
            <w:vAlign w:val="center"/>
          </w:tcPr>
          <w:p w14:paraId="2C670932"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w:t>
            </w:r>
          </w:p>
        </w:tc>
        <w:tc>
          <w:tcPr>
            <w:tcW w:w="1145" w:type="dxa"/>
            <w:gridSpan w:val="2"/>
            <w:tcBorders>
              <w:top w:val="single" w:sz="4" w:space="0" w:color="auto"/>
            </w:tcBorders>
            <w:shd w:val="clear" w:color="auto" w:fill="auto"/>
            <w:vAlign w:val="center"/>
          </w:tcPr>
          <w:p w14:paraId="07D88062"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100 W</w:t>
            </w:r>
          </w:p>
        </w:tc>
        <w:tc>
          <w:tcPr>
            <w:tcW w:w="1171" w:type="dxa"/>
            <w:gridSpan w:val="2"/>
            <w:tcBorders>
              <w:top w:val="single" w:sz="4" w:space="0" w:color="auto"/>
            </w:tcBorders>
            <w:shd w:val="clear" w:color="auto" w:fill="auto"/>
            <w:vAlign w:val="center"/>
          </w:tcPr>
          <w:p w14:paraId="17C1F271"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5E-3 mbar</w:t>
            </w:r>
          </w:p>
        </w:tc>
        <w:tc>
          <w:tcPr>
            <w:tcW w:w="1004" w:type="dxa"/>
            <w:tcBorders>
              <w:top w:val="single" w:sz="4" w:space="0" w:color="auto"/>
            </w:tcBorders>
            <w:shd w:val="clear" w:color="auto" w:fill="auto"/>
            <w:vAlign w:val="center"/>
          </w:tcPr>
          <w:p w14:paraId="067E8D6E"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tcBorders>
              <w:top w:val="single" w:sz="4" w:space="0" w:color="auto"/>
            </w:tcBorders>
            <w:vAlign w:val="center"/>
          </w:tcPr>
          <w:p w14:paraId="4004672A"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 min</w:t>
            </w:r>
          </w:p>
        </w:tc>
        <w:tc>
          <w:tcPr>
            <w:tcW w:w="1104" w:type="dxa"/>
            <w:gridSpan w:val="3"/>
            <w:tcBorders>
              <w:top w:val="single" w:sz="4" w:space="0" w:color="auto"/>
            </w:tcBorders>
            <w:vAlign w:val="center"/>
          </w:tcPr>
          <w:p w14:paraId="03F68490"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w:t>
            </w:r>
          </w:p>
        </w:tc>
        <w:tc>
          <w:tcPr>
            <w:tcW w:w="1117" w:type="dxa"/>
            <w:gridSpan w:val="2"/>
            <w:tcBorders>
              <w:top w:val="single" w:sz="4" w:space="0" w:color="auto"/>
            </w:tcBorders>
            <w:vAlign w:val="center"/>
          </w:tcPr>
          <w:p w14:paraId="234834AC"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Removes first few nm</w:t>
            </w:r>
          </w:p>
        </w:tc>
      </w:tr>
      <w:tr w:rsidR="00501C2B" w:rsidRPr="00501C2B" w14:paraId="03618A2B" w14:textId="77777777" w:rsidTr="00FE6F3C">
        <w:trPr>
          <w:trHeight w:val="209"/>
        </w:trPr>
        <w:tc>
          <w:tcPr>
            <w:tcW w:w="1393" w:type="dxa"/>
            <w:shd w:val="clear" w:color="auto" w:fill="auto"/>
            <w:vAlign w:val="center"/>
          </w:tcPr>
          <w:p w14:paraId="7F4454DC"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Adhesion</w:t>
            </w:r>
          </w:p>
        </w:tc>
        <w:tc>
          <w:tcPr>
            <w:tcW w:w="1559" w:type="dxa"/>
            <w:vAlign w:val="center"/>
          </w:tcPr>
          <w:p w14:paraId="7B787348"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eastAsia="de-DE"/>
              </w:rPr>
              <w:t>Ta [8in]</w:t>
            </w:r>
          </w:p>
        </w:tc>
        <w:tc>
          <w:tcPr>
            <w:tcW w:w="1145" w:type="dxa"/>
            <w:gridSpan w:val="2"/>
            <w:shd w:val="clear" w:color="auto" w:fill="auto"/>
            <w:vAlign w:val="center"/>
          </w:tcPr>
          <w:p w14:paraId="56EB78A2"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200 W</w:t>
            </w:r>
          </w:p>
        </w:tc>
        <w:tc>
          <w:tcPr>
            <w:tcW w:w="1171" w:type="dxa"/>
            <w:gridSpan w:val="2"/>
            <w:shd w:val="clear" w:color="auto" w:fill="auto"/>
            <w:vAlign w:val="center"/>
          </w:tcPr>
          <w:p w14:paraId="227FB2D9"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4E-3 </w:t>
            </w:r>
            <w:r w:rsidRPr="00501C2B">
              <w:rPr>
                <w:rFonts w:ascii="Arial" w:eastAsia="Calibri" w:hAnsi="Arial" w:cs="Times New Roman"/>
                <w:sz w:val="18"/>
                <w:szCs w:val="18"/>
                <w:lang w:eastAsia="de-DE"/>
              </w:rPr>
              <w:t>mbar</w:t>
            </w:r>
          </w:p>
        </w:tc>
        <w:tc>
          <w:tcPr>
            <w:tcW w:w="1004" w:type="dxa"/>
            <w:shd w:val="clear" w:color="auto" w:fill="auto"/>
            <w:vAlign w:val="center"/>
          </w:tcPr>
          <w:p w14:paraId="17FCFA10"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30 Ar</w:t>
            </w:r>
          </w:p>
        </w:tc>
        <w:tc>
          <w:tcPr>
            <w:tcW w:w="1043" w:type="dxa"/>
            <w:gridSpan w:val="2"/>
            <w:vAlign w:val="center"/>
          </w:tcPr>
          <w:p w14:paraId="5F11F960"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 min</w:t>
            </w:r>
          </w:p>
        </w:tc>
        <w:tc>
          <w:tcPr>
            <w:tcW w:w="1104" w:type="dxa"/>
            <w:gridSpan w:val="3"/>
            <w:vAlign w:val="center"/>
          </w:tcPr>
          <w:p w14:paraId="4F98AF3E"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20 nm</w:t>
            </w:r>
          </w:p>
        </w:tc>
        <w:tc>
          <w:tcPr>
            <w:tcW w:w="1117" w:type="dxa"/>
            <w:gridSpan w:val="2"/>
            <w:vAlign w:val="center"/>
          </w:tcPr>
          <w:p w14:paraId="2F87AF6C"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03FC9922" w14:textId="77777777" w:rsidTr="00FE6F3C">
        <w:trPr>
          <w:trHeight w:val="235"/>
        </w:trPr>
        <w:tc>
          <w:tcPr>
            <w:tcW w:w="1393" w:type="dxa"/>
            <w:shd w:val="clear" w:color="auto" w:fill="auto"/>
            <w:vAlign w:val="center"/>
          </w:tcPr>
          <w:p w14:paraId="4FFE557B"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SMA</w:t>
            </w:r>
          </w:p>
        </w:tc>
        <w:tc>
          <w:tcPr>
            <w:tcW w:w="1559" w:type="dxa"/>
            <w:vAlign w:val="center"/>
          </w:tcPr>
          <w:p w14:paraId="6B2242EC"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Ti</w:t>
            </w:r>
            <w:r w:rsidRPr="00501C2B">
              <w:rPr>
                <w:rFonts w:ascii="Arial" w:eastAsia="Calibri" w:hAnsi="Arial" w:cs="Times New Roman"/>
                <w:sz w:val="18"/>
                <w:szCs w:val="18"/>
                <w:vertAlign w:val="subscript"/>
                <w:lang w:eastAsia="de-DE"/>
              </w:rPr>
              <w:t>50</w:t>
            </w:r>
            <w:r w:rsidRPr="00501C2B">
              <w:rPr>
                <w:rFonts w:ascii="Arial" w:eastAsia="Calibri" w:hAnsi="Arial" w:cs="Times New Roman"/>
                <w:sz w:val="18"/>
                <w:szCs w:val="18"/>
                <w:lang w:eastAsia="de-DE"/>
              </w:rPr>
              <w:t>Ni</w:t>
            </w:r>
            <w:r w:rsidRPr="00501C2B">
              <w:rPr>
                <w:rFonts w:ascii="Arial" w:eastAsia="Calibri" w:hAnsi="Arial" w:cs="Times New Roman"/>
                <w:sz w:val="18"/>
                <w:szCs w:val="18"/>
                <w:vertAlign w:val="subscript"/>
                <w:lang w:eastAsia="de-DE"/>
              </w:rPr>
              <w:t>35</w:t>
            </w:r>
            <w:r w:rsidRPr="00501C2B">
              <w:rPr>
                <w:rFonts w:ascii="Arial" w:eastAsia="Calibri" w:hAnsi="Arial" w:cs="Times New Roman"/>
                <w:sz w:val="18"/>
                <w:szCs w:val="18"/>
                <w:lang w:eastAsia="de-DE"/>
              </w:rPr>
              <w:t>Cu</w:t>
            </w:r>
            <w:r w:rsidRPr="00501C2B">
              <w:rPr>
                <w:rFonts w:ascii="Arial" w:eastAsia="Calibri" w:hAnsi="Arial" w:cs="Times New Roman"/>
                <w:sz w:val="18"/>
                <w:szCs w:val="18"/>
                <w:vertAlign w:val="subscript"/>
                <w:lang w:eastAsia="de-DE"/>
              </w:rPr>
              <w:t>15</w:t>
            </w:r>
            <w:r w:rsidRPr="00501C2B">
              <w:rPr>
                <w:rFonts w:ascii="Arial" w:eastAsia="Calibri" w:hAnsi="Arial" w:cs="Times New Roman"/>
                <w:sz w:val="18"/>
                <w:szCs w:val="18"/>
                <w:lang w:eastAsia="de-DE"/>
              </w:rPr>
              <w:t xml:space="preserve"> [8 in]</w:t>
            </w:r>
          </w:p>
        </w:tc>
        <w:tc>
          <w:tcPr>
            <w:tcW w:w="1145" w:type="dxa"/>
            <w:gridSpan w:val="2"/>
            <w:shd w:val="clear" w:color="auto" w:fill="auto"/>
            <w:vAlign w:val="center"/>
          </w:tcPr>
          <w:p w14:paraId="1C6E3F8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600 W</w:t>
            </w:r>
          </w:p>
        </w:tc>
        <w:tc>
          <w:tcPr>
            <w:tcW w:w="1171" w:type="dxa"/>
            <w:gridSpan w:val="2"/>
            <w:shd w:val="clear" w:color="auto" w:fill="auto"/>
            <w:vAlign w:val="center"/>
          </w:tcPr>
          <w:p w14:paraId="4C874E18"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2E-3 mbar</w:t>
            </w:r>
          </w:p>
        </w:tc>
        <w:tc>
          <w:tcPr>
            <w:tcW w:w="1004" w:type="dxa"/>
            <w:shd w:val="clear" w:color="auto" w:fill="auto"/>
            <w:vAlign w:val="center"/>
          </w:tcPr>
          <w:p w14:paraId="7DCBCFD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25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0EF0BB14"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66 min</w:t>
            </w:r>
          </w:p>
        </w:tc>
        <w:tc>
          <w:tcPr>
            <w:tcW w:w="1104" w:type="dxa"/>
            <w:gridSpan w:val="3"/>
            <w:vAlign w:val="center"/>
          </w:tcPr>
          <w:p w14:paraId="4445B79F"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5.1 </w:t>
            </w:r>
            <w:r w:rsidRPr="00501C2B">
              <w:rPr>
                <w:rFonts w:ascii="Arial" w:eastAsia="Calibri" w:hAnsi="Arial" w:cs="Arial"/>
                <w:sz w:val="18"/>
                <w:szCs w:val="18"/>
                <w:lang w:val="de-DE" w:eastAsia="de-DE"/>
              </w:rPr>
              <w:t>μ</w:t>
            </w:r>
            <w:r w:rsidRPr="00501C2B">
              <w:rPr>
                <w:rFonts w:ascii="Arial" w:eastAsia="Calibri" w:hAnsi="Arial" w:cs="Times New Roman"/>
                <w:sz w:val="18"/>
                <w:szCs w:val="18"/>
                <w:lang w:val="de-DE" w:eastAsia="de-DE"/>
              </w:rPr>
              <w:t>m</w:t>
            </w:r>
          </w:p>
        </w:tc>
        <w:tc>
          <w:tcPr>
            <w:tcW w:w="1117" w:type="dxa"/>
            <w:gridSpan w:val="2"/>
            <w:vAlign w:val="center"/>
          </w:tcPr>
          <w:p w14:paraId="41A221EF"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4BE705D3" w14:textId="77777777" w:rsidTr="00FE6F3C">
        <w:trPr>
          <w:trHeight w:val="235"/>
        </w:trPr>
        <w:tc>
          <w:tcPr>
            <w:tcW w:w="1393" w:type="dxa"/>
            <w:shd w:val="clear" w:color="auto" w:fill="auto"/>
            <w:vAlign w:val="center"/>
          </w:tcPr>
          <w:p w14:paraId="0C8B4F86" w14:textId="77777777" w:rsidR="00501C2B" w:rsidRPr="00501C2B" w:rsidRDefault="00501C2B" w:rsidP="00501C2B">
            <w:pPr>
              <w:spacing w:after="0" w:line="240" w:lineRule="auto"/>
              <w:jc w:val="center"/>
              <w:rPr>
                <w:rFonts w:ascii="Arial" w:eastAsia="Calibri" w:hAnsi="Arial" w:cs="Times New Roman"/>
                <w:i/>
                <w:sz w:val="18"/>
                <w:szCs w:val="18"/>
                <w:lang w:eastAsia="de-DE"/>
              </w:rPr>
            </w:pPr>
            <w:bookmarkStart w:id="11" w:name="_Hlk27301949"/>
            <w:r w:rsidRPr="00501C2B">
              <w:rPr>
                <w:rFonts w:ascii="Arial" w:eastAsia="Calibri" w:hAnsi="Arial" w:cs="Times New Roman"/>
                <w:sz w:val="18"/>
                <w:szCs w:val="18"/>
                <w:lang w:eastAsia="de-DE"/>
              </w:rPr>
              <w:t>Adhesion</w:t>
            </w:r>
          </w:p>
        </w:tc>
        <w:tc>
          <w:tcPr>
            <w:tcW w:w="1559" w:type="dxa"/>
            <w:vAlign w:val="center"/>
          </w:tcPr>
          <w:p w14:paraId="57767490"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Ta [8 in]</w:t>
            </w:r>
          </w:p>
        </w:tc>
        <w:tc>
          <w:tcPr>
            <w:tcW w:w="1145" w:type="dxa"/>
            <w:gridSpan w:val="2"/>
            <w:shd w:val="clear" w:color="auto" w:fill="auto"/>
            <w:vAlign w:val="center"/>
          </w:tcPr>
          <w:p w14:paraId="76628A95"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200 W</w:t>
            </w:r>
          </w:p>
        </w:tc>
        <w:tc>
          <w:tcPr>
            <w:tcW w:w="1171" w:type="dxa"/>
            <w:gridSpan w:val="2"/>
            <w:shd w:val="clear" w:color="auto" w:fill="auto"/>
            <w:vAlign w:val="center"/>
          </w:tcPr>
          <w:p w14:paraId="3D6B60E7"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4E-3 mbar</w:t>
            </w:r>
          </w:p>
        </w:tc>
        <w:tc>
          <w:tcPr>
            <w:tcW w:w="1004" w:type="dxa"/>
            <w:shd w:val="clear" w:color="auto" w:fill="auto"/>
            <w:vAlign w:val="center"/>
          </w:tcPr>
          <w:p w14:paraId="5B71519D"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2554C9C1"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eastAsia="de-DE"/>
              </w:rPr>
              <w:t>0.5 min</w:t>
            </w:r>
          </w:p>
        </w:tc>
        <w:tc>
          <w:tcPr>
            <w:tcW w:w="1104" w:type="dxa"/>
            <w:gridSpan w:val="3"/>
            <w:vAlign w:val="center"/>
          </w:tcPr>
          <w:p w14:paraId="40CCC329"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 nm</w:t>
            </w:r>
          </w:p>
        </w:tc>
        <w:tc>
          <w:tcPr>
            <w:tcW w:w="1117" w:type="dxa"/>
            <w:gridSpan w:val="2"/>
            <w:vAlign w:val="center"/>
          </w:tcPr>
          <w:p w14:paraId="0A67D1C4"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r>
      <w:tr w:rsidR="00501C2B" w:rsidRPr="00501C2B" w14:paraId="2294FEAF" w14:textId="77777777" w:rsidTr="00FE6F3C">
        <w:trPr>
          <w:trHeight w:val="209"/>
        </w:trPr>
        <w:tc>
          <w:tcPr>
            <w:tcW w:w="1393" w:type="dxa"/>
            <w:shd w:val="clear" w:color="auto" w:fill="auto"/>
            <w:vAlign w:val="center"/>
          </w:tcPr>
          <w:p w14:paraId="78D73D46"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Bottom Electrode</w:t>
            </w:r>
          </w:p>
        </w:tc>
        <w:tc>
          <w:tcPr>
            <w:tcW w:w="1559" w:type="dxa"/>
            <w:vAlign w:val="center"/>
          </w:tcPr>
          <w:p w14:paraId="7456AD86"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Pt [4 in]</w:t>
            </w:r>
          </w:p>
        </w:tc>
        <w:tc>
          <w:tcPr>
            <w:tcW w:w="1145" w:type="dxa"/>
            <w:gridSpan w:val="2"/>
            <w:shd w:val="clear" w:color="auto" w:fill="auto"/>
            <w:vAlign w:val="center"/>
          </w:tcPr>
          <w:p w14:paraId="3C4BDAB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100 W</w:t>
            </w:r>
          </w:p>
        </w:tc>
        <w:tc>
          <w:tcPr>
            <w:tcW w:w="1171" w:type="dxa"/>
            <w:gridSpan w:val="2"/>
            <w:shd w:val="clear" w:color="auto" w:fill="auto"/>
            <w:vAlign w:val="center"/>
          </w:tcPr>
          <w:p w14:paraId="4511E9F5"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8E-3 mbar</w:t>
            </w:r>
          </w:p>
        </w:tc>
        <w:tc>
          <w:tcPr>
            <w:tcW w:w="1004" w:type="dxa"/>
            <w:shd w:val="clear" w:color="auto" w:fill="auto"/>
            <w:vAlign w:val="center"/>
          </w:tcPr>
          <w:p w14:paraId="5B49292E"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25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20BDA700"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1.5 min</w:t>
            </w:r>
          </w:p>
        </w:tc>
        <w:tc>
          <w:tcPr>
            <w:tcW w:w="1104" w:type="dxa"/>
            <w:gridSpan w:val="3"/>
            <w:vAlign w:val="center"/>
          </w:tcPr>
          <w:p w14:paraId="26BC63F3"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100 nm</w:t>
            </w:r>
          </w:p>
        </w:tc>
        <w:tc>
          <w:tcPr>
            <w:tcW w:w="1117" w:type="dxa"/>
            <w:gridSpan w:val="2"/>
            <w:vAlign w:val="center"/>
          </w:tcPr>
          <w:p w14:paraId="2453168E"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r>
      <w:bookmarkEnd w:id="11"/>
      <w:tr w:rsidR="00501C2B" w:rsidRPr="00501C2B" w14:paraId="15D25926" w14:textId="77777777" w:rsidTr="00FE6F3C">
        <w:trPr>
          <w:trHeight w:val="235"/>
        </w:trPr>
        <w:tc>
          <w:tcPr>
            <w:tcW w:w="1393" w:type="dxa"/>
            <w:tcBorders>
              <w:bottom w:val="single" w:sz="4" w:space="0" w:color="auto"/>
            </w:tcBorders>
            <w:shd w:val="clear" w:color="auto" w:fill="auto"/>
            <w:vAlign w:val="center"/>
          </w:tcPr>
          <w:p w14:paraId="48FB42C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Free Sputter</w:t>
            </w:r>
          </w:p>
        </w:tc>
        <w:tc>
          <w:tcPr>
            <w:tcW w:w="1559" w:type="dxa"/>
            <w:tcBorders>
              <w:bottom w:val="single" w:sz="4" w:space="0" w:color="auto"/>
            </w:tcBorders>
            <w:vAlign w:val="center"/>
          </w:tcPr>
          <w:p w14:paraId="6A3DF03C"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Al [8 in]</w:t>
            </w:r>
          </w:p>
        </w:tc>
        <w:tc>
          <w:tcPr>
            <w:tcW w:w="1145" w:type="dxa"/>
            <w:gridSpan w:val="2"/>
            <w:tcBorders>
              <w:bottom w:val="single" w:sz="4" w:space="0" w:color="auto"/>
            </w:tcBorders>
            <w:shd w:val="clear" w:color="auto" w:fill="auto"/>
            <w:vAlign w:val="center"/>
          </w:tcPr>
          <w:p w14:paraId="6536181E"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200 W</w:t>
            </w:r>
          </w:p>
        </w:tc>
        <w:tc>
          <w:tcPr>
            <w:tcW w:w="1171" w:type="dxa"/>
            <w:gridSpan w:val="2"/>
            <w:tcBorders>
              <w:bottom w:val="single" w:sz="4" w:space="0" w:color="auto"/>
            </w:tcBorders>
            <w:shd w:val="clear" w:color="auto" w:fill="auto"/>
            <w:vAlign w:val="center"/>
          </w:tcPr>
          <w:p w14:paraId="67482D6F"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6E-3 </w:t>
            </w:r>
            <w:r w:rsidRPr="00501C2B">
              <w:rPr>
                <w:rFonts w:ascii="Arial" w:eastAsia="Calibri" w:hAnsi="Arial" w:cs="Times New Roman"/>
                <w:sz w:val="18"/>
                <w:szCs w:val="18"/>
                <w:lang w:eastAsia="de-DE"/>
              </w:rPr>
              <w:t>mbar</w:t>
            </w:r>
          </w:p>
        </w:tc>
        <w:tc>
          <w:tcPr>
            <w:tcW w:w="1004" w:type="dxa"/>
            <w:tcBorders>
              <w:bottom w:val="single" w:sz="4" w:space="0" w:color="auto"/>
            </w:tcBorders>
            <w:shd w:val="clear" w:color="auto" w:fill="auto"/>
            <w:vAlign w:val="center"/>
          </w:tcPr>
          <w:p w14:paraId="5703E2CD"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tcBorders>
              <w:bottom w:val="single" w:sz="4" w:space="0" w:color="auto"/>
            </w:tcBorders>
            <w:vAlign w:val="center"/>
          </w:tcPr>
          <w:p w14:paraId="4B20A664"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15 min</w:t>
            </w:r>
          </w:p>
        </w:tc>
        <w:tc>
          <w:tcPr>
            <w:tcW w:w="1104" w:type="dxa"/>
            <w:gridSpan w:val="3"/>
            <w:tcBorders>
              <w:bottom w:val="single" w:sz="4" w:space="0" w:color="auto"/>
            </w:tcBorders>
            <w:vAlign w:val="center"/>
          </w:tcPr>
          <w:p w14:paraId="3E9C34F4"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w:t>
            </w:r>
          </w:p>
        </w:tc>
        <w:tc>
          <w:tcPr>
            <w:tcW w:w="1117" w:type="dxa"/>
            <w:gridSpan w:val="2"/>
            <w:tcBorders>
              <w:bottom w:val="single" w:sz="4" w:space="0" w:color="auto"/>
            </w:tcBorders>
            <w:vAlign w:val="center"/>
          </w:tcPr>
          <w:p w14:paraId="09A83A54"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7FF79574" w14:textId="77777777" w:rsidTr="00FE6F3C">
        <w:trPr>
          <w:gridAfter w:val="4"/>
          <w:wAfter w:w="1413" w:type="dxa"/>
          <w:trHeight w:val="111"/>
        </w:trPr>
        <w:tc>
          <w:tcPr>
            <w:tcW w:w="8124" w:type="dxa"/>
            <w:gridSpan w:val="10"/>
            <w:tcBorders>
              <w:top w:val="single" w:sz="4" w:space="0" w:color="auto"/>
              <w:bottom w:val="single" w:sz="4" w:space="0" w:color="auto"/>
            </w:tcBorders>
            <w:vAlign w:val="center"/>
          </w:tcPr>
          <w:p w14:paraId="41B2B5DC" w14:textId="77777777" w:rsidR="00501C2B" w:rsidRPr="00501C2B" w:rsidRDefault="00501C2B" w:rsidP="00501C2B">
            <w:pPr>
              <w:spacing w:after="0" w:line="240" w:lineRule="auto"/>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Pulsed DC Reactive Sputtering: (after Al and </w:t>
            </w:r>
            <w:proofErr w:type="spellStart"/>
            <w:r w:rsidRPr="00501C2B">
              <w:rPr>
                <w:rFonts w:ascii="Arial" w:eastAsia="Calibri" w:hAnsi="Arial" w:cs="Times New Roman"/>
                <w:sz w:val="18"/>
                <w:szCs w:val="18"/>
                <w:lang w:eastAsia="de-DE"/>
              </w:rPr>
              <w:t>AlN</w:t>
            </w:r>
            <w:proofErr w:type="spellEnd"/>
            <w:r w:rsidRPr="00501C2B">
              <w:rPr>
                <w:rFonts w:ascii="Arial" w:eastAsia="Calibri" w:hAnsi="Arial" w:cs="Times New Roman"/>
                <w:sz w:val="18"/>
                <w:szCs w:val="18"/>
                <w:lang w:eastAsia="de-DE"/>
              </w:rPr>
              <w:t xml:space="preserve"> conditioning steps)</w:t>
            </w:r>
          </w:p>
        </w:tc>
      </w:tr>
      <w:tr w:rsidR="00501C2B" w:rsidRPr="00501C2B" w14:paraId="0ABC13E3" w14:textId="77777777" w:rsidTr="00FE6F3C">
        <w:trPr>
          <w:trHeight w:val="679"/>
        </w:trPr>
        <w:tc>
          <w:tcPr>
            <w:tcW w:w="1393" w:type="dxa"/>
            <w:tcBorders>
              <w:top w:val="single" w:sz="4" w:space="0" w:color="auto"/>
            </w:tcBorders>
            <w:shd w:val="clear" w:color="auto" w:fill="auto"/>
            <w:vAlign w:val="center"/>
          </w:tcPr>
          <w:p w14:paraId="582D8FDB" w14:textId="77777777" w:rsidR="00501C2B" w:rsidRPr="00501C2B" w:rsidRDefault="00501C2B" w:rsidP="00501C2B">
            <w:pPr>
              <w:spacing w:after="0" w:line="240" w:lineRule="auto"/>
              <w:jc w:val="center"/>
              <w:rPr>
                <w:rFonts w:ascii="Arial" w:eastAsia="Calibri" w:hAnsi="Arial" w:cs="Times New Roman"/>
                <w:i/>
                <w:sz w:val="18"/>
                <w:szCs w:val="18"/>
                <w:lang w:eastAsia="de-DE"/>
              </w:rPr>
            </w:pPr>
            <w:r w:rsidRPr="00501C2B">
              <w:rPr>
                <w:rFonts w:ascii="Arial" w:eastAsia="Calibri" w:hAnsi="Arial" w:cs="Times New Roman"/>
                <w:sz w:val="18"/>
                <w:szCs w:val="18"/>
                <w:lang w:eastAsia="de-DE"/>
              </w:rPr>
              <w:t>Piezoelectric (</w:t>
            </w:r>
            <w:proofErr w:type="spellStart"/>
            <w:r w:rsidRPr="00501C2B">
              <w:rPr>
                <w:rFonts w:ascii="Arial" w:eastAsia="Calibri" w:hAnsi="Arial" w:cs="Times New Roman"/>
                <w:sz w:val="18"/>
                <w:szCs w:val="18"/>
                <w:lang w:eastAsia="de-DE"/>
              </w:rPr>
              <w:t>AlN</w:t>
            </w:r>
            <w:proofErr w:type="spellEnd"/>
            <w:r w:rsidRPr="00501C2B">
              <w:rPr>
                <w:rFonts w:ascii="Arial" w:eastAsia="Calibri" w:hAnsi="Arial" w:cs="Times New Roman"/>
                <w:sz w:val="18"/>
                <w:szCs w:val="18"/>
                <w:lang w:eastAsia="de-DE"/>
              </w:rPr>
              <w:t>)</w:t>
            </w:r>
          </w:p>
        </w:tc>
        <w:tc>
          <w:tcPr>
            <w:tcW w:w="1559" w:type="dxa"/>
            <w:tcBorders>
              <w:top w:val="single" w:sz="4" w:space="0" w:color="auto"/>
            </w:tcBorders>
            <w:vAlign w:val="center"/>
          </w:tcPr>
          <w:p w14:paraId="66F4A331"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Al [8 in]</w:t>
            </w:r>
          </w:p>
        </w:tc>
        <w:tc>
          <w:tcPr>
            <w:tcW w:w="1145" w:type="dxa"/>
            <w:gridSpan w:val="2"/>
            <w:tcBorders>
              <w:top w:val="single" w:sz="4" w:space="0" w:color="auto"/>
            </w:tcBorders>
            <w:shd w:val="clear" w:color="auto" w:fill="auto"/>
            <w:vAlign w:val="center"/>
          </w:tcPr>
          <w:p w14:paraId="5225787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1500 W </w:t>
            </w:r>
            <w:proofErr w:type="spellStart"/>
            <w:r w:rsidRPr="00501C2B">
              <w:rPr>
                <w:rFonts w:ascii="Arial" w:eastAsia="Calibri" w:hAnsi="Arial" w:cs="Times New Roman"/>
                <w:sz w:val="18"/>
                <w:szCs w:val="18"/>
                <w:lang w:eastAsia="de-DE"/>
              </w:rPr>
              <w:t>pDC</w:t>
            </w:r>
            <w:proofErr w:type="spellEnd"/>
          </w:p>
        </w:tc>
        <w:tc>
          <w:tcPr>
            <w:tcW w:w="1171" w:type="dxa"/>
            <w:gridSpan w:val="2"/>
            <w:tcBorders>
              <w:top w:val="single" w:sz="4" w:space="0" w:color="auto"/>
            </w:tcBorders>
            <w:shd w:val="clear" w:color="auto" w:fill="auto"/>
            <w:vAlign w:val="center"/>
          </w:tcPr>
          <w:p w14:paraId="028AB1F7"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1.7E-3 </w:t>
            </w:r>
            <w:r w:rsidRPr="00501C2B">
              <w:rPr>
                <w:rFonts w:ascii="Arial" w:eastAsia="Calibri" w:hAnsi="Arial" w:cs="Times New Roman"/>
                <w:sz w:val="18"/>
                <w:szCs w:val="18"/>
                <w:lang w:eastAsia="de-DE"/>
              </w:rPr>
              <w:t>mbar</w:t>
            </w:r>
          </w:p>
        </w:tc>
        <w:tc>
          <w:tcPr>
            <w:tcW w:w="1004" w:type="dxa"/>
            <w:tcBorders>
              <w:top w:val="single" w:sz="4" w:space="0" w:color="auto"/>
            </w:tcBorders>
            <w:shd w:val="clear" w:color="auto" w:fill="auto"/>
            <w:vAlign w:val="center"/>
          </w:tcPr>
          <w:p w14:paraId="1DDA1092" w14:textId="77777777" w:rsidR="00501C2B" w:rsidRPr="00501C2B" w:rsidRDefault="00501C2B" w:rsidP="00501C2B">
            <w:pPr>
              <w:spacing w:after="0" w:line="240" w:lineRule="auto"/>
              <w:jc w:val="center"/>
              <w:rPr>
                <w:rFonts w:ascii="Arial" w:eastAsia="Calibri" w:hAnsi="Arial" w:cs="Times New Roman"/>
                <w:sz w:val="18"/>
                <w:szCs w:val="18"/>
                <w:vertAlign w:val="subscript"/>
                <w:lang w:eastAsia="de-DE"/>
              </w:rPr>
            </w:pPr>
            <w:r w:rsidRPr="00501C2B">
              <w:rPr>
                <w:rFonts w:ascii="Arial" w:eastAsia="Calibri" w:hAnsi="Arial" w:cs="Times New Roman"/>
                <w:sz w:val="18"/>
                <w:szCs w:val="18"/>
                <w:lang w:eastAsia="de-DE"/>
              </w:rPr>
              <w:t>10 N</w:t>
            </w:r>
            <w:r w:rsidRPr="00501C2B">
              <w:rPr>
                <w:rFonts w:ascii="Arial" w:eastAsia="Calibri" w:hAnsi="Arial" w:cs="Times New Roman"/>
                <w:sz w:val="18"/>
                <w:szCs w:val="18"/>
                <w:vertAlign w:val="subscript"/>
                <w:lang w:eastAsia="de-DE"/>
              </w:rPr>
              <w:t>2</w:t>
            </w:r>
          </w:p>
        </w:tc>
        <w:tc>
          <w:tcPr>
            <w:tcW w:w="1043" w:type="dxa"/>
            <w:gridSpan w:val="2"/>
            <w:tcBorders>
              <w:top w:val="single" w:sz="4" w:space="0" w:color="auto"/>
            </w:tcBorders>
            <w:vAlign w:val="center"/>
          </w:tcPr>
          <w:p w14:paraId="51BA8197"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eastAsia="de-DE"/>
              </w:rPr>
              <w:t>42 min</w:t>
            </w:r>
          </w:p>
        </w:tc>
        <w:tc>
          <w:tcPr>
            <w:tcW w:w="1104" w:type="dxa"/>
            <w:gridSpan w:val="3"/>
            <w:tcBorders>
              <w:top w:val="single" w:sz="4" w:space="0" w:color="auto"/>
            </w:tcBorders>
            <w:vAlign w:val="center"/>
          </w:tcPr>
          <w:p w14:paraId="7B0A5272"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2 </w:t>
            </w:r>
            <w:r w:rsidRPr="00501C2B">
              <w:rPr>
                <w:rFonts w:ascii="Arial" w:eastAsia="Calibri" w:hAnsi="Arial" w:cs="Arial"/>
                <w:sz w:val="18"/>
                <w:szCs w:val="18"/>
                <w:lang w:val="de-DE" w:eastAsia="de-DE"/>
              </w:rPr>
              <w:t>μ</w:t>
            </w:r>
            <w:r w:rsidRPr="00501C2B">
              <w:rPr>
                <w:rFonts w:ascii="Arial" w:eastAsia="Calibri" w:hAnsi="Arial" w:cs="Times New Roman"/>
                <w:sz w:val="18"/>
                <w:szCs w:val="18"/>
                <w:lang w:val="de-DE" w:eastAsia="de-DE"/>
              </w:rPr>
              <w:t>m</w:t>
            </w:r>
          </w:p>
        </w:tc>
        <w:tc>
          <w:tcPr>
            <w:tcW w:w="1117" w:type="dxa"/>
            <w:gridSpan w:val="2"/>
            <w:tcBorders>
              <w:top w:val="single" w:sz="4" w:space="0" w:color="auto"/>
            </w:tcBorders>
            <w:vAlign w:val="center"/>
          </w:tcPr>
          <w:p w14:paraId="5609E263" w14:textId="77777777" w:rsidR="00501C2B" w:rsidRPr="00501C2B" w:rsidRDefault="00501C2B" w:rsidP="00501C2B">
            <w:pPr>
              <w:spacing w:after="0" w:line="240" w:lineRule="auto"/>
              <w:jc w:val="center"/>
              <w:rPr>
                <w:rFonts w:ascii="Arial" w:eastAsia="Calibri" w:hAnsi="Arial" w:cs="Arial"/>
                <w:sz w:val="18"/>
                <w:szCs w:val="18"/>
                <w:lang w:val="de-DE" w:eastAsia="de-DE"/>
              </w:rPr>
            </w:pPr>
            <w:r w:rsidRPr="00501C2B">
              <w:rPr>
                <w:rFonts w:ascii="Arial" w:eastAsia="Calibri" w:hAnsi="Arial" w:cs="Times New Roman"/>
                <w:sz w:val="18"/>
                <w:szCs w:val="18"/>
                <w:lang w:val="de-DE" w:eastAsia="de-DE"/>
              </w:rPr>
              <w:t xml:space="preserve">Time = 1.6 </w:t>
            </w:r>
            <w:r w:rsidRPr="00501C2B">
              <w:rPr>
                <w:rFonts w:ascii="Arial" w:eastAsia="Calibri" w:hAnsi="Arial" w:cs="Arial"/>
                <w:sz w:val="18"/>
                <w:szCs w:val="18"/>
                <w:lang w:val="de-DE" w:eastAsia="de-DE"/>
              </w:rPr>
              <w:t>μs,</w:t>
            </w:r>
          </w:p>
          <w:p w14:paraId="543EDD49"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Arial"/>
                <w:sz w:val="18"/>
                <w:szCs w:val="18"/>
                <w:lang w:val="de-DE" w:eastAsia="de-DE"/>
              </w:rPr>
              <w:t>Frequency = 250 kHz</w:t>
            </w:r>
          </w:p>
        </w:tc>
      </w:tr>
      <w:tr w:rsidR="00501C2B" w:rsidRPr="00501C2B" w14:paraId="567823A1" w14:textId="77777777" w:rsidTr="00FE6F3C">
        <w:trPr>
          <w:trHeight w:val="235"/>
        </w:trPr>
        <w:tc>
          <w:tcPr>
            <w:tcW w:w="2953" w:type="dxa"/>
            <w:gridSpan w:val="2"/>
            <w:tcBorders>
              <w:top w:val="single" w:sz="4" w:space="0" w:color="auto"/>
            </w:tcBorders>
            <w:shd w:val="clear" w:color="auto" w:fill="auto"/>
            <w:vAlign w:val="center"/>
          </w:tcPr>
          <w:p w14:paraId="6C53A130" w14:textId="77777777" w:rsidR="00501C2B" w:rsidRPr="00501C2B" w:rsidRDefault="00501C2B" w:rsidP="00501C2B">
            <w:pPr>
              <w:spacing w:after="0" w:line="240" w:lineRule="auto"/>
              <w:rPr>
                <w:rFonts w:ascii="Arial" w:eastAsia="Calibri" w:hAnsi="Arial" w:cs="Times New Roman"/>
                <w:sz w:val="18"/>
                <w:szCs w:val="18"/>
                <w:lang w:eastAsia="de-DE"/>
              </w:rPr>
            </w:pPr>
            <w:r w:rsidRPr="00501C2B">
              <w:rPr>
                <w:rFonts w:ascii="Arial" w:eastAsia="Calibri" w:hAnsi="Arial" w:cs="Times New Roman"/>
                <w:sz w:val="18"/>
                <w:szCs w:val="18"/>
                <w:lang w:eastAsia="de-DE"/>
              </w:rPr>
              <w:t>Standard DC Sputtering:</w:t>
            </w:r>
          </w:p>
        </w:tc>
        <w:tc>
          <w:tcPr>
            <w:tcW w:w="1145" w:type="dxa"/>
            <w:gridSpan w:val="2"/>
            <w:tcBorders>
              <w:top w:val="single" w:sz="4" w:space="0" w:color="auto"/>
            </w:tcBorders>
            <w:shd w:val="clear" w:color="auto" w:fill="auto"/>
            <w:vAlign w:val="center"/>
          </w:tcPr>
          <w:p w14:paraId="5F5B9157"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71" w:type="dxa"/>
            <w:gridSpan w:val="2"/>
            <w:tcBorders>
              <w:top w:val="single" w:sz="4" w:space="0" w:color="auto"/>
            </w:tcBorders>
            <w:shd w:val="clear" w:color="auto" w:fill="auto"/>
            <w:vAlign w:val="center"/>
          </w:tcPr>
          <w:p w14:paraId="56E3ADD1"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04" w:type="dxa"/>
            <w:tcBorders>
              <w:top w:val="single" w:sz="4" w:space="0" w:color="auto"/>
            </w:tcBorders>
            <w:shd w:val="clear" w:color="auto" w:fill="auto"/>
            <w:vAlign w:val="center"/>
          </w:tcPr>
          <w:p w14:paraId="7790046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43" w:type="dxa"/>
            <w:gridSpan w:val="2"/>
            <w:tcBorders>
              <w:top w:val="single" w:sz="4" w:space="0" w:color="auto"/>
            </w:tcBorders>
            <w:vAlign w:val="center"/>
          </w:tcPr>
          <w:p w14:paraId="6B05458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04" w:type="dxa"/>
            <w:gridSpan w:val="3"/>
            <w:tcBorders>
              <w:top w:val="single" w:sz="4" w:space="0" w:color="auto"/>
            </w:tcBorders>
            <w:vAlign w:val="center"/>
          </w:tcPr>
          <w:p w14:paraId="4448ED6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17" w:type="dxa"/>
            <w:gridSpan w:val="2"/>
            <w:tcBorders>
              <w:top w:val="single" w:sz="4" w:space="0" w:color="auto"/>
            </w:tcBorders>
            <w:vAlign w:val="center"/>
          </w:tcPr>
          <w:p w14:paraId="3CC7C25C"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08690061" w14:textId="77777777" w:rsidTr="00FE6F3C">
        <w:trPr>
          <w:trHeight w:val="235"/>
        </w:trPr>
        <w:tc>
          <w:tcPr>
            <w:tcW w:w="2953" w:type="dxa"/>
            <w:gridSpan w:val="2"/>
            <w:tcBorders>
              <w:top w:val="single" w:sz="4" w:space="0" w:color="auto"/>
            </w:tcBorders>
            <w:shd w:val="clear" w:color="auto" w:fill="auto"/>
            <w:vAlign w:val="center"/>
          </w:tcPr>
          <w:p w14:paraId="59FBBA0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45" w:type="dxa"/>
            <w:gridSpan w:val="2"/>
            <w:tcBorders>
              <w:top w:val="single" w:sz="4" w:space="0" w:color="auto"/>
            </w:tcBorders>
            <w:shd w:val="clear" w:color="auto" w:fill="auto"/>
            <w:vAlign w:val="center"/>
          </w:tcPr>
          <w:p w14:paraId="291C2630"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71" w:type="dxa"/>
            <w:gridSpan w:val="2"/>
            <w:tcBorders>
              <w:top w:val="single" w:sz="4" w:space="0" w:color="auto"/>
            </w:tcBorders>
            <w:shd w:val="clear" w:color="auto" w:fill="auto"/>
            <w:vAlign w:val="center"/>
          </w:tcPr>
          <w:p w14:paraId="37F1C72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04" w:type="dxa"/>
            <w:tcBorders>
              <w:top w:val="single" w:sz="4" w:space="0" w:color="auto"/>
            </w:tcBorders>
            <w:shd w:val="clear" w:color="auto" w:fill="auto"/>
            <w:vAlign w:val="center"/>
          </w:tcPr>
          <w:p w14:paraId="5171A9C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43" w:type="dxa"/>
            <w:gridSpan w:val="2"/>
            <w:tcBorders>
              <w:top w:val="single" w:sz="4" w:space="0" w:color="auto"/>
            </w:tcBorders>
            <w:vAlign w:val="center"/>
          </w:tcPr>
          <w:p w14:paraId="108A771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04" w:type="dxa"/>
            <w:gridSpan w:val="3"/>
            <w:tcBorders>
              <w:top w:val="single" w:sz="4" w:space="0" w:color="auto"/>
            </w:tcBorders>
            <w:vAlign w:val="center"/>
          </w:tcPr>
          <w:p w14:paraId="2B0720EB"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17" w:type="dxa"/>
            <w:gridSpan w:val="2"/>
            <w:tcBorders>
              <w:top w:val="single" w:sz="4" w:space="0" w:color="auto"/>
            </w:tcBorders>
            <w:vAlign w:val="center"/>
          </w:tcPr>
          <w:p w14:paraId="4B86AB5E"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1185FD61" w14:textId="77777777" w:rsidTr="00FE6F3C">
        <w:trPr>
          <w:trHeight w:val="235"/>
        </w:trPr>
        <w:tc>
          <w:tcPr>
            <w:tcW w:w="1393" w:type="dxa"/>
            <w:shd w:val="clear" w:color="auto" w:fill="auto"/>
            <w:vAlign w:val="center"/>
          </w:tcPr>
          <w:p w14:paraId="3F404ACD" w14:textId="77777777" w:rsidR="00501C2B" w:rsidRPr="00501C2B" w:rsidRDefault="00501C2B" w:rsidP="00501C2B">
            <w:pPr>
              <w:spacing w:after="0" w:line="240" w:lineRule="auto"/>
              <w:jc w:val="center"/>
              <w:rPr>
                <w:rFonts w:ascii="Arial" w:eastAsia="Calibri" w:hAnsi="Arial" w:cs="Times New Roman"/>
                <w:i/>
                <w:sz w:val="18"/>
                <w:szCs w:val="18"/>
                <w:lang w:eastAsia="de-DE"/>
              </w:rPr>
            </w:pPr>
            <w:r w:rsidRPr="00501C2B">
              <w:rPr>
                <w:rFonts w:ascii="Arial" w:eastAsia="Calibri" w:hAnsi="Arial" w:cs="Times New Roman"/>
                <w:sz w:val="18"/>
                <w:szCs w:val="18"/>
                <w:lang w:eastAsia="de-DE"/>
              </w:rPr>
              <w:t>Adhesion</w:t>
            </w:r>
          </w:p>
        </w:tc>
        <w:tc>
          <w:tcPr>
            <w:tcW w:w="1559" w:type="dxa"/>
            <w:vAlign w:val="center"/>
          </w:tcPr>
          <w:p w14:paraId="208271D7"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Ta [8 in]</w:t>
            </w:r>
          </w:p>
        </w:tc>
        <w:tc>
          <w:tcPr>
            <w:tcW w:w="1145" w:type="dxa"/>
            <w:gridSpan w:val="2"/>
            <w:shd w:val="clear" w:color="auto" w:fill="auto"/>
            <w:vAlign w:val="center"/>
          </w:tcPr>
          <w:p w14:paraId="47561701"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200 W</w:t>
            </w:r>
          </w:p>
        </w:tc>
        <w:tc>
          <w:tcPr>
            <w:tcW w:w="1171" w:type="dxa"/>
            <w:gridSpan w:val="2"/>
            <w:shd w:val="clear" w:color="auto" w:fill="auto"/>
            <w:vAlign w:val="center"/>
          </w:tcPr>
          <w:p w14:paraId="4CBD494B"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4E-3 </w:t>
            </w:r>
            <w:r w:rsidRPr="00501C2B">
              <w:rPr>
                <w:rFonts w:ascii="Arial" w:eastAsia="Calibri" w:hAnsi="Arial" w:cs="Times New Roman"/>
                <w:sz w:val="18"/>
                <w:szCs w:val="18"/>
                <w:lang w:eastAsia="de-DE"/>
              </w:rPr>
              <w:t>mbar</w:t>
            </w:r>
          </w:p>
        </w:tc>
        <w:tc>
          <w:tcPr>
            <w:tcW w:w="1004" w:type="dxa"/>
            <w:shd w:val="clear" w:color="auto" w:fill="auto"/>
            <w:vAlign w:val="center"/>
          </w:tcPr>
          <w:p w14:paraId="14B1AA7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7EE5B0D4"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0.5 min</w:t>
            </w:r>
          </w:p>
        </w:tc>
        <w:tc>
          <w:tcPr>
            <w:tcW w:w="1104" w:type="dxa"/>
            <w:gridSpan w:val="3"/>
            <w:vAlign w:val="center"/>
          </w:tcPr>
          <w:p w14:paraId="4CBDC327"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 nm</w:t>
            </w:r>
          </w:p>
        </w:tc>
        <w:tc>
          <w:tcPr>
            <w:tcW w:w="1117" w:type="dxa"/>
            <w:gridSpan w:val="2"/>
            <w:vAlign w:val="center"/>
          </w:tcPr>
          <w:p w14:paraId="26F49F0A"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r>
      <w:tr w:rsidR="00501C2B" w:rsidRPr="00501C2B" w14:paraId="09909D1D" w14:textId="77777777" w:rsidTr="00FE6F3C">
        <w:trPr>
          <w:trHeight w:val="235"/>
        </w:trPr>
        <w:tc>
          <w:tcPr>
            <w:tcW w:w="1393" w:type="dxa"/>
            <w:shd w:val="clear" w:color="auto" w:fill="auto"/>
            <w:vAlign w:val="center"/>
          </w:tcPr>
          <w:p w14:paraId="5C56354C"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Top Electrode</w:t>
            </w:r>
          </w:p>
        </w:tc>
        <w:tc>
          <w:tcPr>
            <w:tcW w:w="1559" w:type="dxa"/>
            <w:vAlign w:val="center"/>
          </w:tcPr>
          <w:p w14:paraId="72479440"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Pt [4 in]</w:t>
            </w:r>
          </w:p>
        </w:tc>
        <w:tc>
          <w:tcPr>
            <w:tcW w:w="1145" w:type="dxa"/>
            <w:gridSpan w:val="2"/>
            <w:shd w:val="clear" w:color="auto" w:fill="auto"/>
            <w:vAlign w:val="center"/>
          </w:tcPr>
          <w:p w14:paraId="3F0F4DD1"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100 W</w:t>
            </w:r>
          </w:p>
        </w:tc>
        <w:tc>
          <w:tcPr>
            <w:tcW w:w="1171" w:type="dxa"/>
            <w:gridSpan w:val="2"/>
            <w:shd w:val="clear" w:color="auto" w:fill="auto"/>
            <w:vAlign w:val="center"/>
          </w:tcPr>
          <w:p w14:paraId="49291A6D"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8E-3 </w:t>
            </w:r>
            <w:r w:rsidRPr="00501C2B">
              <w:rPr>
                <w:rFonts w:ascii="Arial" w:eastAsia="Calibri" w:hAnsi="Arial" w:cs="Times New Roman"/>
                <w:sz w:val="18"/>
                <w:szCs w:val="18"/>
                <w:lang w:eastAsia="de-DE"/>
              </w:rPr>
              <w:t>mbar</w:t>
            </w:r>
          </w:p>
        </w:tc>
        <w:tc>
          <w:tcPr>
            <w:tcW w:w="1004" w:type="dxa"/>
            <w:shd w:val="clear" w:color="auto" w:fill="auto"/>
            <w:vAlign w:val="center"/>
          </w:tcPr>
          <w:p w14:paraId="48E796B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25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778E09DA"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1.5 min</w:t>
            </w:r>
          </w:p>
        </w:tc>
        <w:tc>
          <w:tcPr>
            <w:tcW w:w="1104" w:type="dxa"/>
            <w:gridSpan w:val="3"/>
            <w:vAlign w:val="center"/>
          </w:tcPr>
          <w:p w14:paraId="1F1CD773"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100 nm</w:t>
            </w:r>
          </w:p>
        </w:tc>
        <w:tc>
          <w:tcPr>
            <w:tcW w:w="1117" w:type="dxa"/>
            <w:gridSpan w:val="2"/>
            <w:vAlign w:val="center"/>
          </w:tcPr>
          <w:p w14:paraId="308215F1"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r>
      <w:tr w:rsidR="00501C2B" w:rsidRPr="00501C2B" w14:paraId="082F8895" w14:textId="77777777" w:rsidTr="00FE6F3C">
        <w:trPr>
          <w:trHeight w:val="235"/>
        </w:trPr>
        <w:tc>
          <w:tcPr>
            <w:tcW w:w="2953" w:type="dxa"/>
            <w:gridSpan w:val="2"/>
            <w:tcBorders>
              <w:top w:val="single" w:sz="4" w:space="0" w:color="auto"/>
            </w:tcBorders>
            <w:shd w:val="clear" w:color="auto" w:fill="auto"/>
            <w:vAlign w:val="center"/>
          </w:tcPr>
          <w:p w14:paraId="0BE81DDB" w14:textId="77777777" w:rsidR="00501C2B" w:rsidRPr="00501C2B" w:rsidRDefault="00501C2B" w:rsidP="00501C2B">
            <w:pPr>
              <w:spacing w:after="0" w:line="240" w:lineRule="auto"/>
              <w:rPr>
                <w:rFonts w:ascii="Arial" w:eastAsia="Calibri" w:hAnsi="Arial" w:cs="Times New Roman"/>
                <w:sz w:val="18"/>
                <w:szCs w:val="18"/>
                <w:lang w:eastAsia="de-DE"/>
              </w:rPr>
            </w:pPr>
            <w:r w:rsidRPr="00501C2B">
              <w:rPr>
                <w:rFonts w:ascii="Arial" w:eastAsia="Calibri" w:hAnsi="Arial" w:cs="Times New Roman"/>
                <w:sz w:val="18"/>
                <w:szCs w:val="18"/>
                <w:lang w:eastAsia="de-DE"/>
              </w:rPr>
              <w:t>RF Sputtering:</w:t>
            </w:r>
          </w:p>
        </w:tc>
        <w:tc>
          <w:tcPr>
            <w:tcW w:w="1145" w:type="dxa"/>
            <w:gridSpan w:val="2"/>
            <w:tcBorders>
              <w:top w:val="single" w:sz="4" w:space="0" w:color="auto"/>
            </w:tcBorders>
            <w:shd w:val="clear" w:color="auto" w:fill="auto"/>
            <w:vAlign w:val="center"/>
          </w:tcPr>
          <w:p w14:paraId="62CE1680"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71" w:type="dxa"/>
            <w:gridSpan w:val="2"/>
            <w:tcBorders>
              <w:top w:val="single" w:sz="4" w:space="0" w:color="auto"/>
            </w:tcBorders>
            <w:shd w:val="clear" w:color="auto" w:fill="auto"/>
            <w:vAlign w:val="center"/>
          </w:tcPr>
          <w:p w14:paraId="1742125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04" w:type="dxa"/>
            <w:tcBorders>
              <w:top w:val="single" w:sz="4" w:space="0" w:color="auto"/>
            </w:tcBorders>
            <w:shd w:val="clear" w:color="auto" w:fill="auto"/>
            <w:vAlign w:val="center"/>
          </w:tcPr>
          <w:p w14:paraId="5CC5F495"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43" w:type="dxa"/>
            <w:gridSpan w:val="2"/>
            <w:tcBorders>
              <w:top w:val="single" w:sz="4" w:space="0" w:color="auto"/>
            </w:tcBorders>
            <w:vAlign w:val="center"/>
          </w:tcPr>
          <w:p w14:paraId="3144F0B1"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04" w:type="dxa"/>
            <w:gridSpan w:val="3"/>
            <w:tcBorders>
              <w:top w:val="single" w:sz="4" w:space="0" w:color="auto"/>
            </w:tcBorders>
            <w:vAlign w:val="center"/>
          </w:tcPr>
          <w:p w14:paraId="3CD273BE"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17" w:type="dxa"/>
            <w:gridSpan w:val="2"/>
            <w:tcBorders>
              <w:top w:val="single" w:sz="4" w:space="0" w:color="auto"/>
            </w:tcBorders>
            <w:vAlign w:val="center"/>
          </w:tcPr>
          <w:p w14:paraId="70AF17C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0C4D2A20" w14:textId="77777777" w:rsidTr="00FE6F3C">
        <w:trPr>
          <w:trHeight w:val="235"/>
        </w:trPr>
        <w:tc>
          <w:tcPr>
            <w:tcW w:w="2953" w:type="dxa"/>
            <w:gridSpan w:val="2"/>
            <w:tcBorders>
              <w:top w:val="single" w:sz="4" w:space="0" w:color="auto"/>
            </w:tcBorders>
            <w:shd w:val="clear" w:color="auto" w:fill="auto"/>
            <w:vAlign w:val="center"/>
          </w:tcPr>
          <w:p w14:paraId="22976F9B"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45" w:type="dxa"/>
            <w:gridSpan w:val="2"/>
            <w:tcBorders>
              <w:top w:val="single" w:sz="4" w:space="0" w:color="auto"/>
            </w:tcBorders>
            <w:shd w:val="clear" w:color="auto" w:fill="auto"/>
            <w:vAlign w:val="center"/>
          </w:tcPr>
          <w:p w14:paraId="26A15EFB"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71" w:type="dxa"/>
            <w:gridSpan w:val="2"/>
            <w:tcBorders>
              <w:top w:val="single" w:sz="4" w:space="0" w:color="auto"/>
            </w:tcBorders>
            <w:shd w:val="clear" w:color="auto" w:fill="auto"/>
            <w:vAlign w:val="center"/>
          </w:tcPr>
          <w:p w14:paraId="17C59C9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04" w:type="dxa"/>
            <w:tcBorders>
              <w:top w:val="single" w:sz="4" w:space="0" w:color="auto"/>
            </w:tcBorders>
            <w:shd w:val="clear" w:color="auto" w:fill="auto"/>
            <w:vAlign w:val="center"/>
          </w:tcPr>
          <w:p w14:paraId="131481A1"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43" w:type="dxa"/>
            <w:gridSpan w:val="2"/>
            <w:tcBorders>
              <w:top w:val="single" w:sz="4" w:space="0" w:color="auto"/>
            </w:tcBorders>
            <w:vAlign w:val="center"/>
          </w:tcPr>
          <w:p w14:paraId="14BDC93E"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04" w:type="dxa"/>
            <w:gridSpan w:val="3"/>
            <w:tcBorders>
              <w:top w:val="single" w:sz="4" w:space="0" w:color="auto"/>
            </w:tcBorders>
            <w:vAlign w:val="center"/>
          </w:tcPr>
          <w:p w14:paraId="4FDE1B80"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17" w:type="dxa"/>
            <w:gridSpan w:val="2"/>
            <w:tcBorders>
              <w:top w:val="single" w:sz="4" w:space="0" w:color="auto"/>
            </w:tcBorders>
            <w:vAlign w:val="center"/>
          </w:tcPr>
          <w:p w14:paraId="16D1DE63"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22052402" w14:textId="77777777" w:rsidTr="00FE6F3C">
        <w:trPr>
          <w:trHeight w:val="209"/>
        </w:trPr>
        <w:tc>
          <w:tcPr>
            <w:tcW w:w="1393" w:type="dxa"/>
            <w:shd w:val="clear" w:color="auto" w:fill="auto"/>
            <w:vAlign w:val="center"/>
          </w:tcPr>
          <w:p w14:paraId="0755BCE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Adhesion</w:t>
            </w:r>
          </w:p>
        </w:tc>
        <w:tc>
          <w:tcPr>
            <w:tcW w:w="1559" w:type="dxa"/>
            <w:vAlign w:val="center"/>
          </w:tcPr>
          <w:p w14:paraId="7F3CDB5B"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Ta [8 in]</w:t>
            </w:r>
          </w:p>
        </w:tc>
        <w:tc>
          <w:tcPr>
            <w:tcW w:w="1145" w:type="dxa"/>
            <w:gridSpan w:val="2"/>
            <w:shd w:val="clear" w:color="auto" w:fill="auto"/>
            <w:vAlign w:val="center"/>
          </w:tcPr>
          <w:p w14:paraId="5CB8326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400 W</w:t>
            </w:r>
          </w:p>
        </w:tc>
        <w:tc>
          <w:tcPr>
            <w:tcW w:w="1171" w:type="dxa"/>
            <w:gridSpan w:val="2"/>
            <w:shd w:val="clear" w:color="auto" w:fill="auto"/>
            <w:vAlign w:val="center"/>
          </w:tcPr>
          <w:p w14:paraId="2172C5D5"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4E-3 </w:t>
            </w:r>
            <w:r w:rsidRPr="00501C2B">
              <w:rPr>
                <w:rFonts w:ascii="Arial" w:eastAsia="Calibri" w:hAnsi="Arial" w:cs="Times New Roman"/>
                <w:sz w:val="18"/>
                <w:szCs w:val="18"/>
                <w:lang w:eastAsia="de-DE"/>
              </w:rPr>
              <w:t>mbar</w:t>
            </w:r>
          </w:p>
        </w:tc>
        <w:tc>
          <w:tcPr>
            <w:tcW w:w="1004" w:type="dxa"/>
            <w:shd w:val="clear" w:color="auto" w:fill="auto"/>
            <w:vAlign w:val="center"/>
          </w:tcPr>
          <w:p w14:paraId="4B1C2E22"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13229935"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17 seconds</w:t>
            </w:r>
          </w:p>
        </w:tc>
        <w:tc>
          <w:tcPr>
            <w:tcW w:w="1104" w:type="dxa"/>
            <w:gridSpan w:val="3"/>
            <w:vAlign w:val="center"/>
          </w:tcPr>
          <w:p w14:paraId="315C4B57"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 nm</w:t>
            </w:r>
          </w:p>
        </w:tc>
        <w:tc>
          <w:tcPr>
            <w:tcW w:w="1117" w:type="dxa"/>
            <w:gridSpan w:val="2"/>
            <w:vAlign w:val="center"/>
          </w:tcPr>
          <w:p w14:paraId="3CC30E37"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054BB78A" w14:textId="77777777" w:rsidTr="00FE6F3C">
        <w:trPr>
          <w:trHeight w:val="470"/>
        </w:trPr>
        <w:tc>
          <w:tcPr>
            <w:tcW w:w="1393" w:type="dxa"/>
            <w:shd w:val="clear" w:color="auto" w:fill="auto"/>
            <w:vAlign w:val="center"/>
          </w:tcPr>
          <w:p w14:paraId="3A4313E7" w14:textId="77777777" w:rsidR="00501C2B" w:rsidRPr="00501C2B" w:rsidRDefault="00501C2B" w:rsidP="00501C2B">
            <w:pPr>
              <w:spacing w:after="0" w:line="240" w:lineRule="auto"/>
              <w:jc w:val="center"/>
              <w:rPr>
                <w:rFonts w:ascii="Arial" w:eastAsia="Calibri" w:hAnsi="Arial" w:cs="Times New Roman"/>
                <w:sz w:val="18"/>
                <w:szCs w:val="18"/>
                <w:lang w:eastAsia="de-DE"/>
              </w:rPr>
            </w:pPr>
            <w:proofErr w:type="spellStart"/>
            <w:r w:rsidRPr="00501C2B">
              <w:rPr>
                <w:rFonts w:ascii="Arial" w:eastAsia="Calibri" w:hAnsi="Arial" w:cs="Times New Roman"/>
                <w:sz w:val="18"/>
                <w:szCs w:val="18"/>
                <w:lang w:eastAsia="de-DE"/>
              </w:rPr>
              <w:lastRenderedPageBreak/>
              <w:t>Magnetostrictive</w:t>
            </w:r>
            <w:proofErr w:type="spellEnd"/>
            <w:r w:rsidRPr="00501C2B">
              <w:rPr>
                <w:rFonts w:ascii="Arial" w:eastAsia="Calibri" w:hAnsi="Arial" w:cs="Times New Roman"/>
                <w:sz w:val="18"/>
                <w:szCs w:val="18"/>
                <w:lang w:eastAsia="de-DE"/>
              </w:rPr>
              <w:t xml:space="preserve"> (</w:t>
            </w:r>
            <w:proofErr w:type="spellStart"/>
            <w:r w:rsidRPr="00501C2B">
              <w:rPr>
                <w:rFonts w:ascii="Arial" w:eastAsia="Calibri" w:hAnsi="Arial" w:cs="Times New Roman"/>
                <w:sz w:val="18"/>
                <w:szCs w:val="18"/>
                <w:lang w:eastAsia="de-DE"/>
              </w:rPr>
              <w:t>FeCoSiB</w:t>
            </w:r>
            <w:proofErr w:type="spellEnd"/>
            <w:r w:rsidRPr="00501C2B">
              <w:rPr>
                <w:rFonts w:ascii="Arial" w:eastAsia="Calibri" w:hAnsi="Arial" w:cs="Times New Roman"/>
                <w:sz w:val="18"/>
                <w:szCs w:val="18"/>
                <w:lang w:eastAsia="de-DE"/>
              </w:rPr>
              <w:t>)</w:t>
            </w:r>
          </w:p>
        </w:tc>
        <w:tc>
          <w:tcPr>
            <w:tcW w:w="1559" w:type="dxa"/>
            <w:vAlign w:val="center"/>
          </w:tcPr>
          <w:p w14:paraId="3A5F6115"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(Fe</w:t>
            </w:r>
            <w:r w:rsidRPr="00501C2B">
              <w:rPr>
                <w:rFonts w:ascii="Arial" w:eastAsia="Calibri" w:hAnsi="Arial" w:cs="Times New Roman"/>
                <w:sz w:val="18"/>
                <w:szCs w:val="18"/>
                <w:vertAlign w:val="subscript"/>
                <w:lang w:eastAsia="de-DE"/>
              </w:rPr>
              <w:t>90</w:t>
            </w:r>
            <w:r w:rsidRPr="00501C2B">
              <w:rPr>
                <w:rFonts w:ascii="Arial" w:eastAsia="Calibri" w:hAnsi="Arial" w:cs="Times New Roman"/>
                <w:sz w:val="18"/>
                <w:szCs w:val="18"/>
                <w:lang w:eastAsia="de-DE"/>
              </w:rPr>
              <w:t>Co</w:t>
            </w:r>
            <w:r w:rsidRPr="00501C2B">
              <w:rPr>
                <w:rFonts w:ascii="Arial" w:eastAsia="Calibri" w:hAnsi="Arial" w:cs="Times New Roman"/>
                <w:sz w:val="18"/>
                <w:szCs w:val="18"/>
                <w:vertAlign w:val="subscript"/>
                <w:lang w:eastAsia="de-DE"/>
              </w:rPr>
              <w:t>10</w:t>
            </w:r>
            <w:r w:rsidRPr="00501C2B">
              <w:rPr>
                <w:rFonts w:ascii="Arial" w:eastAsia="Calibri" w:hAnsi="Arial" w:cs="Times New Roman"/>
                <w:sz w:val="18"/>
                <w:szCs w:val="18"/>
                <w:lang w:eastAsia="de-DE"/>
              </w:rPr>
              <w:t>)</w:t>
            </w:r>
            <w:r w:rsidRPr="00501C2B">
              <w:rPr>
                <w:rFonts w:ascii="Arial" w:eastAsia="Calibri" w:hAnsi="Arial" w:cs="Times New Roman"/>
                <w:sz w:val="18"/>
                <w:szCs w:val="18"/>
                <w:vertAlign w:val="subscript"/>
                <w:lang w:eastAsia="de-DE"/>
              </w:rPr>
              <w:t>78</w:t>
            </w:r>
            <w:r w:rsidRPr="00501C2B">
              <w:rPr>
                <w:rFonts w:ascii="Arial" w:eastAsia="Calibri" w:hAnsi="Arial" w:cs="Times New Roman"/>
                <w:sz w:val="18"/>
                <w:szCs w:val="18"/>
                <w:lang w:eastAsia="de-DE"/>
              </w:rPr>
              <w:t>Si</w:t>
            </w:r>
            <w:r w:rsidRPr="00501C2B">
              <w:rPr>
                <w:rFonts w:ascii="Arial" w:eastAsia="Calibri" w:hAnsi="Arial" w:cs="Times New Roman"/>
                <w:sz w:val="18"/>
                <w:szCs w:val="18"/>
                <w:vertAlign w:val="subscript"/>
                <w:lang w:eastAsia="de-DE"/>
              </w:rPr>
              <w:t>12</w:t>
            </w:r>
            <w:r w:rsidRPr="00501C2B">
              <w:rPr>
                <w:rFonts w:ascii="Arial" w:eastAsia="Calibri" w:hAnsi="Arial" w:cs="Times New Roman"/>
                <w:sz w:val="18"/>
                <w:szCs w:val="18"/>
                <w:lang w:eastAsia="de-DE"/>
              </w:rPr>
              <w:t>B</w:t>
            </w:r>
            <w:r w:rsidRPr="00501C2B">
              <w:rPr>
                <w:rFonts w:ascii="Arial" w:eastAsia="Calibri" w:hAnsi="Arial" w:cs="Times New Roman"/>
                <w:sz w:val="18"/>
                <w:szCs w:val="18"/>
                <w:vertAlign w:val="subscript"/>
                <w:lang w:eastAsia="de-DE"/>
              </w:rPr>
              <w:t>10</w:t>
            </w:r>
          </w:p>
          <w:p w14:paraId="781C262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[8 in]</w:t>
            </w:r>
          </w:p>
        </w:tc>
        <w:tc>
          <w:tcPr>
            <w:tcW w:w="1145" w:type="dxa"/>
            <w:gridSpan w:val="2"/>
            <w:shd w:val="clear" w:color="auto" w:fill="auto"/>
            <w:vAlign w:val="center"/>
          </w:tcPr>
          <w:p w14:paraId="6AEFFFCD"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200 W</w:t>
            </w:r>
          </w:p>
        </w:tc>
        <w:tc>
          <w:tcPr>
            <w:tcW w:w="1171" w:type="dxa"/>
            <w:gridSpan w:val="2"/>
            <w:shd w:val="clear" w:color="auto" w:fill="auto"/>
            <w:vAlign w:val="center"/>
          </w:tcPr>
          <w:p w14:paraId="14355BAE"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6E-3 </w:t>
            </w:r>
            <w:r w:rsidRPr="00501C2B">
              <w:rPr>
                <w:rFonts w:ascii="Arial" w:eastAsia="Calibri" w:hAnsi="Arial" w:cs="Times New Roman"/>
                <w:sz w:val="18"/>
                <w:szCs w:val="18"/>
                <w:lang w:eastAsia="de-DE"/>
              </w:rPr>
              <w:t>mbar</w:t>
            </w:r>
          </w:p>
        </w:tc>
        <w:tc>
          <w:tcPr>
            <w:tcW w:w="1004" w:type="dxa"/>
            <w:shd w:val="clear" w:color="auto" w:fill="auto"/>
            <w:vAlign w:val="center"/>
          </w:tcPr>
          <w:p w14:paraId="5E0ACD98"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40 </w:t>
            </w:r>
            <w:proofErr w:type="spellStart"/>
            <w:r w:rsidRPr="00501C2B">
              <w:rPr>
                <w:rFonts w:ascii="Arial" w:eastAsia="Calibri" w:hAnsi="Arial" w:cs="Times New Roman"/>
                <w:sz w:val="18"/>
                <w:szCs w:val="18"/>
                <w:lang w:eastAsia="de-DE"/>
              </w:rPr>
              <w:t>Ar</w:t>
            </w:r>
            <w:proofErr w:type="spellEnd"/>
          </w:p>
        </w:tc>
        <w:tc>
          <w:tcPr>
            <w:tcW w:w="1043" w:type="dxa"/>
            <w:gridSpan w:val="2"/>
            <w:vAlign w:val="center"/>
          </w:tcPr>
          <w:p w14:paraId="5F7E2093"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230 min</w:t>
            </w:r>
          </w:p>
        </w:tc>
        <w:tc>
          <w:tcPr>
            <w:tcW w:w="1104" w:type="dxa"/>
            <w:gridSpan w:val="3"/>
            <w:vAlign w:val="center"/>
          </w:tcPr>
          <w:p w14:paraId="04B497E0"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2 </w:t>
            </w:r>
            <w:r w:rsidRPr="00501C2B">
              <w:rPr>
                <w:rFonts w:ascii="Arial" w:eastAsia="Calibri" w:hAnsi="Arial" w:cs="Arial"/>
                <w:sz w:val="18"/>
                <w:szCs w:val="18"/>
                <w:lang w:val="de-DE" w:eastAsia="de-DE"/>
              </w:rPr>
              <w:t>μ</w:t>
            </w:r>
            <w:r w:rsidRPr="00501C2B">
              <w:rPr>
                <w:rFonts w:ascii="Arial" w:eastAsia="Calibri" w:hAnsi="Arial" w:cs="Times New Roman"/>
                <w:sz w:val="18"/>
                <w:szCs w:val="18"/>
                <w:lang w:val="de-DE" w:eastAsia="de-DE"/>
              </w:rPr>
              <w:t>m</w:t>
            </w:r>
          </w:p>
        </w:tc>
        <w:tc>
          <w:tcPr>
            <w:tcW w:w="1117" w:type="dxa"/>
            <w:gridSpan w:val="2"/>
            <w:vAlign w:val="center"/>
          </w:tcPr>
          <w:p w14:paraId="1F331224"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tr w:rsidR="00501C2B" w:rsidRPr="00501C2B" w14:paraId="6234300C" w14:textId="77777777" w:rsidTr="00FE6F3C">
        <w:trPr>
          <w:trHeight w:val="209"/>
        </w:trPr>
        <w:tc>
          <w:tcPr>
            <w:tcW w:w="1393" w:type="dxa"/>
            <w:tcBorders>
              <w:bottom w:val="single" w:sz="4" w:space="0" w:color="auto"/>
            </w:tcBorders>
            <w:shd w:val="clear" w:color="auto" w:fill="auto"/>
            <w:vAlign w:val="center"/>
          </w:tcPr>
          <w:p w14:paraId="44CCCF0C"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Protection</w:t>
            </w:r>
          </w:p>
        </w:tc>
        <w:tc>
          <w:tcPr>
            <w:tcW w:w="1559" w:type="dxa"/>
            <w:tcBorders>
              <w:bottom w:val="single" w:sz="4" w:space="0" w:color="auto"/>
            </w:tcBorders>
            <w:vAlign w:val="center"/>
          </w:tcPr>
          <w:p w14:paraId="002FD5C2"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Ta [8 in]</w:t>
            </w:r>
          </w:p>
        </w:tc>
        <w:tc>
          <w:tcPr>
            <w:tcW w:w="1145" w:type="dxa"/>
            <w:gridSpan w:val="2"/>
            <w:tcBorders>
              <w:bottom w:val="single" w:sz="4" w:space="0" w:color="auto"/>
            </w:tcBorders>
            <w:shd w:val="clear" w:color="auto" w:fill="auto"/>
            <w:vAlign w:val="center"/>
          </w:tcPr>
          <w:p w14:paraId="46281126"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400 W</w:t>
            </w:r>
          </w:p>
        </w:tc>
        <w:tc>
          <w:tcPr>
            <w:tcW w:w="1171" w:type="dxa"/>
            <w:gridSpan w:val="2"/>
            <w:tcBorders>
              <w:bottom w:val="single" w:sz="4" w:space="0" w:color="auto"/>
            </w:tcBorders>
            <w:shd w:val="clear" w:color="auto" w:fill="auto"/>
            <w:vAlign w:val="center"/>
          </w:tcPr>
          <w:p w14:paraId="0A26B5F4"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 xml:space="preserve">4E-3 </w:t>
            </w:r>
            <w:r w:rsidRPr="00501C2B">
              <w:rPr>
                <w:rFonts w:ascii="Arial" w:eastAsia="Calibri" w:hAnsi="Arial" w:cs="Times New Roman"/>
                <w:sz w:val="18"/>
                <w:szCs w:val="18"/>
                <w:lang w:eastAsia="de-DE"/>
              </w:rPr>
              <w:t>mbar</w:t>
            </w:r>
          </w:p>
        </w:tc>
        <w:tc>
          <w:tcPr>
            <w:tcW w:w="1004" w:type="dxa"/>
            <w:tcBorders>
              <w:bottom w:val="single" w:sz="4" w:space="0" w:color="auto"/>
            </w:tcBorders>
            <w:shd w:val="clear" w:color="auto" w:fill="auto"/>
            <w:vAlign w:val="center"/>
          </w:tcPr>
          <w:p w14:paraId="0A1EF6A9"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 xml:space="preserve">30 </w:t>
            </w:r>
            <w:proofErr w:type="spellStart"/>
            <w:r w:rsidRPr="00501C2B">
              <w:rPr>
                <w:rFonts w:ascii="Arial" w:eastAsia="Calibri" w:hAnsi="Arial" w:cs="Times New Roman"/>
                <w:sz w:val="18"/>
                <w:szCs w:val="18"/>
                <w:lang w:eastAsia="de-DE"/>
              </w:rPr>
              <w:t>Ar</w:t>
            </w:r>
            <w:proofErr w:type="spellEnd"/>
          </w:p>
        </w:tc>
        <w:tc>
          <w:tcPr>
            <w:tcW w:w="1043" w:type="dxa"/>
            <w:gridSpan w:val="2"/>
            <w:tcBorders>
              <w:bottom w:val="single" w:sz="4" w:space="0" w:color="auto"/>
            </w:tcBorders>
            <w:vAlign w:val="center"/>
          </w:tcPr>
          <w:p w14:paraId="60E95A87" w14:textId="77777777" w:rsidR="00501C2B" w:rsidRPr="00501C2B" w:rsidRDefault="00501C2B" w:rsidP="00501C2B">
            <w:pPr>
              <w:spacing w:after="0" w:line="240" w:lineRule="auto"/>
              <w:jc w:val="center"/>
              <w:rPr>
                <w:rFonts w:ascii="Arial" w:eastAsia="Calibri" w:hAnsi="Arial" w:cs="Times New Roman"/>
                <w:sz w:val="18"/>
                <w:szCs w:val="18"/>
                <w:lang w:eastAsia="de-DE"/>
              </w:rPr>
            </w:pPr>
            <w:r w:rsidRPr="00501C2B">
              <w:rPr>
                <w:rFonts w:ascii="Arial" w:eastAsia="Calibri" w:hAnsi="Arial" w:cs="Times New Roman"/>
                <w:sz w:val="18"/>
                <w:szCs w:val="18"/>
                <w:lang w:eastAsia="de-DE"/>
              </w:rPr>
              <w:t>17 seconds</w:t>
            </w:r>
          </w:p>
        </w:tc>
        <w:tc>
          <w:tcPr>
            <w:tcW w:w="1104" w:type="dxa"/>
            <w:gridSpan w:val="3"/>
            <w:tcBorders>
              <w:bottom w:val="single" w:sz="4" w:space="0" w:color="auto"/>
            </w:tcBorders>
            <w:vAlign w:val="center"/>
          </w:tcPr>
          <w:p w14:paraId="7342E287"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r w:rsidRPr="00501C2B">
              <w:rPr>
                <w:rFonts w:ascii="Arial" w:eastAsia="Calibri" w:hAnsi="Arial" w:cs="Times New Roman"/>
                <w:sz w:val="18"/>
                <w:szCs w:val="18"/>
                <w:lang w:val="de-DE" w:eastAsia="de-DE"/>
              </w:rPr>
              <w:t>10 nm</w:t>
            </w:r>
          </w:p>
        </w:tc>
        <w:tc>
          <w:tcPr>
            <w:tcW w:w="1117" w:type="dxa"/>
            <w:gridSpan w:val="2"/>
            <w:tcBorders>
              <w:bottom w:val="single" w:sz="4" w:space="0" w:color="auto"/>
            </w:tcBorders>
            <w:vAlign w:val="center"/>
          </w:tcPr>
          <w:p w14:paraId="67F94E0D"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r>
      <w:tr w:rsidR="00501C2B" w:rsidRPr="00501C2B" w14:paraId="44D47A90" w14:textId="77777777" w:rsidTr="00FE6F3C">
        <w:trPr>
          <w:gridAfter w:val="1"/>
          <w:wAfter w:w="88" w:type="dxa"/>
          <w:trHeight w:val="235"/>
        </w:trPr>
        <w:tc>
          <w:tcPr>
            <w:tcW w:w="1393" w:type="dxa"/>
            <w:tcBorders>
              <w:top w:val="single" w:sz="4" w:space="0" w:color="auto"/>
            </w:tcBorders>
            <w:shd w:val="clear" w:color="auto" w:fill="auto"/>
            <w:vAlign w:val="center"/>
          </w:tcPr>
          <w:p w14:paraId="072428B6"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559" w:type="dxa"/>
            <w:tcBorders>
              <w:top w:val="single" w:sz="4" w:space="0" w:color="auto"/>
            </w:tcBorders>
            <w:vAlign w:val="center"/>
          </w:tcPr>
          <w:p w14:paraId="113A7442"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16" w:type="dxa"/>
            <w:tcBorders>
              <w:top w:val="single" w:sz="4" w:space="0" w:color="auto"/>
            </w:tcBorders>
          </w:tcPr>
          <w:p w14:paraId="0A8ACCEA"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52" w:type="dxa"/>
            <w:gridSpan w:val="2"/>
            <w:tcBorders>
              <w:top w:val="single" w:sz="4" w:space="0" w:color="auto"/>
            </w:tcBorders>
            <w:shd w:val="clear" w:color="auto" w:fill="auto"/>
            <w:vAlign w:val="center"/>
          </w:tcPr>
          <w:p w14:paraId="09E3E4AF"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57" w:type="dxa"/>
            <w:gridSpan w:val="2"/>
            <w:tcBorders>
              <w:top w:val="single" w:sz="4" w:space="0" w:color="auto"/>
            </w:tcBorders>
            <w:shd w:val="clear" w:color="auto" w:fill="auto"/>
            <w:vAlign w:val="center"/>
          </w:tcPr>
          <w:p w14:paraId="06C8BF7B" w14:textId="77777777" w:rsidR="00501C2B" w:rsidRPr="00501C2B" w:rsidRDefault="00501C2B" w:rsidP="00501C2B">
            <w:pPr>
              <w:spacing w:after="0" w:line="240" w:lineRule="auto"/>
              <w:jc w:val="center"/>
              <w:rPr>
                <w:rFonts w:ascii="Arial" w:eastAsia="Calibri" w:hAnsi="Arial" w:cs="Times New Roman"/>
                <w:sz w:val="18"/>
                <w:szCs w:val="18"/>
                <w:lang w:val="de-DE" w:eastAsia="de-DE"/>
              </w:rPr>
            </w:pPr>
          </w:p>
        </w:tc>
        <w:tc>
          <w:tcPr>
            <w:tcW w:w="1018" w:type="dxa"/>
            <w:tcBorders>
              <w:top w:val="single" w:sz="4" w:space="0" w:color="auto"/>
            </w:tcBorders>
            <w:shd w:val="clear" w:color="auto" w:fill="auto"/>
            <w:vAlign w:val="center"/>
          </w:tcPr>
          <w:p w14:paraId="5E66841C"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043" w:type="dxa"/>
            <w:gridSpan w:val="3"/>
            <w:tcBorders>
              <w:top w:val="single" w:sz="4" w:space="0" w:color="auto"/>
            </w:tcBorders>
            <w:vAlign w:val="center"/>
          </w:tcPr>
          <w:p w14:paraId="1DE70961"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c>
          <w:tcPr>
            <w:tcW w:w="1111" w:type="dxa"/>
            <w:gridSpan w:val="2"/>
            <w:tcBorders>
              <w:top w:val="single" w:sz="4" w:space="0" w:color="auto"/>
            </w:tcBorders>
            <w:vAlign w:val="center"/>
          </w:tcPr>
          <w:p w14:paraId="435F9499" w14:textId="77777777" w:rsidR="00501C2B" w:rsidRPr="00501C2B" w:rsidRDefault="00501C2B" w:rsidP="00501C2B">
            <w:pPr>
              <w:spacing w:after="0" w:line="240" w:lineRule="auto"/>
              <w:jc w:val="center"/>
              <w:rPr>
                <w:rFonts w:ascii="Arial" w:eastAsia="Calibri" w:hAnsi="Arial" w:cs="Times New Roman"/>
                <w:sz w:val="18"/>
                <w:szCs w:val="18"/>
                <w:lang w:eastAsia="de-DE"/>
              </w:rPr>
            </w:pPr>
          </w:p>
        </w:tc>
      </w:tr>
      <w:bookmarkEnd w:id="9"/>
    </w:tbl>
    <w:p w14:paraId="53D386D9" w14:textId="77777777" w:rsidR="00501C2B" w:rsidRPr="00501C2B" w:rsidRDefault="00501C2B" w:rsidP="00501C2B">
      <w:pPr>
        <w:spacing w:after="0" w:line="480" w:lineRule="auto"/>
        <w:ind w:firstLine="284"/>
        <w:rPr>
          <w:rFonts w:ascii="Arial" w:eastAsia="Calibri" w:hAnsi="Arial" w:cs="Times New Roman"/>
          <w:sz w:val="20"/>
          <w:szCs w:val="20"/>
          <w:lang w:eastAsia="de-DE"/>
        </w:rPr>
      </w:pPr>
    </w:p>
    <w:bookmarkEnd w:id="10"/>
    <w:p w14:paraId="74E92372" w14:textId="77777777" w:rsidR="00501C2B" w:rsidRPr="00501C2B" w:rsidRDefault="00501C2B" w:rsidP="00501C2B">
      <w:pPr>
        <w:spacing w:after="0" w:line="480" w:lineRule="auto"/>
        <w:ind w:firstLine="284"/>
        <w:rPr>
          <w:rFonts w:ascii="Arial" w:eastAsia="Calibri" w:hAnsi="Arial" w:cs="Times New Roman"/>
          <w:sz w:val="20"/>
          <w:szCs w:val="20"/>
          <w:lang w:eastAsia="de-DE"/>
        </w:rPr>
      </w:pPr>
    </w:p>
    <w:p w14:paraId="27AB0C7F" w14:textId="77777777" w:rsidR="00501C2B" w:rsidRPr="004122DD" w:rsidRDefault="00501C2B" w:rsidP="00841634">
      <w:pPr>
        <w:spacing w:line="480" w:lineRule="auto"/>
        <w:jc w:val="both"/>
        <w:rPr>
          <w:rFonts w:ascii="Arial" w:hAnsi="Arial" w:cs="Arial"/>
          <w:b/>
          <w:color w:val="8B2F57"/>
          <w:sz w:val="24"/>
          <w:szCs w:val="24"/>
        </w:rPr>
      </w:pPr>
    </w:p>
    <w:p w14:paraId="54E53C71" w14:textId="1E066B88" w:rsidR="001411F7" w:rsidRDefault="001411F7" w:rsidP="00841634">
      <w:pPr>
        <w:spacing w:line="480" w:lineRule="auto"/>
        <w:jc w:val="both"/>
        <w:rPr>
          <w:rFonts w:ascii="Arial" w:hAnsi="Arial" w:cs="Arial"/>
          <w:b/>
          <w:color w:val="8B2F57"/>
          <w:sz w:val="24"/>
          <w:szCs w:val="24"/>
        </w:rPr>
      </w:pPr>
      <w:r>
        <w:rPr>
          <w:rFonts w:ascii="Arial" w:hAnsi="Arial" w:cs="Arial"/>
          <w:b/>
          <w:color w:val="8B2F57"/>
          <w:sz w:val="24"/>
          <w:szCs w:val="24"/>
        </w:rPr>
        <w:t>III: Shape Memory Alloy Characterization</w:t>
      </w:r>
    </w:p>
    <w:p w14:paraId="4E2FBDD7" w14:textId="6CE2B919" w:rsidR="00246D39" w:rsidRPr="00841634" w:rsidRDefault="00246D39" w:rsidP="00841634">
      <w:pPr>
        <w:spacing w:line="480" w:lineRule="auto"/>
        <w:ind w:firstLine="720"/>
        <w:jc w:val="both"/>
        <w:rPr>
          <w:rFonts w:ascii="Arial" w:hAnsi="Arial" w:cs="Arial"/>
          <w:sz w:val="20"/>
          <w:szCs w:val="20"/>
        </w:rPr>
      </w:pPr>
      <w:r w:rsidRPr="00246D39">
        <w:rPr>
          <w:rFonts w:ascii="Arial" w:hAnsi="Arial" w:cs="Arial"/>
          <w:sz w:val="20"/>
          <w:szCs w:val="20"/>
          <w:lang w:val="en-IN"/>
        </w:rPr>
        <w:t>Temperature dependent</w:t>
      </w:r>
      <w:r w:rsidRPr="00246D39">
        <w:rPr>
          <w:rFonts w:ascii="Arial" w:hAnsi="Arial" w:cs="Arial"/>
          <w:sz w:val="20"/>
          <w:szCs w:val="20"/>
        </w:rPr>
        <w:t xml:space="preserve"> XRD (Anton-</w:t>
      </w:r>
      <w:proofErr w:type="spellStart"/>
      <w:r w:rsidRPr="00246D39">
        <w:rPr>
          <w:rFonts w:ascii="Arial" w:hAnsi="Arial" w:cs="Arial"/>
          <w:sz w:val="20"/>
          <w:szCs w:val="20"/>
        </w:rPr>
        <w:t>Paar</w:t>
      </w:r>
      <w:proofErr w:type="spellEnd"/>
      <w:r w:rsidRPr="00246D39">
        <w:rPr>
          <w:rFonts w:ascii="Arial" w:hAnsi="Arial" w:cs="Arial"/>
          <w:sz w:val="20"/>
          <w:szCs w:val="20"/>
        </w:rPr>
        <w:t xml:space="preserve"> DHS 1100) measurements on a fabricated </w:t>
      </w:r>
      <w:proofErr w:type="spellStart"/>
      <w:r w:rsidRPr="00246D39">
        <w:rPr>
          <w:rFonts w:ascii="Arial" w:hAnsi="Arial" w:cs="Arial"/>
          <w:sz w:val="20"/>
          <w:szCs w:val="20"/>
        </w:rPr>
        <w:t>AlN</w:t>
      </w:r>
      <w:proofErr w:type="spellEnd"/>
      <w:r w:rsidRPr="00246D39">
        <w:rPr>
          <w:rFonts w:ascii="Arial" w:hAnsi="Arial" w:cs="Arial"/>
          <w:sz w:val="20"/>
          <w:szCs w:val="20"/>
        </w:rPr>
        <w:t>/</w:t>
      </w:r>
      <w:proofErr w:type="spellStart"/>
      <w:r w:rsidRPr="00246D39">
        <w:rPr>
          <w:rFonts w:ascii="Arial" w:hAnsi="Arial" w:cs="Arial"/>
          <w:sz w:val="20"/>
          <w:szCs w:val="20"/>
        </w:rPr>
        <w:t>TiNiCu</w:t>
      </w:r>
      <w:proofErr w:type="spellEnd"/>
      <w:r w:rsidRPr="00246D39">
        <w:rPr>
          <w:rFonts w:ascii="Arial" w:hAnsi="Arial" w:cs="Arial"/>
          <w:sz w:val="20"/>
          <w:szCs w:val="20"/>
        </w:rPr>
        <w:t>/ Si composite were performed</w:t>
      </w:r>
      <w:r w:rsidR="00A25773">
        <w:rPr>
          <w:rFonts w:ascii="Arial" w:hAnsi="Arial" w:cs="Arial"/>
          <w:sz w:val="20"/>
          <w:szCs w:val="20"/>
        </w:rPr>
        <w:t xml:space="preserve"> to observe a fully reversible phase transformation. </w:t>
      </w:r>
      <w:r w:rsidRPr="00246D39">
        <w:rPr>
          <w:rFonts w:ascii="Arial" w:hAnsi="Arial" w:cs="Arial"/>
          <w:sz w:val="20"/>
          <w:szCs w:val="20"/>
        </w:rPr>
        <w:t xml:space="preserve"> between 30 °C to 100 °C to ensure a full reversible phase transformation from martensite to austenite and again at 30 °C to evaluate if </w:t>
      </w:r>
      <w:proofErr w:type="spellStart"/>
      <w:r w:rsidRPr="00246D39">
        <w:rPr>
          <w:rFonts w:ascii="Arial" w:hAnsi="Arial" w:cs="Arial"/>
          <w:sz w:val="20"/>
          <w:szCs w:val="20"/>
        </w:rPr>
        <w:t>TiNiCu</w:t>
      </w:r>
      <w:proofErr w:type="spellEnd"/>
      <w:r w:rsidRPr="00246D39">
        <w:rPr>
          <w:rFonts w:ascii="Arial" w:hAnsi="Arial" w:cs="Arial"/>
          <w:sz w:val="20"/>
          <w:szCs w:val="20"/>
        </w:rPr>
        <w:t xml:space="preserve"> fully </w:t>
      </w:r>
      <w:r w:rsidR="00364D78" w:rsidRPr="00246D39">
        <w:rPr>
          <w:rFonts w:ascii="Arial" w:hAnsi="Arial" w:cs="Arial"/>
          <w:sz w:val="20"/>
          <w:szCs w:val="20"/>
        </w:rPr>
        <w:t>returns</w:t>
      </w:r>
      <w:r w:rsidRPr="00246D39">
        <w:rPr>
          <w:rFonts w:ascii="Arial" w:hAnsi="Arial" w:cs="Arial"/>
          <w:sz w:val="20"/>
          <w:szCs w:val="20"/>
        </w:rPr>
        <w:t xml:space="preserve"> to martensite. Figure S</w:t>
      </w:r>
      <w:r>
        <w:rPr>
          <w:rFonts w:ascii="Arial" w:hAnsi="Arial" w:cs="Arial"/>
          <w:sz w:val="20"/>
          <w:szCs w:val="20"/>
        </w:rPr>
        <w:t>2</w:t>
      </w:r>
      <w:r w:rsidR="00364D78">
        <w:rPr>
          <w:rFonts w:ascii="Arial" w:hAnsi="Arial" w:cs="Arial"/>
          <w:sz w:val="20"/>
          <w:szCs w:val="20"/>
        </w:rPr>
        <w:t>(</w:t>
      </w:r>
      <w:r w:rsidRPr="00246D39">
        <w:rPr>
          <w:rFonts w:ascii="Arial" w:hAnsi="Arial" w:cs="Arial"/>
          <w:sz w:val="20"/>
          <w:szCs w:val="20"/>
        </w:rPr>
        <w:t>a</w:t>
      </w:r>
      <w:r w:rsidR="00364D78">
        <w:rPr>
          <w:rFonts w:ascii="Arial" w:hAnsi="Arial" w:cs="Arial"/>
          <w:sz w:val="20"/>
          <w:szCs w:val="20"/>
        </w:rPr>
        <w:t>)</w:t>
      </w:r>
      <w:r w:rsidRPr="00246D39">
        <w:rPr>
          <w:rFonts w:ascii="Arial" w:hAnsi="Arial" w:cs="Arial"/>
          <w:sz w:val="20"/>
          <w:szCs w:val="20"/>
        </w:rPr>
        <w:t xml:space="preserve"> demonstrates </w:t>
      </w:r>
      <w:r w:rsidRPr="00246D39">
        <w:rPr>
          <w:rFonts w:ascii="Arial" w:eastAsia="Times New Roman" w:hAnsi="Arial" w:cs="Arial"/>
          <w:color w:val="000000"/>
          <w:sz w:val="20"/>
          <w:szCs w:val="20"/>
          <w:lang w:eastAsia="de-DE"/>
        </w:rPr>
        <w:t xml:space="preserve">upon heating to 100 °C in 10°C steps, no observable change in the (002) </w:t>
      </w:r>
      <w:proofErr w:type="spellStart"/>
      <w:r w:rsidRPr="00246D39">
        <w:rPr>
          <w:rFonts w:ascii="Arial" w:eastAsia="Times New Roman" w:hAnsi="Arial" w:cs="Arial"/>
          <w:color w:val="000000"/>
          <w:sz w:val="20"/>
          <w:szCs w:val="20"/>
          <w:lang w:eastAsia="de-DE"/>
        </w:rPr>
        <w:t>AlN</w:t>
      </w:r>
      <w:proofErr w:type="spellEnd"/>
      <w:r w:rsidRPr="00246D39">
        <w:rPr>
          <w:rFonts w:ascii="Arial" w:eastAsia="Times New Roman" w:hAnsi="Arial" w:cs="Arial"/>
          <w:color w:val="000000"/>
          <w:sz w:val="20"/>
          <w:szCs w:val="20"/>
          <w:lang w:eastAsia="de-DE"/>
        </w:rPr>
        <w:t xml:space="preserve"> peak position (2θ = ~36°) or intensity</w:t>
      </w:r>
      <w:r w:rsidR="0026558F">
        <w:rPr>
          <w:rFonts w:ascii="Arial" w:eastAsia="Times New Roman" w:hAnsi="Arial" w:cs="Arial"/>
          <w:color w:val="000000"/>
          <w:sz w:val="20"/>
          <w:szCs w:val="20"/>
          <w:lang w:eastAsia="de-DE"/>
        </w:rPr>
        <w:t xml:space="preserve"> is detected</w:t>
      </w:r>
      <w:r w:rsidRPr="00246D39">
        <w:rPr>
          <w:rFonts w:ascii="Arial" w:eastAsia="Times New Roman" w:hAnsi="Arial" w:cs="Arial"/>
          <w:color w:val="000000"/>
          <w:sz w:val="20"/>
          <w:szCs w:val="20"/>
          <w:lang w:eastAsia="de-DE"/>
        </w:rPr>
        <w:t>. This indicates that the phase transformation does not affect the structural properties of the piezoelectric material. Figures S</w:t>
      </w:r>
      <w:r>
        <w:rPr>
          <w:rFonts w:ascii="Arial" w:eastAsia="Times New Roman" w:hAnsi="Arial" w:cs="Arial"/>
          <w:color w:val="000000"/>
          <w:sz w:val="20"/>
          <w:szCs w:val="20"/>
          <w:lang w:eastAsia="de-DE"/>
        </w:rPr>
        <w:t>2</w:t>
      </w:r>
      <w:r w:rsidR="00C14921">
        <w:rPr>
          <w:rFonts w:ascii="Arial" w:eastAsia="Times New Roman" w:hAnsi="Arial" w:cs="Arial"/>
          <w:color w:val="000000"/>
          <w:sz w:val="20"/>
          <w:szCs w:val="20"/>
          <w:lang w:eastAsia="de-DE"/>
        </w:rPr>
        <w:t>(</w:t>
      </w:r>
      <w:r w:rsidRPr="00246D39">
        <w:rPr>
          <w:rFonts w:ascii="Arial" w:eastAsia="Times New Roman" w:hAnsi="Arial" w:cs="Arial"/>
          <w:color w:val="000000"/>
          <w:sz w:val="20"/>
          <w:szCs w:val="20"/>
          <w:lang w:eastAsia="de-DE"/>
        </w:rPr>
        <w:t>b</w:t>
      </w:r>
      <w:r w:rsidR="00C14921">
        <w:rPr>
          <w:rFonts w:ascii="Arial" w:eastAsia="Times New Roman" w:hAnsi="Arial" w:cs="Arial"/>
          <w:color w:val="000000"/>
          <w:sz w:val="20"/>
          <w:szCs w:val="20"/>
          <w:lang w:eastAsia="de-DE"/>
        </w:rPr>
        <w:t>)</w:t>
      </w:r>
      <w:r w:rsidRPr="00246D39">
        <w:rPr>
          <w:rFonts w:ascii="Arial" w:eastAsia="Times New Roman" w:hAnsi="Arial" w:cs="Arial"/>
          <w:color w:val="000000"/>
          <w:sz w:val="20"/>
          <w:szCs w:val="20"/>
          <w:lang w:eastAsia="de-DE"/>
        </w:rPr>
        <w:t xml:space="preserve"> – S</w:t>
      </w:r>
      <w:r>
        <w:rPr>
          <w:rFonts w:ascii="Arial" w:eastAsia="Times New Roman" w:hAnsi="Arial" w:cs="Arial"/>
          <w:color w:val="000000"/>
          <w:sz w:val="20"/>
          <w:szCs w:val="20"/>
          <w:lang w:eastAsia="de-DE"/>
        </w:rPr>
        <w:t>2</w:t>
      </w:r>
      <w:r w:rsidR="00C14921">
        <w:rPr>
          <w:rFonts w:ascii="Arial" w:eastAsia="Times New Roman" w:hAnsi="Arial" w:cs="Arial"/>
          <w:color w:val="000000"/>
          <w:sz w:val="20"/>
          <w:szCs w:val="20"/>
          <w:lang w:eastAsia="de-DE"/>
        </w:rPr>
        <w:t>(</w:t>
      </w:r>
      <w:r w:rsidRPr="00246D39">
        <w:rPr>
          <w:rFonts w:ascii="Arial" w:eastAsia="Times New Roman" w:hAnsi="Arial" w:cs="Arial"/>
          <w:color w:val="000000"/>
          <w:sz w:val="20"/>
          <w:szCs w:val="20"/>
          <w:lang w:eastAsia="de-DE"/>
        </w:rPr>
        <w:t>d</w:t>
      </w:r>
      <w:r w:rsidR="00C14921">
        <w:rPr>
          <w:rFonts w:ascii="Arial" w:eastAsia="Times New Roman" w:hAnsi="Arial" w:cs="Arial"/>
          <w:color w:val="000000"/>
          <w:sz w:val="20"/>
          <w:szCs w:val="20"/>
          <w:lang w:eastAsia="de-DE"/>
        </w:rPr>
        <w:t>)</w:t>
      </w:r>
      <w:r w:rsidRPr="00246D39">
        <w:rPr>
          <w:rFonts w:ascii="Arial" w:eastAsia="Times New Roman" w:hAnsi="Arial" w:cs="Arial"/>
          <w:color w:val="000000"/>
          <w:sz w:val="20"/>
          <w:szCs w:val="20"/>
          <w:lang w:eastAsia="de-DE"/>
        </w:rPr>
        <w:t xml:space="preserve"> show selected</w:t>
      </w:r>
      <w:r w:rsidR="00A25773">
        <w:rPr>
          <w:rFonts w:ascii="Arial" w:eastAsia="Times New Roman" w:hAnsi="Arial" w:cs="Arial"/>
          <w:color w:val="000000"/>
          <w:sz w:val="20"/>
          <w:szCs w:val="20"/>
          <w:lang w:eastAsia="de-DE"/>
        </w:rPr>
        <w:t xml:space="preserve"> temperature dependent</w:t>
      </w:r>
      <w:r w:rsidRPr="00246D39">
        <w:rPr>
          <w:rFonts w:ascii="Arial" w:eastAsia="Times New Roman" w:hAnsi="Arial" w:cs="Arial"/>
          <w:color w:val="000000"/>
          <w:sz w:val="20"/>
          <w:szCs w:val="20"/>
          <w:lang w:eastAsia="de-DE"/>
        </w:rPr>
        <w:t xml:space="preserve"> XRD peaks confirming</w:t>
      </w:r>
      <w:r w:rsidRPr="00246D39">
        <w:rPr>
          <w:rFonts w:ascii="Arial" w:hAnsi="Arial" w:cs="Arial"/>
          <w:sz w:val="20"/>
          <w:szCs w:val="20"/>
        </w:rPr>
        <w:t xml:space="preserve"> a full phase transformation from the B19 (martensite orthor</w:t>
      </w:r>
      <w:r w:rsidR="00364D78">
        <w:rPr>
          <w:rFonts w:ascii="Arial" w:hAnsi="Arial" w:cs="Arial"/>
          <w:sz w:val="20"/>
          <w:szCs w:val="20"/>
        </w:rPr>
        <w:t>ho</w:t>
      </w:r>
      <w:r w:rsidRPr="00246D39">
        <w:rPr>
          <w:rFonts w:ascii="Arial" w:hAnsi="Arial" w:cs="Arial"/>
          <w:sz w:val="20"/>
          <w:szCs w:val="20"/>
        </w:rPr>
        <w:t xml:space="preserve">mbic structure, space group PMMB #51) to the B2 (austenite simple cubic structure) upon heating to temperatures above 70 °C. The expected peak position of the martensite (M) and austenite (A) peaks </w:t>
      </w:r>
      <w:r w:rsidR="00220FC6">
        <w:rPr>
          <w:rFonts w:ascii="Arial" w:hAnsi="Arial" w:cs="Arial"/>
          <w:sz w:val="20"/>
          <w:szCs w:val="20"/>
        </w:rPr>
        <w:t xml:space="preserve">obtained from the TOPAS software </w:t>
      </w:r>
      <w:r w:rsidRPr="00246D39">
        <w:rPr>
          <w:rFonts w:ascii="Arial" w:hAnsi="Arial" w:cs="Arial"/>
          <w:sz w:val="20"/>
          <w:szCs w:val="20"/>
        </w:rPr>
        <w:t xml:space="preserve">are </w:t>
      </w:r>
      <w:r w:rsidR="00CD569B">
        <w:rPr>
          <w:rFonts w:ascii="Arial" w:hAnsi="Arial" w:cs="Arial"/>
          <w:sz w:val="20"/>
          <w:szCs w:val="20"/>
        </w:rPr>
        <w:t>listed</w:t>
      </w:r>
      <w:r w:rsidRPr="00246D39">
        <w:rPr>
          <w:rFonts w:ascii="Arial" w:hAnsi="Arial" w:cs="Arial"/>
          <w:sz w:val="20"/>
          <w:szCs w:val="20"/>
        </w:rPr>
        <w:t xml:space="preserve"> in Table SII. </w:t>
      </w:r>
      <w:r w:rsidRPr="00246D39">
        <w:rPr>
          <w:rFonts w:ascii="Arial" w:eastAsia="Times New Roman" w:hAnsi="Arial" w:cs="Arial"/>
          <w:color w:val="000000"/>
          <w:sz w:val="20"/>
          <w:szCs w:val="20"/>
          <w:lang w:eastAsia="de-DE"/>
        </w:rPr>
        <w:t>These transformation temperatures are in good agreement with the DSC data performed on a</w:t>
      </w:r>
      <w:r w:rsidR="00364D78">
        <w:rPr>
          <w:rFonts w:ascii="Arial" w:eastAsia="Times New Roman" w:hAnsi="Arial" w:cs="Arial"/>
          <w:color w:val="000000"/>
          <w:sz w:val="20"/>
          <w:szCs w:val="20"/>
          <w:lang w:eastAsia="de-DE"/>
        </w:rPr>
        <w:t xml:space="preserve"> the 20 </w:t>
      </w:r>
      <w:proofErr w:type="spellStart"/>
      <w:r w:rsidR="00364D78">
        <w:rPr>
          <w:rFonts w:ascii="Arial" w:eastAsia="Times New Roman" w:hAnsi="Arial" w:cs="Arial"/>
          <w:color w:val="000000"/>
          <w:sz w:val="20"/>
          <w:szCs w:val="20"/>
          <w:lang w:eastAsia="de-DE"/>
        </w:rPr>
        <w:t>μm</w:t>
      </w:r>
      <w:proofErr w:type="spellEnd"/>
      <w:r w:rsidR="00364D78">
        <w:rPr>
          <w:rFonts w:ascii="Arial" w:eastAsia="Times New Roman" w:hAnsi="Arial" w:cs="Arial"/>
          <w:color w:val="000000"/>
          <w:sz w:val="20"/>
          <w:szCs w:val="20"/>
          <w:lang w:eastAsia="de-DE"/>
        </w:rPr>
        <w:t xml:space="preserve"> thick</w:t>
      </w:r>
      <w:r w:rsidRPr="00246D39">
        <w:rPr>
          <w:rFonts w:ascii="Arial" w:eastAsia="Times New Roman" w:hAnsi="Arial" w:cs="Arial"/>
          <w:color w:val="000000"/>
          <w:sz w:val="20"/>
          <w:szCs w:val="20"/>
          <w:lang w:eastAsia="de-DE"/>
        </w:rPr>
        <w:t xml:space="preserve"> freestanding </w:t>
      </w:r>
      <w:proofErr w:type="spellStart"/>
      <w:r w:rsidRPr="00246D39">
        <w:rPr>
          <w:rFonts w:ascii="Arial" w:eastAsia="Times New Roman" w:hAnsi="Arial" w:cs="Arial"/>
          <w:color w:val="000000"/>
          <w:sz w:val="20"/>
          <w:szCs w:val="20"/>
          <w:lang w:eastAsia="de-DE"/>
        </w:rPr>
        <w:t>TiNiCu</w:t>
      </w:r>
      <w:proofErr w:type="spellEnd"/>
      <w:r w:rsidRPr="00246D39">
        <w:rPr>
          <w:rFonts w:ascii="Arial" w:eastAsia="Times New Roman" w:hAnsi="Arial" w:cs="Arial"/>
          <w:color w:val="000000"/>
          <w:sz w:val="20"/>
          <w:szCs w:val="20"/>
          <w:lang w:eastAsia="de-DE"/>
        </w:rPr>
        <w:t xml:space="preserve"> film</w:t>
      </w:r>
      <w:r w:rsidR="00364D78">
        <w:rPr>
          <w:rFonts w:ascii="Arial" w:eastAsia="Times New Roman" w:hAnsi="Arial" w:cs="Arial"/>
          <w:color w:val="000000"/>
          <w:sz w:val="20"/>
          <w:szCs w:val="20"/>
          <w:lang w:eastAsia="de-DE"/>
        </w:rPr>
        <w:t>s</w:t>
      </w:r>
      <w:r w:rsidRPr="00246D39">
        <w:rPr>
          <w:rFonts w:ascii="Arial" w:eastAsia="Times New Roman" w:hAnsi="Arial" w:cs="Arial"/>
          <w:color w:val="000000"/>
          <w:sz w:val="20"/>
          <w:szCs w:val="20"/>
          <w:lang w:eastAsia="de-DE"/>
        </w:rPr>
        <w:t xml:space="preserve"> shown in Figure </w:t>
      </w:r>
      <w:r w:rsidR="00A25773">
        <w:rPr>
          <w:rFonts w:ascii="Arial" w:eastAsia="Times New Roman" w:hAnsi="Arial" w:cs="Arial"/>
          <w:color w:val="000000"/>
          <w:sz w:val="20"/>
          <w:szCs w:val="20"/>
          <w:lang w:eastAsia="de-DE"/>
        </w:rPr>
        <w:t>3 in the main manuscript</w:t>
      </w:r>
      <w:r w:rsidRPr="00246D39">
        <w:rPr>
          <w:rFonts w:ascii="Arial" w:eastAsia="Times New Roman" w:hAnsi="Arial" w:cs="Arial"/>
          <w:color w:val="000000"/>
          <w:sz w:val="20"/>
          <w:szCs w:val="20"/>
          <w:lang w:eastAsia="de-DE"/>
        </w:rPr>
        <w:t xml:space="preserve">. </w:t>
      </w:r>
    </w:p>
    <w:p w14:paraId="6B881A16" w14:textId="488DBA3E" w:rsidR="00246D39" w:rsidRPr="002C2D53" w:rsidRDefault="003B3AF7" w:rsidP="00841634">
      <w:pPr>
        <w:pStyle w:val="Para"/>
        <w:spacing w:line="480" w:lineRule="auto"/>
        <w:rPr>
          <w:rFonts w:ascii="Arial" w:hAnsi="Arial" w:cs="Arial"/>
          <w:sz w:val="20"/>
          <w:szCs w:val="20"/>
        </w:rPr>
      </w:pPr>
      <w:r>
        <w:rPr>
          <w:rFonts w:ascii="Arial" w:hAnsi="Arial" w:cs="Arial"/>
          <w:noProof/>
          <w:sz w:val="20"/>
          <w:szCs w:val="20"/>
          <w:lang w:val="de-DE" w:eastAsia="de-DE"/>
        </w:rPr>
        <w:lastRenderedPageBreak/>
        <w:drawing>
          <wp:inline distT="0" distB="0" distL="0" distR="0" wp14:anchorId="002EAD27" wp14:editId="7A0D45E6">
            <wp:extent cx="5403806" cy="4174671"/>
            <wp:effectExtent l="0" t="0" r="6985" b="0"/>
            <wp:docPr id="25" name="Picture 2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S2 XRD.tif"/>
                    <pic:cNvPicPr/>
                  </pic:nvPicPr>
                  <pic:blipFill>
                    <a:blip r:embed="rId9">
                      <a:extLst>
                        <a:ext uri="{28A0092B-C50C-407E-A947-70E740481C1C}">
                          <a14:useLocalDpi xmlns:a14="http://schemas.microsoft.com/office/drawing/2010/main" val="0"/>
                        </a:ext>
                      </a:extLst>
                    </a:blip>
                    <a:stretch>
                      <a:fillRect/>
                    </a:stretch>
                  </pic:blipFill>
                  <pic:spPr>
                    <a:xfrm>
                      <a:off x="0" y="0"/>
                      <a:ext cx="5413687" cy="4182305"/>
                    </a:xfrm>
                    <a:prstGeom prst="rect">
                      <a:avLst/>
                    </a:prstGeom>
                  </pic:spPr>
                </pic:pic>
              </a:graphicData>
            </a:graphic>
          </wp:inline>
        </w:drawing>
      </w:r>
    </w:p>
    <w:p w14:paraId="5F5DA6BE" w14:textId="77883CA6" w:rsidR="00246D39" w:rsidRPr="00246D39" w:rsidRDefault="00246D39" w:rsidP="00841634">
      <w:pPr>
        <w:spacing w:line="480" w:lineRule="auto"/>
        <w:jc w:val="both"/>
        <w:rPr>
          <w:rFonts w:ascii="Arial" w:eastAsia="Times New Roman" w:hAnsi="Arial" w:cs="Arial"/>
          <w:color w:val="000000"/>
          <w:sz w:val="20"/>
          <w:szCs w:val="20"/>
          <w:lang w:eastAsia="de-DE"/>
        </w:rPr>
      </w:pPr>
      <w:r w:rsidRPr="00246D39">
        <w:rPr>
          <w:rFonts w:ascii="Arial" w:eastAsia="Times New Roman" w:hAnsi="Arial" w:cs="Arial"/>
          <w:b/>
          <w:bCs/>
          <w:color w:val="000000"/>
          <w:sz w:val="20"/>
          <w:szCs w:val="20"/>
          <w:lang w:eastAsia="de-DE"/>
        </w:rPr>
        <w:t xml:space="preserve">Figure S2: </w:t>
      </w:r>
      <w:r w:rsidRPr="00246D39">
        <w:rPr>
          <w:rFonts w:ascii="Arial" w:eastAsia="Times New Roman" w:hAnsi="Arial" w:cs="Arial"/>
          <w:color w:val="000000"/>
          <w:sz w:val="20"/>
          <w:szCs w:val="20"/>
          <w:lang w:eastAsia="de-DE"/>
        </w:rPr>
        <w:t xml:space="preserve">Temperature dependent XRD measurements on a </w:t>
      </w:r>
      <w:proofErr w:type="spellStart"/>
      <w:r w:rsidRPr="00246D39">
        <w:rPr>
          <w:rFonts w:ascii="Arial" w:eastAsia="Times New Roman" w:hAnsi="Arial" w:cs="Arial"/>
          <w:color w:val="000000"/>
          <w:sz w:val="20"/>
          <w:szCs w:val="20"/>
          <w:lang w:eastAsia="de-DE"/>
        </w:rPr>
        <w:t>AlN</w:t>
      </w:r>
      <w:proofErr w:type="spellEnd"/>
      <w:r w:rsidRPr="00246D39">
        <w:rPr>
          <w:rFonts w:ascii="Arial" w:eastAsia="Times New Roman" w:hAnsi="Arial" w:cs="Arial"/>
          <w:color w:val="000000"/>
          <w:sz w:val="20"/>
          <w:szCs w:val="20"/>
          <w:lang w:eastAsia="de-DE"/>
        </w:rPr>
        <w:t xml:space="preserve">/ </w:t>
      </w:r>
      <w:proofErr w:type="spellStart"/>
      <w:r w:rsidRPr="00246D39">
        <w:rPr>
          <w:rFonts w:ascii="Arial" w:eastAsia="Times New Roman" w:hAnsi="Arial" w:cs="Arial"/>
          <w:color w:val="000000"/>
          <w:sz w:val="20"/>
          <w:szCs w:val="20"/>
          <w:lang w:eastAsia="de-DE"/>
        </w:rPr>
        <w:t>TiNiCu</w:t>
      </w:r>
      <w:proofErr w:type="spellEnd"/>
      <w:r w:rsidRPr="00246D39">
        <w:rPr>
          <w:rFonts w:ascii="Arial" w:eastAsia="Times New Roman" w:hAnsi="Arial" w:cs="Arial"/>
          <w:color w:val="000000"/>
          <w:sz w:val="20"/>
          <w:szCs w:val="20"/>
          <w:lang w:eastAsia="de-DE"/>
        </w:rPr>
        <w:t xml:space="preserve">/ Si composite (Sample 3 after </w:t>
      </w:r>
      <w:r w:rsidR="00364D78">
        <w:rPr>
          <w:rFonts w:ascii="Arial" w:eastAsia="Times New Roman" w:hAnsi="Arial" w:cs="Arial"/>
          <w:color w:val="000000"/>
          <w:sz w:val="20"/>
          <w:szCs w:val="20"/>
          <w:lang w:eastAsia="de-DE"/>
        </w:rPr>
        <w:t>annealing</w:t>
      </w:r>
      <w:r w:rsidRPr="00246D39">
        <w:rPr>
          <w:rFonts w:ascii="Arial" w:eastAsia="Times New Roman" w:hAnsi="Arial" w:cs="Arial"/>
          <w:color w:val="000000"/>
          <w:sz w:val="20"/>
          <w:szCs w:val="20"/>
          <w:lang w:eastAsia="de-DE"/>
        </w:rPr>
        <w:t xml:space="preserve">) heated from 30 °C to 100 °C and back to 30 °C. (a) (002) </w:t>
      </w:r>
      <w:proofErr w:type="spellStart"/>
      <w:r w:rsidRPr="00246D39">
        <w:rPr>
          <w:rFonts w:ascii="Arial" w:eastAsia="Times New Roman" w:hAnsi="Arial" w:cs="Arial"/>
          <w:color w:val="000000"/>
          <w:sz w:val="20"/>
          <w:szCs w:val="20"/>
          <w:lang w:eastAsia="de-DE"/>
        </w:rPr>
        <w:t>AlN</w:t>
      </w:r>
      <w:proofErr w:type="spellEnd"/>
      <w:r w:rsidRPr="00246D39">
        <w:rPr>
          <w:rFonts w:ascii="Arial" w:eastAsia="Times New Roman" w:hAnsi="Arial" w:cs="Arial"/>
          <w:color w:val="000000"/>
          <w:sz w:val="20"/>
          <w:szCs w:val="20"/>
          <w:lang w:eastAsia="de-DE"/>
        </w:rPr>
        <w:t xml:space="preserve"> peak demonstrating no change upon heating to 100 °C. (b) – (d) Shows the select temperature dependent diffractograms demonstrating the phase transformation from martensite (M) to austenite (A) occurs between 60 – 70 °C in </w:t>
      </w:r>
      <w:proofErr w:type="spellStart"/>
      <w:r w:rsidRPr="00246D39">
        <w:rPr>
          <w:rFonts w:ascii="Arial" w:eastAsia="Times New Roman" w:hAnsi="Arial" w:cs="Arial"/>
          <w:color w:val="000000"/>
          <w:sz w:val="20"/>
          <w:szCs w:val="20"/>
          <w:lang w:eastAsia="de-DE"/>
        </w:rPr>
        <w:t>TiNiCu</w:t>
      </w:r>
      <w:proofErr w:type="spellEnd"/>
      <w:r w:rsidRPr="00246D39">
        <w:rPr>
          <w:rFonts w:ascii="Arial" w:eastAsia="Times New Roman" w:hAnsi="Arial" w:cs="Arial"/>
          <w:color w:val="000000"/>
          <w:sz w:val="20"/>
          <w:szCs w:val="20"/>
          <w:lang w:eastAsia="de-DE"/>
        </w:rPr>
        <w:t xml:space="preserve"> films after a heat treatment to 700 °C for 15 minutes. </w:t>
      </w:r>
    </w:p>
    <w:p w14:paraId="4221134E" w14:textId="77777777" w:rsidR="00246D39" w:rsidRPr="00246D39" w:rsidRDefault="00246D39" w:rsidP="00841634">
      <w:pPr>
        <w:spacing w:after="0" w:line="480" w:lineRule="auto"/>
        <w:ind w:firstLine="284"/>
        <w:rPr>
          <w:rFonts w:ascii="Arial" w:eastAsia="Calibri" w:hAnsi="Arial" w:cs="Times New Roman"/>
          <w:sz w:val="20"/>
          <w:szCs w:val="20"/>
          <w:lang w:eastAsia="de-DE"/>
        </w:rPr>
      </w:pPr>
    </w:p>
    <w:p w14:paraId="09EE62CB" w14:textId="77777777" w:rsidR="00246D39" w:rsidRPr="00246D39" w:rsidRDefault="00246D39" w:rsidP="00841634">
      <w:pPr>
        <w:spacing w:after="0" w:line="48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TABLE SII: Select data-base x-ray diffraction peak positions for </w:t>
      </w:r>
      <w:proofErr w:type="spellStart"/>
      <w:r w:rsidRPr="00246D39">
        <w:rPr>
          <w:rFonts w:ascii="Arial" w:eastAsia="Calibri" w:hAnsi="Arial" w:cs="Times New Roman"/>
          <w:sz w:val="20"/>
          <w:szCs w:val="20"/>
          <w:lang w:eastAsia="de-DE"/>
        </w:rPr>
        <w:t>TiNiCu</w:t>
      </w:r>
      <w:proofErr w:type="spellEnd"/>
      <w:r w:rsidRPr="00246D39">
        <w:rPr>
          <w:rFonts w:ascii="Arial" w:eastAsia="Calibri" w:hAnsi="Arial" w:cs="Times New Roman"/>
          <w:sz w:val="20"/>
          <w:szCs w:val="20"/>
          <w:lang w:eastAsia="de-DE"/>
        </w:rPr>
        <w:t xml:space="preserve"> martensite and austenite phases</w:t>
      </w:r>
    </w:p>
    <w:tbl>
      <w:tblPr>
        <w:tblW w:w="0" w:type="auto"/>
        <w:tblLook w:val="04A0" w:firstRow="1" w:lastRow="0" w:firstColumn="1" w:lastColumn="0" w:noHBand="0" w:noVBand="1"/>
      </w:tblPr>
      <w:tblGrid>
        <w:gridCol w:w="1651"/>
        <w:gridCol w:w="1302"/>
        <w:gridCol w:w="1315"/>
        <w:gridCol w:w="1693"/>
        <w:gridCol w:w="1706"/>
        <w:gridCol w:w="1693"/>
      </w:tblGrid>
      <w:tr w:rsidR="00246D39" w:rsidRPr="00246D39" w14:paraId="371B99A1" w14:textId="77777777" w:rsidTr="00B16AC0">
        <w:tc>
          <w:tcPr>
            <w:tcW w:w="3276" w:type="dxa"/>
            <w:gridSpan w:val="2"/>
            <w:tcBorders>
              <w:top w:val="double" w:sz="4" w:space="0" w:color="auto"/>
              <w:bottom w:val="single" w:sz="4" w:space="0" w:color="auto"/>
            </w:tcBorders>
            <w:shd w:val="clear" w:color="auto" w:fill="auto"/>
            <w:vAlign w:val="center"/>
          </w:tcPr>
          <w:p w14:paraId="1950B5DA" w14:textId="72314B25"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Martensite Peaks </w:t>
            </w:r>
            <w:r>
              <w:rPr>
                <w:rFonts w:ascii="Arial" w:eastAsia="Calibri" w:hAnsi="Arial" w:cs="Times New Roman"/>
                <w:sz w:val="20"/>
                <w:szCs w:val="20"/>
                <w:lang w:eastAsia="de-DE"/>
              </w:rPr>
              <w:t>(</w:t>
            </w:r>
            <w:r w:rsidRPr="00246D39">
              <w:rPr>
                <w:rFonts w:ascii="Arial" w:eastAsia="Calibri" w:hAnsi="Arial" w:cs="Times New Roman"/>
                <w:sz w:val="20"/>
                <w:szCs w:val="20"/>
                <w:lang w:eastAsia="de-DE"/>
              </w:rPr>
              <w:t>B19</w:t>
            </w:r>
            <w:r>
              <w:rPr>
                <w:rFonts w:ascii="Arial" w:eastAsia="Calibri" w:hAnsi="Arial" w:cs="Times New Roman"/>
                <w:sz w:val="20"/>
                <w:szCs w:val="20"/>
                <w:lang w:eastAsia="de-DE"/>
              </w:rPr>
              <w:t>)</w:t>
            </w:r>
          </w:p>
        </w:tc>
        <w:tc>
          <w:tcPr>
            <w:tcW w:w="1432" w:type="dxa"/>
            <w:tcBorders>
              <w:top w:val="double" w:sz="4" w:space="0" w:color="auto"/>
              <w:bottom w:val="single" w:sz="4" w:space="0" w:color="auto"/>
            </w:tcBorders>
          </w:tcPr>
          <w:p w14:paraId="485D3733" w14:textId="77777777" w:rsidR="00246D39" w:rsidRPr="00246D39" w:rsidRDefault="00246D39" w:rsidP="00841634">
            <w:pPr>
              <w:spacing w:after="0" w:line="240" w:lineRule="auto"/>
              <w:rPr>
                <w:rFonts w:ascii="Arial" w:eastAsia="Calibri" w:hAnsi="Arial" w:cs="Times New Roman"/>
                <w:sz w:val="20"/>
                <w:szCs w:val="20"/>
                <w:lang w:eastAsia="de-DE"/>
              </w:rPr>
            </w:pPr>
          </w:p>
        </w:tc>
        <w:tc>
          <w:tcPr>
            <w:tcW w:w="1911" w:type="dxa"/>
            <w:tcBorders>
              <w:top w:val="double" w:sz="4" w:space="0" w:color="auto"/>
              <w:bottom w:val="single" w:sz="4" w:space="0" w:color="auto"/>
            </w:tcBorders>
          </w:tcPr>
          <w:p w14:paraId="3B1B728C" w14:textId="77777777" w:rsidR="00246D39" w:rsidRPr="00246D39" w:rsidRDefault="00246D39" w:rsidP="00841634">
            <w:pPr>
              <w:spacing w:after="0" w:line="240" w:lineRule="auto"/>
              <w:rPr>
                <w:rFonts w:ascii="Arial" w:eastAsia="Calibri" w:hAnsi="Arial" w:cs="Times New Roman"/>
                <w:sz w:val="20"/>
                <w:szCs w:val="20"/>
                <w:lang w:eastAsia="de-DE"/>
              </w:rPr>
            </w:pPr>
          </w:p>
        </w:tc>
        <w:tc>
          <w:tcPr>
            <w:tcW w:w="3822" w:type="dxa"/>
            <w:gridSpan w:val="2"/>
            <w:tcBorders>
              <w:top w:val="double" w:sz="4" w:space="0" w:color="auto"/>
              <w:bottom w:val="single" w:sz="4" w:space="0" w:color="auto"/>
            </w:tcBorders>
            <w:shd w:val="clear" w:color="auto" w:fill="auto"/>
            <w:vAlign w:val="center"/>
          </w:tcPr>
          <w:p w14:paraId="27064897" w14:textId="3041342D"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Austenite Peaks </w:t>
            </w:r>
            <w:r>
              <w:rPr>
                <w:rFonts w:ascii="Arial" w:eastAsia="Calibri" w:hAnsi="Arial" w:cs="Times New Roman"/>
                <w:sz w:val="20"/>
                <w:szCs w:val="20"/>
                <w:lang w:eastAsia="de-DE"/>
              </w:rPr>
              <w:t>(</w:t>
            </w:r>
            <w:r w:rsidRPr="00246D39">
              <w:rPr>
                <w:rFonts w:ascii="Arial" w:eastAsia="Calibri" w:hAnsi="Arial" w:cs="Times New Roman"/>
                <w:sz w:val="20"/>
                <w:szCs w:val="20"/>
                <w:lang w:eastAsia="de-DE"/>
              </w:rPr>
              <w:t>B2</w:t>
            </w:r>
            <w:r>
              <w:rPr>
                <w:rFonts w:ascii="Arial" w:eastAsia="Calibri" w:hAnsi="Arial" w:cs="Times New Roman"/>
                <w:sz w:val="20"/>
                <w:szCs w:val="20"/>
                <w:lang w:eastAsia="de-DE"/>
              </w:rPr>
              <w:t>)</w:t>
            </w:r>
            <w:r w:rsidRPr="00246D39">
              <w:rPr>
                <w:rFonts w:ascii="Arial" w:eastAsia="Calibri" w:hAnsi="Arial" w:cs="Times New Roman"/>
                <w:sz w:val="20"/>
                <w:szCs w:val="20"/>
                <w:lang w:eastAsia="de-DE"/>
              </w:rPr>
              <w:t xml:space="preserve"> </w:t>
            </w:r>
          </w:p>
        </w:tc>
      </w:tr>
      <w:tr w:rsidR="00246D39" w:rsidRPr="00246D39" w14:paraId="4703982F" w14:textId="77777777" w:rsidTr="00B16AC0">
        <w:tc>
          <w:tcPr>
            <w:tcW w:w="1844" w:type="dxa"/>
            <w:tcBorders>
              <w:top w:val="single" w:sz="4" w:space="0" w:color="auto"/>
            </w:tcBorders>
            <w:shd w:val="clear" w:color="auto" w:fill="auto"/>
            <w:vAlign w:val="center"/>
          </w:tcPr>
          <w:p w14:paraId="38E187FC"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Angle </w:t>
            </w:r>
          </w:p>
        </w:tc>
        <w:tc>
          <w:tcPr>
            <w:tcW w:w="1432" w:type="dxa"/>
            <w:tcBorders>
              <w:top w:val="single" w:sz="4" w:space="0" w:color="auto"/>
            </w:tcBorders>
          </w:tcPr>
          <w:p w14:paraId="3F2AA7DD"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Plane</w:t>
            </w:r>
          </w:p>
        </w:tc>
        <w:tc>
          <w:tcPr>
            <w:tcW w:w="1432" w:type="dxa"/>
            <w:tcBorders>
              <w:top w:val="single" w:sz="4" w:space="0" w:color="auto"/>
            </w:tcBorders>
          </w:tcPr>
          <w:p w14:paraId="6276908A"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Angle </w:t>
            </w:r>
          </w:p>
        </w:tc>
        <w:tc>
          <w:tcPr>
            <w:tcW w:w="1911" w:type="dxa"/>
            <w:tcBorders>
              <w:top w:val="single" w:sz="4" w:space="0" w:color="auto"/>
            </w:tcBorders>
          </w:tcPr>
          <w:p w14:paraId="7993F45E"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Plane</w:t>
            </w:r>
          </w:p>
        </w:tc>
        <w:tc>
          <w:tcPr>
            <w:tcW w:w="1911" w:type="dxa"/>
            <w:tcBorders>
              <w:top w:val="single" w:sz="4" w:space="0" w:color="auto"/>
            </w:tcBorders>
            <w:shd w:val="clear" w:color="auto" w:fill="auto"/>
            <w:vAlign w:val="center"/>
          </w:tcPr>
          <w:p w14:paraId="3C12AC1D"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Angle</w:t>
            </w:r>
          </w:p>
        </w:tc>
        <w:tc>
          <w:tcPr>
            <w:tcW w:w="1911" w:type="dxa"/>
            <w:tcBorders>
              <w:top w:val="single" w:sz="4" w:space="0" w:color="auto"/>
            </w:tcBorders>
          </w:tcPr>
          <w:p w14:paraId="3361B904"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Plane </w:t>
            </w:r>
          </w:p>
        </w:tc>
      </w:tr>
      <w:tr w:rsidR="00246D39" w:rsidRPr="00246D39" w14:paraId="79C394D3" w14:textId="77777777" w:rsidTr="00B16AC0">
        <w:tc>
          <w:tcPr>
            <w:tcW w:w="1844" w:type="dxa"/>
            <w:shd w:val="clear" w:color="auto" w:fill="auto"/>
            <w:vAlign w:val="center"/>
          </w:tcPr>
          <w:p w14:paraId="6FF212B8"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42.44°</w:t>
            </w:r>
          </w:p>
        </w:tc>
        <w:tc>
          <w:tcPr>
            <w:tcW w:w="1432" w:type="dxa"/>
          </w:tcPr>
          <w:p w14:paraId="34C52045"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(020)</w:t>
            </w:r>
          </w:p>
        </w:tc>
        <w:tc>
          <w:tcPr>
            <w:tcW w:w="1432" w:type="dxa"/>
          </w:tcPr>
          <w:p w14:paraId="0973C1A0"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42.64°</w:t>
            </w:r>
          </w:p>
        </w:tc>
        <w:tc>
          <w:tcPr>
            <w:tcW w:w="1911" w:type="dxa"/>
          </w:tcPr>
          <w:p w14:paraId="38D7C056"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(111)</w:t>
            </w:r>
          </w:p>
        </w:tc>
        <w:tc>
          <w:tcPr>
            <w:tcW w:w="1911" w:type="dxa"/>
            <w:shd w:val="clear" w:color="auto" w:fill="auto"/>
            <w:vAlign w:val="center"/>
          </w:tcPr>
          <w:p w14:paraId="47FA7956"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42.09°</w:t>
            </w:r>
          </w:p>
        </w:tc>
        <w:tc>
          <w:tcPr>
            <w:tcW w:w="1911" w:type="dxa"/>
          </w:tcPr>
          <w:p w14:paraId="6F0DA6C4"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(110)</w:t>
            </w:r>
          </w:p>
        </w:tc>
      </w:tr>
      <w:tr w:rsidR="00246D39" w:rsidRPr="00246D39" w14:paraId="2CE5F339" w14:textId="77777777" w:rsidTr="00841634">
        <w:tc>
          <w:tcPr>
            <w:tcW w:w="1844" w:type="dxa"/>
            <w:shd w:val="clear" w:color="auto" w:fill="auto"/>
            <w:vAlign w:val="center"/>
          </w:tcPr>
          <w:p w14:paraId="5F316AF2"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 xml:space="preserve">77.79° </w:t>
            </w:r>
          </w:p>
        </w:tc>
        <w:tc>
          <w:tcPr>
            <w:tcW w:w="1432" w:type="dxa"/>
          </w:tcPr>
          <w:p w14:paraId="05E0AF58"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(131)</w:t>
            </w:r>
          </w:p>
        </w:tc>
        <w:tc>
          <w:tcPr>
            <w:tcW w:w="1432" w:type="dxa"/>
          </w:tcPr>
          <w:p w14:paraId="17B365E3"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78.25°</w:t>
            </w:r>
          </w:p>
        </w:tc>
        <w:tc>
          <w:tcPr>
            <w:tcW w:w="1911" w:type="dxa"/>
          </w:tcPr>
          <w:p w14:paraId="585881AA"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(202)</w:t>
            </w:r>
          </w:p>
        </w:tc>
        <w:tc>
          <w:tcPr>
            <w:tcW w:w="1911" w:type="dxa"/>
            <w:shd w:val="clear" w:color="auto" w:fill="auto"/>
            <w:vAlign w:val="center"/>
          </w:tcPr>
          <w:p w14:paraId="56734C8B"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76.77°</w:t>
            </w:r>
          </w:p>
        </w:tc>
        <w:tc>
          <w:tcPr>
            <w:tcW w:w="1911" w:type="dxa"/>
          </w:tcPr>
          <w:p w14:paraId="204C5F05"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(211)</w:t>
            </w:r>
          </w:p>
        </w:tc>
      </w:tr>
      <w:tr w:rsidR="00246D39" w:rsidRPr="00246D39" w14:paraId="261824EA" w14:textId="77777777" w:rsidTr="00841634">
        <w:tc>
          <w:tcPr>
            <w:tcW w:w="1844" w:type="dxa"/>
            <w:tcBorders>
              <w:bottom w:val="single" w:sz="4" w:space="0" w:color="auto"/>
            </w:tcBorders>
            <w:shd w:val="clear" w:color="auto" w:fill="auto"/>
            <w:vAlign w:val="center"/>
          </w:tcPr>
          <w:p w14:paraId="0CB09239"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92.75°</w:t>
            </w:r>
          </w:p>
        </w:tc>
        <w:tc>
          <w:tcPr>
            <w:tcW w:w="1432" w:type="dxa"/>
            <w:tcBorders>
              <w:bottom w:val="single" w:sz="4" w:space="0" w:color="auto"/>
            </w:tcBorders>
          </w:tcPr>
          <w:p w14:paraId="6CE6573E"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(040)</w:t>
            </w:r>
          </w:p>
        </w:tc>
        <w:tc>
          <w:tcPr>
            <w:tcW w:w="1432" w:type="dxa"/>
            <w:tcBorders>
              <w:bottom w:val="single" w:sz="4" w:space="0" w:color="auto"/>
            </w:tcBorders>
          </w:tcPr>
          <w:p w14:paraId="5BADCAC0"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93.34°</w:t>
            </w:r>
          </w:p>
        </w:tc>
        <w:tc>
          <w:tcPr>
            <w:tcW w:w="1911" w:type="dxa"/>
            <w:tcBorders>
              <w:bottom w:val="single" w:sz="4" w:space="0" w:color="auto"/>
            </w:tcBorders>
          </w:tcPr>
          <w:p w14:paraId="354810E0"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(222)</w:t>
            </w:r>
          </w:p>
        </w:tc>
        <w:tc>
          <w:tcPr>
            <w:tcW w:w="1911" w:type="dxa"/>
            <w:tcBorders>
              <w:bottom w:val="single" w:sz="4" w:space="0" w:color="auto"/>
            </w:tcBorders>
            <w:shd w:val="clear" w:color="auto" w:fill="auto"/>
            <w:vAlign w:val="center"/>
          </w:tcPr>
          <w:p w14:paraId="28BC3526" w14:textId="77777777"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91.60°</w:t>
            </w:r>
          </w:p>
        </w:tc>
        <w:tc>
          <w:tcPr>
            <w:tcW w:w="1911" w:type="dxa"/>
            <w:tcBorders>
              <w:bottom w:val="single" w:sz="4" w:space="0" w:color="auto"/>
            </w:tcBorders>
          </w:tcPr>
          <w:p w14:paraId="574FA920" w14:textId="2810E062" w:rsidR="00246D39" w:rsidRPr="00246D39" w:rsidRDefault="00246D39" w:rsidP="00841634">
            <w:pPr>
              <w:spacing w:after="0" w:line="240" w:lineRule="auto"/>
              <w:rPr>
                <w:rFonts w:ascii="Arial" w:eastAsia="Calibri" w:hAnsi="Arial" w:cs="Times New Roman"/>
                <w:sz w:val="20"/>
                <w:szCs w:val="20"/>
                <w:lang w:eastAsia="de-DE"/>
              </w:rPr>
            </w:pPr>
            <w:r w:rsidRPr="00246D39">
              <w:rPr>
                <w:rFonts w:ascii="Arial" w:eastAsia="Calibri" w:hAnsi="Arial" w:cs="Times New Roman"/>
                <w:sz w:val="20"/>
                <w:szCs w:val="20"/>
                <w:lang w:eastAsia="de-DE"/>
              </w:rPr>
              <w:t>(22</w:t>
            </w:r>
            <w:r>
              <w:rPr>
                <w:rFonts w:ascii="Arial" w:eastAsia="Calibri" w:hAnsi="Arial" w:cs="Times New Roman"/>
                <w:sz w:val="20"/>
                <w:szCs w:val="20"/>
                <w:lang w:eastAsia="de-DE"/>
              </w:rPr>
              <w:t>0</w:t>
            </w:r>
            <w:r w:rsidRPr="00246D39">
              <w:rPr>
                <w:rFonts w:ascii="Arial" w:eastAsia="Calibri" w:hAnsi="Arial" w:cs="Times New Roman"/>
                <w:sz w:val="20"/>
                <w:szCs w:val="20"/>
                <w:lang w:eastAsia="de-DE"/>
              </w:rPr>
              <w:t>)</w:t>
            </w:r>
          </w:p>
        </w:tc>
      </w:tr>
    </w:tbl>
    <w:p w14:paraId="074CFB41" w14:textId="7FF71909" w:rsidR="00246D39" w:rsidRDefault="00246D39" w:rsidP="00841634">
      <w:pPr>
        <w:spacing w:after="0" w:line="480" w:lineRule="auto"/>
        <w:ind w:firstLine="284"/>
        <w:rPr>
          <w:rFonts w:ascii="Arial" w:eastAsia="Calibri" w:hAnsi="Arial" w:cs="Times New Roman"/>
          <w:sz w:val="20"/>
          <w:szCs w:val="20"/>
          <w:lang w:eastAsia="de-DE"/>
        </w:rPr>
      </w:pPr>
    </w:p>
    <w:p w14:paraId="45885D2A" w14:textId="1B6AE781" w:rsidR="00FE6F3C" w:rsidRDefault="00FE6F3C" w:rsidP="00841634">
      <w:pPr>
        <w:spacing w:after="0" w:line="480" w:lineRule="auto"/>
        <w:ind w:firstLine="284"/>
        <w:rPr>
          <w:rFonts w:ascii="Arial" w:eastAsia="Calibri" w:hAnsi="Arial" w:cs="Times New Roman"/>
          <w:sz w:val="20"/>
          <w:szCs w:val="20"/>
          <w:lang w:eastAsia="de-DE"/>
        </w:rPr>
      </w:pPr>
    </w:p>
    <w:p w14:paraId="6F401222" w14:textId="77777777" w:rsidR="00FE6F3C" w:rsidRPr="00246D39" w:rsidRDefault="00FE6F3C" w:rsidP="00841634">
      <w:pPr>
        <w:spacing w:after="0" w:line="480" w:lineRule="auto"/>
        <w:ind w:firstLine="284"/>
        <w:rPr>
          <w:rFonts w:ascii="Arial" w:eastAsia="Calibri" w:hAnsi="Arial" w:cs="Times New Roman"/>
          <w:sz w:val="20"/>
          <w:szCs w:val="20"/>
          <w:lang w:eastAsia="de-DE"/>
        </w:rPr>
      </w:pPr>
    </w:p>
    <w:p w14:paraId="26FB1F92" w14:textId="1E30B721" w:rsidR="00246D39" w:rsidRPr="00E43D2D" w:rsidRDefault="00246D39" w:rsidP="00841634">
      <w:pPr>
        <w:spacing w:line="480" w:lineRule="auto"/>
        <w:jc w:val="both"/>
        <w:rPr>
          <w:rFonts w:ascii="Arial" w:hAnsi="Arial" w:cs="Arial"/>
          <w:b/>
          <w:color w:val="8B2F57"/>
          <w:sz w:val="24"/>
          <w:szCs w:val="24"/>
        </w:rPr>
      </w:pPr>
      <w:r>
        <w:rPr>
          <w:rFonts w:ascii="Arial" w:hAnsi="Arial" w:cs="Arial"/>
          <w:b/>
          <w:color w:val="8B2F57"/>
          <w:sz w:val="24"/>
          <w:szCs w:val="24"/>
        </w:rPr>
        <w:lastRenderedPageBreak/>
        <w:t xml:space="preserve">IV: Piezoelectric Characterization of (002) </w:t>
      </w:r>
      <w:proofErr w:type="spellStart"/>
      <w:r>
        <w:rPr>
          <w:rFonts w:ascii="Arial" w:hAnsi="Arial" w:cs="Arial"/>
          <w:b/>
          <w:color w:val="8B2F57"/>
          <w:sz w:val="24"/>
          <w:szCs w:val="24"/>
        </w:rPr>
        <w:t>AlN</w:t>
      </w:r>
      <w:proofErr w:type="spellEnd"/>
    </w:p>
    <w:p w14:paraId="0AF6EB39" w14:textId="28342B66" w:rsidR="00246D39" w:rsidRPr="00985C99" w:rsidRDefault="00246D39" w:rsidP="00841634">
      <w:pPr>
        <w:spacing w:line="480" w:lineRule="auto"/>
        <w:ind w:firstLine="720"/>
        <w:jc w:val="both"/>
        <w:rPr>
          <w:rFonts w:ascii="Arial" w:hAnsi="Arial" w:cs="Arial"/>
          <w:sz w:val="20"/>
          <w:szCs w:val="20"/>
        </w:rPr>
      </w:pPr>
      <w:r w:rsidRPr="00246D39">
        <w:rPr>
          <w:rFonts w:ascii="Arial" w:hAnsi="Arial" w:cs="Arial"/>
          <w:bCs/>
          <w:color w:val="000000" w:themeColor="text1"/>
          <w:sz w:val="20"/>
          <w:szCs w:val="20"/>
        </w:rPr>
        <w:t>The work function of the electrode material may have an impact on the electric</w:t>
      </w:r>
      <w:r w:rsidR="00E43D2D">
        <w:rPr>
          <w:rFonts w:ascii="Arial" w:hAnsi="Arial" w:cs="Arial"/>
          <w:bCs/>
          <w:color w:val="000000" w:themeColor="text1"/>
          <w:sz w:val="20"/>
          <w:szCs w:val="20"/>
        </w:rPr>
        <w:t>al</w:t>
      </w:r>
      <w:r w:rsidRPr="00246D39">
        <w:rPr>
          <w:rFonts w:ascii="Arial" w:hAnsi="Arial" w:cs="Arial"/>
          <w:bCs/>
          <w:color w:val="000000" w:themeColor="text1"/>
          <w:sz w:val="20"/>
          <w:szCs w:val="20"/>
        </w:rPr>
        <w:t xml:space="preserve"> properties of Al</w:t>
      </w:r>
      <w:r>
        <w:rPr>
          <w:rFonts w:ascii="Arial" w:hAnsi="Arial" w:cs="Arial"/>
          <w:bCs/>
          <w:color w:val="000000" w:themeColor="text1"/>
          <w:sz w:val="20"/>
          <w:szCs w:val="20"/>
        </w:rPr>
        <w:t>N</w:t>
      </w:r>
      <w:r w:rsidR="0026558F">
        <w:rPr>
          <w:rFonts w:ascii="Arial" w:hAnsi="Arial" w:cs="Arial"/>
          <w:bCs/>
          <w:color w:val="000000" w:themeColor="text1"/>
          <w:sz w:val="20"/>
          <w:szCs w:val="20"/>
        </w:rPr>
        <w:t>.</w:t>
      </w:r>
      <w:r>
        <w:rPr>
          <w:rFonts w:ascii="Arial" w:hAnsi="Arial" w:cs="Arial"/>
          <w:bCs/>
          <w:color w:val="000000" w:themeColor="text1"/>
          <w:sz w:val="20"/>
          <w:szCs w:val="20"/>
        </w:rPr>
        <w:fldChar w:fldCharType="begin" w:fldLock="1"/>
      </w:r>
      <w:r w:rsidR="00AC7EF1">
        <w:rPr>
          <w:rFonts w:ascii="Arial" w:hAnsi="Arial" w:cs="Arial"/>
          <w:bCs/>
          <w:color w:val="000000" w:themeColor="text1"/>
          <w:sz w:val="20"/>
          <w:szCs w:val="20"/>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Pr>
          <w:rFonts w:ascii="Arial" w:hAnsi="Arial" w:cs="Arial"/>
          <w:bCs/>
          <w:color w:val="000000" w:themeColor="text1"/>
          <w:sz w:val="20"/>
          <w:szCs w:val="20"/>
        </w:rPr>
        <w:fldChar w:fldCharType="separate"/>
      </w:r>
      <w:r w:rsidR="002D1C4E" w:rsidRPr="002D1C4E">
        <w:rPr>
          <w:rFonts w:ascii="Arial" w:hAnsi="Arial" w:cs="Arial"/>
          <w:bCs/>
          <w:noProof/>
          <w:color w:val="000000" w:themeColor="text1"/>
          <w:sz w:val="20"/>
          <w:szCs w:val="20"/>
          <w:vertAlign w:val="superscript"/>
        </w:rPr>
        <w:t>8</w:t>
      </w:r>
      <w:r>
        <w:rPr>
          <w:rFonts w:ascii="Arial" w:hAnsi="Arial" w:cs="Arial"/>
          <w:bCs/>
          <w:color w:val="000000" w:themeColor="text1"/>
          <w:sz w:val="20"/>
          <w:szCs w:val="20"/>
        </w:rPr>
        <w:fldChar w:fldCharType="end"/>
      </w:r>
      <w:r>
        <w:rPr>
          <w:rFonts w:ascii="Arial" w:hAnsi="Arial" w:cs="Arial"/>
          <w:bCs/>
          <w:color w:val="000000" w:themeColor="text1"/>
          <w:sz w:val="20"/>
          <w:szCs w:val="20"/>
        </w:rPr>
        <w:t xml:space="preserve"> </w:t>
      </w:r>
      <w:r w:rsidR="0026558F">
        <w:rPr>
          <w:rFonts w:ascii="Arial" w:hAnsi="Arial" w:cs="Arial"/>
          <w:bCs/>
          <w:color w:val="000000" w:themeColor="text1"/>
          <w:sz w:val="20"/>
          <w:szCs w:val="20"/>
        </w:rPr>
        <w:t xml:space="preserve">Our composites use </w:t>
      </w:r>
      <w:r w:rsidRPr="00246D39">
        <w:rPr>
          <w:rFonts w:ascii="Arial" w:hAnsi="Arial" w:cs="Arial"/>
          <w:bCs/>
          <w:color w:val="000000" w:themeColor="text1"/>
          <w:sz w:val="20"/>
          <w:szCs w:val="20"/>
        </w:rPr>
        <w:t>standard (111) Pt as both the bottom and top electrodes</w:t>
      </w:r>
      <w:r w:rsidR="0026558F">
        <w:rPr>
          <w:rFonts w:ascii="Arial" w:hAnsi="Arial" w:cs="Arial"/>
          <w:bCs/>
          <w:color w:val="000000" w:themeColor="text1"/>
          <w:sz w:val="20"/>
          <w:szCs w:val="20"/>
        </w:rPr>
        <w:t xml:space="preserve">, because previously (111) Pt was shown to promote a (002) </w:t>
      </w:r>
      <w:proofErr w:type="spellStart"/>
      <w:r w:rsidR="0026558F">
        <w:rPr>
          <w:rFonts w:ascii="Arial" w:hAnsi="Arial" w:cs="Arial"/>
          <w:bCs/>
          <w:color w:val="000000" w:themeColor="text1"/>
          <w:sz w:val="20"/>
          <w:szCs w:val="20"/>
        </w:rPr>
        <w:t>AlN</w:t>
      </w:r>
      <w:proofErr w:type="spellEnd"/>
      <w:r w:rsidR="0026558F">
        <w:rPr>
          <w:rFonts w:ascii="Arial" w:hAnsi="Arial" w:cs="Arial"/>
          <w:bCs/>
          <w:color w:val="000000" w:themeColor="text1"/>
          <w:sz w:val="20"/>
          <w:szCs w:val="20"/>
        </w:rPr>
        <w:t xml:space="preserve"> texture</w:t>
      </w:r>
      <w:r w:rsidR="00AC7EF1">
        <w:rPr>
          <w:rFonts w:ascii="Arial" w:hAnsi="Arial" w:cs="Arial"/>
          <w:bCs/>
          <w:color w:val="000000" w:themeColor="text1"/>
          <w:sz w:val="20"/>
          <w:szCs w:val="20"/>
        </w:rPr>
        <w:t>.</w:t>
      </w:r>
      <w:r w:rsidR="00AC7EF1">
        <w:rPr>
          <w:rFonts w:ascii="Arial" w:hAnsi="Arial" w:cs="Arial"/>
          <w:bCs/>
          <w:color w:val="000000" w:themeColor="text1"/>
          <w:sz w:val="20"/>
          <w:szCs w:val="20"/>
        </w:rPr>
        <w:fldChar w:fldCharType="begin" w:fldLock="1"/>
      </w:r>
      <w:r w:rsidR="00E43D2D">
        <w:rPr>
          <w:rFonts w:ascii="Arial" w:hAnsi="Arial" w:cs="Arial"/>
          <w:bCs/>
          <w:color w:val="000000" w:themeColor="text1"/>
          <w:sz w:val="20"/>
          <w:szCs w:val="20"/>
        </w:rPr>
        <w:instrText>ADDIN CSL_CITATION {"citationItems":[{"id":"ITEM-1","itemData":{"author":[{"dropping-particle":"","family":"Yarar","given":"E","non-dropping-particle":"","parse-names":false,"suffix":""},{"dropping-particle":"","family":"Hrkac","given":"V","non-dropping-particle":"","parse-names":false,"suffix":""},{"dropping-particle":"","family":"Zamponi","given":"C","non-dropping-particle":"","parse-names":false,"suffix":""},{"dropping-particle":"","family":"Piorra","given":"A","non-dropping-particle":"","parse-names":false,"suffix":""},{"dropping-particle":"","family":"Kienle","given":"L","non-dropping-particle":"","parse-names":false,"suffix":""},{"dropping-particle":"","family":"Quandt","given":"E","non-dropping-particle":"","parse-names":false,"suffix":""}],"container-title":"AIP Advances","id":"ITEM-1","issue":"7","issued":{"date-parts":[["2016"]]},"page":"75115","publisher":"AIP Publishing","title":"Low temperature aluminum nitride thin films for sensory applications","type":"article-journal","volume":"6"},"uris":["http://www.mendeley.com/documents/?uuid=b453ff2b-1156-43e7-a004-95ca34aa8843"]}],"mendeley":{"formattedCitation":"&lt;sup&gt;9&lt;/sup&gt;","plainTextFormattedCitation":"9","previouslyFormattedCitation":"&lt;sup&gt;9&lt;/sup&gt;"},"properties":{"noteIndex":0},"schema":"https://github.com/citation-style-language/schema/raw/master/csl-citation.json"}</w:instrText>
      </w:r>
      <w:r w:rsidR="00AC7EF1">
        <w:rPr>
          <w:rFonts w:ascii="Arial" w:hAnsi="Arial" w:cs="Arial"/>
          <w:bCs/>
          <w:color w:val="000000" w:themeColor="text1"/>
          <w:sz w:val="20"/>
          <w:szCs w:val="20"/>
        </w:rPr>
        <w:fldChar w:fldCharType="separate"/>
      </w:r>
      <w:r w:rsidR="00AC7EF1" w:rsidRPr="00AC7EF1">
        <w:rPr>
          <w:rFonts w:ascii="Arial" w:hAnsi="Arial" w:cs="Arial"/>
          <w:bCs/>
          <w:noProof/>
          <w:color w:val="000000" w:themeColor="text1"/>
          <w:sz w:val="20"/>
          <w:szCs w:val="20"/>
          <w:vertAlign w:val="superscript"/>
        </w:rPr>
        <w:t>9</w:t>
      </w:r>
      <w:r w:rsidR="00AC7EF1">
        <w:rPr>
          <w:rFonts w:ascii="Arial" w:hAnsi="Arial" w:cs="Arial"/>
          <w:bCs/>
          <w:color w:val="000000" w:themeColor="text1"/>
          <w:sz w:val="20"/>
          <w:szCs w:val="20"/>
        </w:rPr>
        <w:fldChar w:fldCharType="end"/>
      </w:r>
      <w:r w:rsidRPr="00246D39">
        <w:rPr>
          <w:rFonts w:ascii="Arial" w:hAnsi="Arial" w:cs="Arial"/>
          <w:bCs/>
          <w:color w:val="000000" w:themeColor="text1"/>
          <w:sz w:val="20"/>
          <w:szCs w:val="20"/>
        </w:rPr>
        <w:t xml:space="preserve"> The electrical properties (polarization and displacement) of </w:t>
      </w:r>
      <w:r w:rsidR="0026558F">
        <w:rPr>
          <w:rFonts w:ascii="Arial" w:hAnsi="Arial" w:cs="Arial"/>
          <w:bCs/>
          <w:color w:val="000000" w:themeColor="text1"/>
          <w:sz w:val="20"/>
          <w:szCs w:val="20"/>
        </w:rPr>
        <w:t>S</w:t>
      </w:r>
      <w:r w:rsidRPr="00246D39">
        <w:rPr>
          <w:rFonts w:ascii="Arial" w:hAnsi="Arial" w:cs="Arial"/>
          <w:bCs/>
          <w:color w:val="000000" w:themeColor="text1"/>
          <w:sz w:val="20"/>
          <w:szCs w:val="20"/>
        </w:rPr>
        <w:t>ample</w:t>
      </w:r>
      <w:r w:rsidR="0026558F">
        <w:rPr>
          <w:rFonts w:ascii="Arial" w:hAnsi="Arial" w:cs="Arial"/>
          <w:bCs/>
          <w:color w:val="000000" w:themeColor="text1"/>
          <w:sz w:val="20"/>
          <w:szCs w:val="20"/>
        </w:rPr>
        <w:t>s 1, 2, and 3</w:t>
      </w:r>
      <w:r w:rsidRPr="00246D39">
        <w:rPr>
          <w:rFonts w:ascii="Arial" w:hAnsi="Arial" w:cs="Arial"/>
          <w:bCs/>
          <w:color w:val="000000" w:themeColor="text1"/>
          <w:sz w:val="20"/>
          <w:szCs w:val="20"/>
        </w:rPr>
        <w:t xml:space="preserve"> were obtained via double beam laser interferometer (DBLI) measurements. The samples were prepared into a parallel plate capacitor geometry by sputter depositing Pt through a 1000 </w:t>
      </w:r>
      <w:proofErr w:type="spellStart"/>
      <w:r w:rsidRPr="00246D39">
        <w:rPr>
          <w:rFonts w:ascii="Arial" w:hAnsi="Arial" w:cs="Arial"/>
          <w:bCs/>
          <w:color w:val="000000" w:themeColor="text1"/>
          <w:sz w:val="20"/>
          <w:szCs w:val="20"/>
        </w:rPr>
        <w:t>μm</w:t>
      </w:r>
      <w:proofErr w:type="spellEnd"/>
      <w:r w:rsidRPr="00246D39">
        <w:rPr>
          <w:rFonts w:ascii="Arial" w:hAnsi="Arial" w:cs="Arial"/>
          <w:bCs/>
          <w:color w:val="000000" w:themeColor="text1"/>
          <w:sz w:val="20"/>
          <w:szCs w:val="20"/>
        </w:rPr>
        <w:t xml:space="preserve"> diameter shadow mask. This resulted in a top electrode area ranging between 0.968 – 1.19 mm</w:t>
      </w:r>
      <w:r w:rsidRPr="00246D39">
        <w:rPr>
          <w:rFonts w:ascii="Arial" w:hAnsi="Arial" w:cs="Arial"/>
          <w:bCs/>
          <w:color w:val="000000" w:themeColor="text1"/>
          <w:sz w:val="20"/>
          <w:szCs w:val="20"/>
          <w:vertAlign w:val="superscript"/>
        </w:rPr>
        <w:t>2</w:t>
      </w:r>
      <w:r w:rsidRPr="00E43D2D">
        <w:rPr>
          <w:rFonts w:ascii="Arial" w:hAnsi="Arial" w:cs="Arial"/>
          <w:bCs/>
          <w:color w:val="000000" w:themeColor="text1"/>
          <w:sz w:val="20"/>
          <w:szCs w:val="20"/>
        </w:rPr>
        <w:t xml:space="preserve">. </w:t>
      </w:r>
      <w:r w:rsidR="00E43D2D">
        <w:rPr>
          <w:rFonts w:ascii="Arial" w:hAnsi="Arial" w:cs="Arial"/>
          <w:bCs/>
          <w:color w:val="000000" w:themeColor="text1"/>
          <w:sz w:val="20"/>
          <w:szCs w:val="20"/>
        </w:rPr>
        <w:t xml:space="preserve"> </w:t>
      </w:r>
      <w:r w:rsidR="0026558F" w:rsidRPr="00580466">
        <w:rPr>
          <w:rFonts w:ascii="Arial" w:hAnsi="Arial" w:cs="Arial"/>
          <w:bCs/>
          <w:color w:val="000000" w:themeColor="text1"/>
          <w:sz w:val="20"/>
          <w:szCs w:val="20"/>
        </w:rPr>
        <w:t xml:space="preserve">Previously, annealing </w:t>
      </w:r>
      <w:proofErr w:type="spellStart"/>
      <w:r w:rsidR="0026558F" w:rsidRPr="00580466">
        <w:rPr>
          <w:rFonts w:ascii="Arial" w:hAnsi="Arial" w:cs="Arial"/>
          <w:bCs/>
          <w:color w:val="000000" w:themeColor="text1"/>
          <w:sz w:val="20"/>
          <w:szCs w:val="20"/>
        </w:rPr>
        <w:t>AlN</w:t>
      </w:r>
      <w:proofErr w:type="spellEnd"/>
      <w:r w:rsidR="0026558F" w:rsidRPr="00580466">
        <w:rPr>
          <w:rFonts w:ascii="Arial" w:hAnsi="Arial" w:cs="Arial"/>
          <w:bCs/>
          <w:color w:val="000000" w:themeColor="text1"/>
          <w:sz w:val="20"/>
          <w:szCs w:val="20"/>
        </w:rPr>
        <w:t xml:space="preserve"> to temperatures as high as 500 °C was found to improve the piezoelectric performance</w:t>
      </w:r>
      <w:r w:rsidR="00580466" w:rsidRPr="00FE0113">
        <w:rPr>
          <w:rFonts w:ascii="Arial" w:hAnsi="Arial" w:cs="Arial"/>
          <w:bCs/>
          <w:color w:val="000000" w:themeColor="text1"/>
          <w:sz w:val="20"/>
          <w:szCs w:val="20"/>
        </w:rPr>
        <w:t>.</w:t>
      </w:r>
      <w:r w:rsidR="00A24FF2" w:rsidRPr="00580466">
        <w:rPr>
          <w:rFonts w:ascii="Arial" w:hAnsi="Arial" w:cs="Arial"/>
          <w:sz w:val="20"/>
          <w:szCs w:val="20"/>
        </w:rPr>
        <w:t xml:space="preserve"> </w:t>
      </w:r>
      <w:r w:rsidR="00A24FF2" w:rsidRPr="00461F19">
        <w:rPr>
          <w:rFonts w:ascii="Arial" w:hAnsi="Arial" w:cs="Arial"/>
          <w:sz w:val="20"/>
          <w:szCs w:val="20"/>
        </w:rPr>
        <w:fldChar w:fldCharType="begin" w:fldLock="1"/>
      </w:r>
      <w:r w:rsidR="00AC7EF1" w:rsidRPr="00580466">
        <w:rPr>
          <w:rFonts w:ascii="Arial" w:hAnsi="Arial" w:cs="Arial"/>
          <w:sz w:val="20"/>
          <w:szCs w:val="20"/>
        </w:rPr>
        <w:instrText>ADDIN CSL_CITATION {"citationItems":[{"id":"ITEM-1","itemData":{"author":[{"dropping-particle":"","family":"Tong","given":"Bei","non-dropping-particle":"","parse-names":false,"suffix":""},{"dropping-particle":"","family":"Yang","given":"Xiaofei","non-dropping-particle":"","parse-names":false,"suffix":""},{"dropping-particle":"","family":"Guo","given":"Zhe","non-dropping-particle":"","parse-names":false,"suffix":""},{"dropping-particle":"","family":"Li","given":"Kun","non-dropping-particle":"","parse-names":false,"suffix":""},{"dropping-particle":"","family":"Ouyang","given":"Jun","non-dropping-particle":"","parse-names":false,"suffix":""},{"dropping-particle":"","family":"Lin","given":"Gengqi","non-dropping-particle":"","parse-names":false,"suffix":""},{"dropping-particle":"","family":"Chen","given":"Shi","non-dropping-particle":"","parse-names":false,"suffix":""}],"container-title":"Ceramics International","id":"ITEM-1","issue":"6","issued":{"date-parts":[["2013"]]},"page":"6853-6859","publisher":"Elsevier","title":"Preparation and characterization of AlN/FeCoSiB magnetoelectric thin film composites","type":"article-journal","volume":"39"},"uris":["http://www.mendeley.com/documents/?uuid=a28871cc-aa56-48d0-9d0d-c41954c56dbe"]}],"mendeley":{"formattedCitation":"&lt;sup&gt;10&lt;/sup&gt;","plainTextFormattedCitation":"10","previouslyFormattedCitation":"&lt;sup&gt;10&lt;/sup&gt;"},"properties":{"noteIndex":0},"schema":"https://github.com/citation-style-language/schema/raw/master/csl-citation.json"}</w:instrText>
      </w:r>
      <w:r w:rsidR="00A24FF2" w:rsidRPr="00461F19">
        <w:rPr>
          <w:rFonts w:ascii="Arial" w:hAnsi="Arial" w:cs="Arial"/>
          <w:sz w:val="20"/>
          <w:szCs w:val="20"/>
        </w:rPr>
        <w:fldChar w:fldCharType="separate"/>
      </w:r>
      <w:r w:rsidR="002D1C4E" w:rsidRPr="00580466">
        <w:rPr>
          <w:rFonts w:ascii="Arial" w:hAnsi="Arial" w:cs="Arial"/>
          <w:noProof/>
          <w:sz w:val="20"/>
          <w:szCs w:val="20"/>
          <w:vertAlign w:val="superscript"/>
        </w:rPr>
        <w:t>10</w:t>
      </w:r>
      <w:r w:rsidR="00A24FF2" w:rsidRPr="00461F19">
        <w:rPr>
          <w:rFonts w:ascii="Arial" w:hAnsi="Arial" w:cs="Arial"/>
          <w:sz w:val="20"/>
          <w:szCs w:val="20"/>
        </w:rPr>
        <w:fldChar w:fldCharType="end"/>
      </w:r>
      <w:r w:rsidR="0026558F" w:rsidRPr="00580466">
        <w:rPr>
          <w:rFonts w:ascii="Arial" w:hAnsi="Arial" w:cs="Arial"/>
          <w:bCs/>
          <w:color w:val="000000" w:themeColor="text1"/>
          <w:sz w:val="20"/>
          <w:szCs w:val="20"/>
        </w:rPr>
        <w:t xml:space="preserve">  </w:t>
      </w:r>
      <w:r w:rsidR="00580466" w:rsidRPr="00FE0113">
        <w:rPr>
          <w:rFonts w:ascii="Arial" w:hAnsi="Arial" w:cs="Arial"/>
          <w:bCs/>
          <w:color w:val="000000" w:themeColor="text1"/>
          <w:sz w:val="20"/>
          <w:szCs w:val="20"/>
        </w:rPr>
        <w:t>We</w:t>
      </w:r>
      <w:r w:rsidR="0026558F" w:rsidRPr="00580466">
        <w:rPr>
          <w:rFonts w:ascii="Arial" w:hAnsi="Arial" w:cs="Arial"/>
          <w:bCs/>
          <w:color w:val="000000" w:themeColor="text1"/>
          <w:sz w:val="20"/>
          <w:szCs w:val="20"/>
        </w:rPr>
        <w:t xml:space="preserve"> analyze the </w:t>
      </w:r>
      <w:r w:rsidR="00580466" w:rsidRPr="00FE0113">
        <w:rPr>
          <w:rFonts w:ascii="Arial" w:hAnsi="Arial" w:cs="Arial"/>
          <w:bCs/>
          <w:color w:val="000000" w:themeColor="text1"/>
          <w:sz w:val="20"/>
          <w:szCs w:val="20"/>
        </w:rPr>
        <w:t>structural and piezoelectric</w:t>
      </w:r>
      <w:r w:rsidR="00580466" w:rsidRPr="00580466">
        <w:rPr>
          <w:rFonts w:ascii="Arial" w:hAnsi="Arial" w:cs="Arial"/>
          <w:bCs/>
          <w:color w:val="000000" w:themeColor="text1"/>
          <w:sz w:val="20"/>
          <w:szCs w:val="20"/>
        </w:rPr>
        <w:t xml:space="preserve"> </w:t>
      </w:r>
      <w:r w:rsidR="0026558F" w:rsidRPr="00580466">
        <w:rPr>
          <w:rFonts w:ascii="Arial" w:hAnsi="Arial" w:cs="Arial"/>
          <w:bCs/>
          <w:color w:val="000000" w:themeColor="text1"/>
          <w:sz w:val="20"/>
          <w:szCs w:val="20"/>
        </w:rPr>
        <w:t xml:space="preserve">properties of </w:t>
      </w:r>
      <w:proofErr w:type="spellStart"/>
      <w:r w:rsidR="00580466" w:rsidRPr="00FE0113">
        <w:rPr>
          <w:rFonts w:ascii="Arial" w:hAnsi="Arial" w:cs="Arial"/>
          <w:bCs/>
          <w:color w:val="000000" w:themeColor="text1"/>
          <w:sz w:val="20"/>
          <w:szCs w:val="20"/>
        </w:rPr>
        <w:t>AlN</w:t>
      </w:r>
      <w:proofErr w:type="spellEnd"/>
      <w:r w:rsidR="00580466" w:rsidRPr="00FE0113">
        <w:rPr>
          <w:rFonts w:ascii="Arial" w:hAnsi="Arial" w:cs="Arial"/>
          <w:bCs/>
          <w:color w:val="000000" w:themeColor="text1"/>
          <w:sz w:val="20"/>
          <w:szCs w:val="20"/>
        </w:rPr>
        <w:t xml:space="preserve"> in </w:t>
      </w:r>
      <w:r w:rsidR="0026558F" w:rsidRPr="00580466">
        <w:rPr>
          <w:rFonts w:ascii="Arial" w:hAnsi="Arial" w:cs="Arial"/>
          <w:bCs/>
          <w:color w:val="000000" w:themeColor="text1"/>
          <w:sz w:val="20"/>
          <w:szCs w:val="20"/>
        </w:rPr>
        <w:t>Samples 1-3</w:t>
      </w:r>
      <w:r w:rsidRPr="00580466">
        <w:rPr>
          <w:rFonts w:ascii="Arial" w:hAnsi="Arial" w:cs="Arial"/>
          <w:bCs/>
          <w:color w:val="000000" w:themeColor="text1"/>
          <w:sz w:val="20"/>
          <w:szCs w:val="20"/>
        </w:rPr>
        <w:t xml:space="preserve"> after annealing at 700 °C for 15 min.</w:t>
      </w:r>
      <w:r w:rsidRPr="00246D39">
        <w:rPr>
          <w:rFonts w:ascii="Arial" w:hAnsi="Arial" w:cs="Arial"/>
          <w:bCs/>
          <w:color w:val="000000" w:themeColor="text1"/>
          <w:sz w:val="20"/>
          <w:szCs w:val="20"/>
        </w:rPr>
        <w:t xml:space="preserve"> </w:t>
      </w:r>
      <w:r w:rsidRPr="00246D39">
        <w:rPr>
          <w:rFonts w:ascii="Arial" w:hAnsi="Arial" w:cs="Arial"/>
          <w:sz w:val="20"/>
          <w:szCs w:val="20"/>
        </w:rPr>
        <w:t xml:space="preserve">Polarization and displacement curves were taken at a minimum of three spots on each samples to generate an average </w:t>
      </w:r>
      <w:r w:rsidRPr="00246D39">
        <w:rPr>
          <w:rFonts w:ascii="Arial" w:hAnsi="Arial" w:cs="Arial"/>
          <w:i/>
          <w:sz w:val="20"/>
          <w:szCs w:val="20"/>
        </w:rPr>
        <w:t>d</w:t>
      </w:r>
      <w:r w:rsidRPr="00246D39">
        <w:rPr>
          <w:rFonts w:ascii="Arial" w:hAnsi="Arial" w:cs="Arial"/>
          <w:sz w:val="20"/>
          <w:szCs w:val="20"/>
          <w:vertAlign w:val="subscript"/>
        </w:rPr>
        <w:t xml:space="preserve">33,f </w:t>
      </w:r>
      <w:r w:rsidRPr="00246D39">
        <w:rPr>
          <w:rFonts w:ascii="Arial" w:hAnsi="Arial" w:cs="Arial"/>
          <w:sz w:val="20"/>
          <w:szCs w:val="20"/>
        </w:rPr>
        <w:t>at each applied voltage (</w:t>
      </w:r>
      <w:proofErr w:type="spellStart"/>
      <w:r w:rsidRPr="00246D39">
        <w:rPr>
          <w:rFonts w:ascii="Arial" w:hAnsi="Arial" w:cs="Arial"/>
          <w:sz w:val="20"/>
          <w:szCs w:val="20"/>
        </w:rPr>
        <w:t>i.e</w:t>
      </w:r>
      <w:proofErr w:type="spellEnd"/>
      <w:r w:rsidRPr="00246D39">
        <w:rPr>
          <w:rFonts w:ascii="Arial" w:hAnsi="Arial" w:cs="Arial"/>
          <w:sz w:val="20"/>
          <w:szCs w:val="20"/>
        </w:rPr>
        <w:t xml:space="preserve"> 10V, 20V, 50V, and 100V). </w:t>
      </w:r>
      <w:r w:rsidRPr="00246D39">
        <w:rPr>
          <w:rFonts w:ascii="Arial" w:hAnsi="Arial" w:cs="Arial"/>
          <w:bCs/>
          <w:color w:val="000000" w:themeColor="text1"/>
          <w:sz w:val="20"/>
          <w:szCs w:val="20"/>
        </w:rPr>
        <w:t xml:space="preserve">The slope of the displacement curves at each applied voltage are used to obtain </w:t>
      </w:r>
      <w:r w:rsidRPr="00246D39">
        <w:rPr>
          <w:rFonts w:ascii="Arial" w:hAnsi="Arial" w:cs="Arial"/>
          <w:i/>
          <w:sz w:val="20"/>
          <w:szCs w:val="20"/>
        </w:rPr>
        <w:t>d</w:t>
      </w:r>
      <w:proofErr w:type="gramStart"/>
      <w:r w:rsidRPr="00246D39">
        <w:rPr>
          <w:rFonts w:ascii="Arial" w:hAnsi="Arial" w:cs="Arial"/>
          <w:sz w:val="20"/>
          <w:szCs w:val="20"/>
          <w:vertAlign w:val="subscript"/>
        </w:rPr>
        <w:t>33,f</w:t>
      </w:r>
      <w:r w:rsidRPr="00246D39">
        <w:rPr>
          <w:rFonts w:ascii="Arial" w:hAnsi="Arial" w:cs="Arial"/>
          <w:sz w:val="20"/>
          <w:szCs w:val="20"/>
        </w:rPr>
        <w:t>.</w:t>
      </w:r>
      <w:proofErr w:type="gramEnd"/>
      <w:r w:rsidRPr="00246D39">
        <w:rPr>
          <w:rFonts w:ascii="Arial" w:hAnsi="Arial" w:cs="Arial"/>
          <w:sz w:val="20"/>
          <w:szCs w:val="20"/>
        </w:rPr>
        <w:t xml:space="preserve"> The average of all values were used to obtain the mean </w:t>
      </w:r>
      <w:r w:rsidRPr="00246D39">
        <w:rPr>
          <w:rFonts w:ascii="Arial" w:hAnsi="Arial" w:cs="Arial"/>
          <w:i/>
          <w:sz w:val="20"/>
          <w:szCs w:val="20"/>
        </w:rPr>
        <w:t>d</w:t>
      </w:r>
      <w:proofErr w:type="gramStart"/>
      <w:r w:rsidRPr="00246D39">
        <w:rPr>
          <w:rFonts w:ascii="Arial" w:hAnsi="Arial" w:cs="Arial"/>
          <w:sz w:val="20"/>
          <w:szCs w:val="20"/>
          <w:vertAlign w:val="subscript"/>
        </w:rPr>
        <w:t>33,f</w:t>
      </w:r>
      <w:proofErr w:type="gramEnd"/>
      <w:r w:rsidRPr="00246D39">
        <w:rPr>
          <w:rFonts w:ascii="Arial" w:hAnsi="Arial" w:cs="Arial"/>
          <w:sz w:val="20"/>
          <w:szCs w:val="20"/>
          <w:vertAlign w:val="subscript"/>
        </w:rPr>
        <w:t xml:space="preserve">  </w:t>
      </w:r>
      <w:r w:rsidRPr="00246D39">
        <w:rPr>
          <w:rFonts w:ascii="Arial" w:hAnsi="Arial" w:cs="Arial"/>
          <w:sz w:val="20"/>
          <w:szCs w:val="20"/>
        </w:rPr>
        <w:t xml:space="preserve">± </w:t>
      </w:r>
      <w:r w:rsidRPr="00985C99">
        <w:rPr>
          <w:rFonts w:ascii="Arial" w:hAnsi="Arial" w:cs="Arial"/>
          <w:sz w:val="20"/>
          <w:szCs w:val="20"/>
        </w:rPr>
        <w:t xml:space="preserve">standard deviation of each sample, as shown in Table SIII. </w:t>
      </w:r>
    </w:p>
    <w:p w14:paraId="5C3CA24C" w14:textId="27CD49D1" w:rsidR="00364D78" w:rsidRPr="00364D78" w:rsidRDefault="00246D39" w:rsidP="00841634">
      <w:pPr>
        <w:spacing w:line="480" w:lineRule="auto"/>
        <w:ind w:firstLine="708"/>
        <w:rPr>
          <w:rFonts w:ascii="Arial" w:hAnsi="Arial" w:cs="Arial"/>
          <w:sz w:val="20"/>
          <w:szCs w:val="20"/>
        </w:rPr>
      </w:pPr>
      <w:r w:rsidRPr="00985C99">
        <w:rPr>
          <w:rFonts w:ascii="Arial" w:hAnsi="Arial" w:cs="Arial"/>
          <w:sz w:val="20"/>
          <w:szCs w:val="20"/>
        </w:rPr>
        <w:t>TABLE SIII: Average d</w:t>
      </w:r>
      <w:proofErr w:type="gramStart"/>
      <w:r w:rsidRPr="00985C99">
        <w:rPr>
          <w:rFonts w:ascii="Arial" w:hAnsi="Arial" w:cs="Arial"/>
          <w:sz w:val="20"/>
          <w:szCs w:val="20"/>
          <w:vertAlign w:val="subscript"/>
        </w:rPr>
        <w:t>33,f</w:t>
      </w:r>
      <w:proofErr w:type="gramEnd"/>
      <w:r w:rsidRPr="00985C99">
        <w:rPr>
          <w:rFonts w:ascii="Arial" w:hAnsi="Arial" w:cs="Arial"/>
          <w:sz w:val="20"/>
          <w:szCs w:val="20"/>
        </w:rPr>
        <w:t xml:space="preserve"> measurements obtained via DBLI on Samples 1 – 3 before (as deposited) and after annealing, varying the voltage between 10V – 100V</w:t>
      </w:r>
      <w:bookmarkStart w:id="12" w:name="_Hlk27375703"/>
    </w:p>
    <w:tbl>
      <w:tblPr>
        <w:tblW w:w="0" w:type="auto"/>
        <w:tblLook w:val="04A0" w:firstRow="1" w:lastRow="0" w:firstColumn="1" w:lastColumn="0" w:noHBand="0" w:noVBand="1"/>
      </w:tblPr>
      <w:tblGrid>
        <w:gridCol w:w="1303"/>
        <w:gridCol w:w="1403"/>
        <w:gridCol w:w="1364"/>
        <w:gridCol w:w="1333"/>
        <w:gridCol w:w="1319"/>
        <w:gridCol w:w="1319"/>
        <w:gridCol w:w="1319"/>
      </w:tblGrid>
      <w:tr w:rsidR="00364D78" w:rsidRPr="00364D78" w14:paraId="7CAD9A87" w14:textId="77777777" w:rsidTr="00001EA4">
        <w:tc>
          <w:tcPr>
            <w:tcW w:w="1844" w:type="dxa"/>
            <w:tcBorders>
              <w:top w:val="double" w:sz="4" w:space="0" w:color="auto"/>
              <w:bottom w:val="single" w:sz="4" w:space="0" w:color="auto"/>
            </w:tcBorders>
            <w:shd w:val="clear" w:color="auto" w:fill="auto"/>
            <w:vAlign w:val="center"/>
          </w:tcPr>
          <w:p w14:paraId="1D2B11E8"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Voltage</w:t>
            </w:r>
          </w:p>
        </w:tc>
        <w:tc>
          <w:tcPr>
            <w:tcW w:w="1911" w:type="dxa"/>
            <w:tcBorders>
              <w:top w:val="double" w:sz="4" w:space="0" w:color="auto"/>
              <w:bottom w:val="single" w:sz="4" w:space="0" w:color="auto"/>
            </w:tcBorders>
            <w:shd w:val="clear" w:color="auto" w:fill="auto"/>
            <w:vAlign w:val="center"/>
          </w:tcPr>
          <w:p w14:paraId="185AB206"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 xml:space="preserve">Sample 1: As-deposited </w:t>
            </w:r>
          </w:p>
        </w:tc>
        <w:tc>
          <w:tcPr>
            <w:tcW w:w="1810" w:type="dxa"/>
            <w:tcBorders>
              <w:top w:val="double" w:sz="4" w:space="0" w:color="auto"/>
              <w:bottom w:val="single" w:sz="4" w:space="0" w:color="auto"/>
            </w:tcBorders>
            <w:shd w:val="clear" w:color="auto" w:fill="auto"/>
            <w:vAlign w:val="center"/>
          </w:tcPr>
          <w:p w14:paraId="6A6C4141"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Sample 2: As-deposited</w:t>
            </w:r>
          </w:p>
        </w:tc>
        <w:tc>
          <w:tcPr>
            <w:tcW w:w="1729" w:type="dxa"/>
            <w:tcBorders>
              <w:top w:val="double" w:sz="4" w:space="0" w:color="auto"/>
              <w:bottom w:val="single" w:sz="4" w:space="0" w:color="auto"/>
            </w:tcBorders>
            <w:shd w:val="clear" w:color="auto" w:fill="auto"/>
            <w:vAlign w:val="center"/>
          </w:tcPr>
          <w:p w14:paraId="561059D7"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Sample 3: As-deposited</w:t>
            </w:r>
          </w:p>
        </w:tc>
        <w:tc>
          <w:tcPr>
            <w:tcW w:w="1729" w:type="dxa"/>
            <w:tcBorders>
              <w:top w:val="double" w:sz="4" w:space="0" w:color="auto"/>
              <w:bottom w:val="single" w:sz="4" w:space="0" w:color="auto"/>
            </w:tcBorders>
            <w:vAlign w:val="center"/>
          </w:tcPr>
          <w:p w14:paraId="4C537747"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 xml:space="preserve">Sample 1 - Annealed </w:t>
            </w:r>
          </w:p>
        </w:tc>
        <w:tc>
          <w:tcPr>
            <w:tcW w:w="1729" w:type="dxa"/>
            <w:tcBorders>
              <w:top w:val="double" w:sz="4" w:space="0" w:color="auto"/>
              <w:bottom w:val="single" w:sz="4" w:space="0" w:color="auto"/>
            </w:tcBorders>
            <w:vAlign w:val="center"/>
          </w:tcPr>
          <w:p w14:paraId="3913C765"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Sample 2 - Annealed</w:t>
            </w:r>
          </w:p>
        </w:tc>
        <w:tc>
          <w:tcPr>
            <w:tcW w:w="1729" w:type="dxa"/>
            <w:tcBorders>
              <w:top w:val="double" w:sz="4" w:space="0" w:color="auto"/>
              <w:bottom w:val="single" w:sz="4" w:space="0" w:color="auto"/>
            </w:tcBorders>
            <w:vAlign w:val="center"/>
          </w:tcPr>
          <w:p w14:paraId="46D5370C"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eastAsia="de-DE"/>
              </w:rPr>
              <w:t>Sample 3 - Annealed</w:t>
            </w:r>
          </w:p>
        </w:tc>
      </w:tr>
      <w:tr w:rsidR="00364D78" w:rsidRPr="00364D78" w14:paraId="6E50DD6D" w14:textId="77777777" w:rsidTr="00001EA4">
        <w:tc>
          <w:tcPr>
            <w:tcW w:w="1844" w:type="dxa"/>
            <w:tcBorders>
              <w:top w:val="single" w:sz="4" w:space="0" w:color="auto"/>
            </w:tcBorders>
            <w:shd w:val="clear" w:color="auto" w:fill="auto"/>
          </w:tcPr>
          <w:p w14:paraId="2B0E1EB6"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10 V</w:t>
            </w:r>
          </w:p>
        </w:tc>
        <w:tc>
          <w:tcPr>
            <w:tcW w:w="1911" w:type="dxa"/>
          </w:tcPr>
          <w:p w14:paraId="57BCF4B9"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6.1 pm/V</w:t>
            </w:r>
          </w:p>
        </w:tc>
        <w:tc>
          <w:tcPr>
            <w:tcW w:w="1810" w:type="dxa"/>
          </w:tcPr>
          <w:p w14:paraId="0705376D"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5.6 pm/V</w:t>
            </w:r>
          </w:p>
        </w:tc>
        <w:tc>
          <w:tcPr>
            <w:tcW w:w="1729" w:type="dxa"/>
          </w:tcPr>
          <w:p w14:paraId="6E2BF862"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6.1 pm/V</w:t>
            </w:r>
          </w:p>
        </w:tc>
        <w:tc>
          <w:tcPr>
            <w:tcW w:w="1729" w:type="dxa"/>
          </w:tcPr>
          <w:p w14:paraId="27E4B2C0"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5.8 pm/V</w:t>
            </w:r>
          </w:p>
        </w:tc>
        <w:tc>
          <w:tcPr>
            <w:tcW w:w="1729" w:type="dxa"/>
          </w:tcPr>
          <w:p w14:paraId="0BAA4000"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6.4 pm/V</w:t>
            </w:r>
          </w:p>
        </w:tc>
        <w:tc>
          <w:tcPr>
            <w:tcW w:w="1729" w:type="dxa"/>
          </w:tcPr>
          <w:p w14:paraId="1D660815"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6.3 pm/V</w:t>
            </w:r>
          </w:p>
        </w:tc>
      </w:tr>
      <w:tr w:rsidR="00364D78" w:rsidRPr="00364D78" w14:paraId="5F92FCB8" w14:textId="77777777" w:rsidTr="00001EA4">
        <w:tc>
          <w:tcPr>
            <w:tcW w:w="1844" w:type="dxa"/>
            <w:shd w:val="clear" w:color="auto" w:fill="auto"/>
          </w:tcPr>
          <w:p w14:paraId="2F4B8999"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20 V</w:t>
            </w:r>
          </w:p>
        </w:tc>
        <w:tc>
          <w:tcPr>
            <w:tcW w:w="1911" w:type="dxa"/>
          </w:tcPr>
          <w:p w14:paraId="7FEA74BD"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5.9 pm/V</w:t>
            </w:r>
          </w:p>
        </w:tc>
        <w:tc>
          <w:tcPr>
            <w:tcW w:w="1810" w:type="dxa"/>
          </w:tcPr>
          <w:p w14:paraId="608D85C6"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6.0 pm/V</w:t>
            </w:r>
          </w:p>
        </w:tc>
        <w:tc>
          <w:tcPr>
            <w:tcW w:w="1729" w:type="dxa"/>
          </w:tcPr>
          <w:p w14:paraId="3051D45F"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6.3 pm/V</w:t>
            </w:r>
          </w:p>
        </w:tc>
        <w:tc>
          <w:tcPr>
            <w:tcW w:w="1729" w:type="dxa"/>
          </w:tcPr>
          <w:p w14:paraId="4E4D1960"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5.7 pm/V</w:t>
            </w:r>
          </w:p>
        </w:tc>
        <w:tc>
          <w:tcPr>
            <w:tcW w:w="1729" w:type="dxa"/>
          </w:tcPr>
          <w:p w14:paraId="7ED3620B"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6.2 pm/V</w:t>
            </w:r>
          </w:p>
        </w:tc>
        <w:tc>
          <w:tcPr>
            <w:tcW w:w="1729" w:type="dxa"/>
          </w:tcPr>
          <w:p w14:paraId="0E654EF6"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6.5 pm/V</w:t>
            </w:r>
          </w:p>
        </w:tc>
      </w:tr>
      <w:tr w:rsidR="00364D78" w:rsidRPr="00364D78" w14:paraId="2F424F3C" w14:textId="77777777" w:rsidTr="00001EA4">
        <w:tc>
          <w:tcPr>
            <w:tcW w:w="1844" w:type="dxa"/>
            <w:shd w:val="clear" w:color="auto" w:fill="auto"/>
          </w:tcPr>
          <w:p w14:paraId="24F61861"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50 V</w:t>
            </w:r>
          </w:p>
        </w:tc>
        <w:tc>
          <w:tcPr>
            <w:tcW w:w="1911" w:type="dxa"/>
          </w:tcPr>
          <w:p w14:paraId="10120C8B"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5.4 pm/V</w:t>
            </w:r>
          </w:p>
        </w:tc>
        <w:tc>
          <w:tcPr>
            <w:tcW w:w="1810" w:type="dxa"/>
          </w:tcPr>
          <w:p w14:paraId="1F77F907"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5.9 pm/V</w:t>
            </w:r>
          </w:p>
        </w:tc>
        <w:tc>
          <w:tcPr>
            <w:tcW w:w="1729" w:type="dxa"/>
          </w:tcPr>
          <w:p w14:paraId="589954CA"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6.3 pm/V</w:t>
            </w:r>
          </w:p>
        </w:tc>
        <w:tc>
          <w:tcPr>
            <w:tcW w:w="1729" w:type="dxa"/>
          </w:tcPr>
          <w:p w14:paraId="0D569BA8"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 xml:space="preserve">5.7 pm/V </w:t>
            </w:r>
          </w:p>
        </w:tc>
        <w:tc>
          <w:tcPr>
            <w:tcW w:w="1729" w:type="dxa"/>
          </w:tcPr>
          <w:p w14:paraId="4E9E4071"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6.5 pm/V</w:t>
            </w:r>
          </w:p>
        </w:tc>
        <w:tc>
          <w:tcPr>
            <w:tcW w:w="1729" w:type="dxa"/>
          </w:tcPr>
          <w:p w14:paraId="281B02AC"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6.6 pm/V</w:t>
            </w:r>
          </w:p>
        </w:tc>
      </w:tr>
      <w:tr w:rsidR="00364D78" w:rsidRPr="00364D78" w14:paraId="0124A06B" w14:textId="77777777" w:rsidTr="00001EA4">
        <w:tc>
          <w:tcPr>
            <w:tcW w:w="1844" w:type="dxa"/>
            <w:shd w:val="clear" w:color="auto" w:fill="auto"/>
          </w:tcPr>
          <w:p w14:paraId="1DE686F8" w14:textId="77777777" w:rsidR="00364D78" w:rsidRPr="00364D78" w:rsidRDefault="00364D78" w:rsidP="00841634">
            <w:pPr>
              <w:spacing w:after="0" w:line="240" w:lineRule="auto"/>
              <w:rPr>
                <w:rFonts w:ascii="Arial" w:eastAsia="Calibri" w:hAnsi="Arial" w:cs="Times New Roman"/>
                <w:iCs/>
                <w:sz w:val="20"/>
                <w:szCs w:val="20"/>
                <w:lang w:eastAsia="de-DE"/>
              </w:rPr>
            </w:pPr>
            <w:r w:rsidRPr="00364D78">
              <w:rPr>
                <w:rFonts w:ascii="Arial" w:eastAsia="Calibri" w:hAnsi="Arial" w:cs="Times New Roman"/>
                <w:sz w:val="20"/>
                <w:szCs w:val="20"/>
                <w:lang w:val="de-DE" w:eastAsia="de-DE"/>
              </w:rPr>
              <w:t>100 V</w:t>
            </w:r>
          </w:p>
        </w:tc>
        <w:tc>
          <w:tcPr>
            <w:tcW w:w="1911" w:type="dxa"/>
          </w:tcPr>
          <w:p w14:paraId="2FD4873A" w14:textId="7AB5615B"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5.6 pm/V</w:t>
            </w:r>
          </w:p>
        </w:tc>
        <w:tc>
          <w:tcPr>
            <w:tcW w:w="1810" w:type="dxa"/>
          </w:tcPr>
          <w:p w14:paraId="07547937" w14:textId="1B64DFD0"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6.3 pm/V</w:t>
            </w:r>
          </w:p>
        </w:tc>
        <w:tc>
          <w:tcPr>
            <w:tcW w:w="1729" w:type="dxa"/>
          </w:tcPr>
          <w:p w14:paraId="4EBAEED9" w14:textId="07EAFCDE"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6.5 pm/V</w:t>
            </w:r>
          </w:p>
        </w:tc>
        <w:tc>
          <w:tcPr>
            <w:tcW w:w="1729" w:type="dxa"/>
          </w:tcPr>
          <w:p w14:paraId="7469D9B0" w14:textId="5CF37D01"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 xml:space="preserve">6.4 pm/V </w:t>
            </w:r>
          </w:p>
        </w:tc>
        <w:tc>
          <w:tcPr>
            <w:tcW w:w="1729" w:type="dxa"/>
          </w:tcPr>
          <w:p w14:paraId="1BD1337E"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 xml:space="preserve">6.4 pm/V </w:t>
            </w:r>
          </w:p>
        </w:tc>
        <w:tc>
          <w:tcPr>
            <w:tcW w:w="1729" w:type="dxa"/>
          </w:tcPr>
          <w:p w14:paraId="43B13AAC" w14:textId="61519E62"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6.2 pm/</w:t>
            </w:r>
            <w:r w:rsidR="003B3AF7">
              <w:rPr>
                <w:rFonts w:ascii="Arial" w:eastAsia="Calibri" w:hAnsi="Arial" w:cs="Times New Roman"/>
                <w:sz w:val="20"/>
                <w:szCs w:val="20"/>
                <w:lang w:val="de-DE" w:eastAsia="de-DE"/>
              </w:rPr>
              <w:t>V</w:t>
            </w:r>
          </w:p>
        </w:tc>
      </w:tr>
      <w:tr w:rsidR="00364D78" w:rsidRPr="00364D78" w14:paraId="7739A89B" w14:textId="77777777" w:rsidTr="00001EA4">
        <w:tc>
          <w:tcPr>
            <w:tcW w:w="1844" w:type="dxa"/>
            <w:tcBorders>
              <w:bottom w:val="single" w:sz="4" w:space="0" w:color="auto"/>
            </w:tcBorders>
            <w:shd w:val="clear" w:color="auto" w:fill="auto"/>
          </w:tcPr>
          <w:p w14:paraId="752AEABB" w14:textId="77777777" w:rsidR="00364D78" w:rsidRPr="00364D78" w:rsidRDefault="00364D78" w:rsidP="00841634">
            <w:pPr>
              <w:spacing w:after="0" w:line="240" w:lineRule="auto"/>
              <w:rPr>
                <w:rFonts w:ascii="Arial" w:eastAsia="Calibri" w:hAnsi="Arial" w:cs="Times New Roman"/>
                <w:iCs/>
                <w:sz w:val="20"/>
                <w:szCs w:val="20"/>
                <w:lang w:eastAsia="de-DE"/>
              </w:rPr>
            </w:pPr>
            <w:r w:rsidRPr="00364D78">
              <w:rPr>
                <w:rFonts w:ascii="Arial" w:eastAsia="Calibri" w:hAnsi="Arial" w:cs="Times New Roman"/>
                <w:sz w:val="20"/>
                <w:szCs w:val="20"/>
                <w:lang w:val="de-DE" w:eastAsia="de-DE"/>
              </w:rPr>
              <w:t>Average d</w:t>
            </w:r>
            <w:r w:rsidRPr="00364D78">
              <w:rPr>
                <w:rFonts w:ascii="Arial" w:eastAsia="Calibri" w:hAnsi="Arial" w:cs="Times New Roman"/>
                <w:sz w:val="20"/>
                <w:szCs w:val="20"/>
                <w:vertAlign w:val="subscript"/>
                <w:lang w:val="de-DE" w:eastAsia="de-DE"/>
              </w:rPr>
              <w:t xml:space="preserve">33,f </w:t>
            </w:r>
          </w:p>
        </w:tc>
        <w:tc>
          <w:tcPr>
            <w:tcW w:w="1911" w:type="dxa"/>
            <w:tcBorders>
              <w:bottom w:val="single" w:sz="4" w:space="0" w:color="auto"/>
            </w:tcBorders>
          </w:tcPr>
          <w:p w14:paraId="0A7BFB2E"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5.8 pm/V ± 0.3 pm/V</w:t>
            </w:r>
          </w:p>
        </w:tc>
        <w:tc>
          <w:tcPr>
            <w:tcW w:w="1810" w:type="dxa"/>
            <w:tcBorders>
              <w:bottom w:val="single" w:sz="4" w:space="0" w:color="auto"/>
            </w:tcBorders>
          </w:tcPr>
          <w:p w14:paraId="515FBA4C" w14:textId="77777777" w:rsidR="00364D78" w:rsidRPr="00364D78" w:rsidRDefault="00364D78" w:rsidP="00841634">
            <w:pPr>
              <w:spacing w:after="0" w:line="240" w:lineRule="auto"/>
              <w:rPr>
                <w:rFonts w:ascii="Arial" w:eastAsia="Calibri" w:hAnsi="Arial" w:cs="Times New Roman"/>
                <w:sz w:val="20"/>
                <w:szCs w:val="20"/>
                <w:lang w:val="de-DE" w:eastAsia="de-DE"/>
              </w:rPr>
            </w:pPr>
            <w:r w:rsidRPr="00364D78">
              <w:rPr>
                <w:rFonts w:ascii="Arial" w:eastAsia="Calibri" w:hAnsi="Arial" w:cs="Times New Roman"/>
                <w:sz w:val="20"/>
                <w:szCs w:val="20"/>
                <w:lang w:val="de-DE" w:eastAsia="de-DE"/>
              </w:rPr>
              <w:t>6.0 pm/V ± 0.3 pm/V</w:t>
            </w:r>
          </w:p>
        </w:tc>
        <w:tc>
          <w:tcPr>
            <w:tcW w:w="1729" w:type="dxa"/>
            <w:tcBorders>
              <w:bottom w:val="single" w:sz="4" w:space="0" w:color="auto"/>
            </w:tcBorders>
          </w:tcPr>
          <w:p w14:paraId="607AE45A"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6.3 pm/V ± 0.2 pm/V</w:t>
            </w:r>
          </w:p>
        </w:tc>
        <w:tc>
          <w:tcPr>
            <w:tcW w:w="1729" w:type="dxa"/>
            <w:tcBorders>
              <w:bottom w:val="single" w:sz="4" w:space="0" w:color="auto"/>
            </w:tcBorders>
          </w:tcPr>
          <w:p w14:paraId="65973C5E"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5.9 pm/V ± 0.3 pm/V</w:t>
            </w:r>
          </w:p>
        </w:tc>
        <w:tc>
          <w:tcPr>
            <w:tcW w:w="1729" w:type="dxa"/>
            <w:tcBorders>
              <w:bottom w:val="single" w:sz="4" w:space="0" w:color="auto"/>
            </w:tcBorders>
          </w:tcPr>
          <w:p w14:paraId="75F3BCA9"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6.4 pm/V ± 0.1 pm/V</w:t>
            </w:r>
          </w:p>
        </w:tc>
        <w:tc>
          <w:tcPr>
            <w:tcW w:w="1729" w:type="dxa"/>
            <w:tcBorders>
              <w:bottom w:val="single" w:sz="4" w:space="0" w:color="auto"/>
            </w:tcBorders>
          </w:tcPr>
          <w:p w14:paraId="2299896C" w14:textId="77777777" w:rsidR="00364D78" w:rsidRPr="00364D78" w:rsidRDefault="00364D78" w:rsidP="00841634">
            <w:pPr>
              <w:spacing w:after="0" w:line="240" w:lineRule="auto"/>
              <w:rPr>
                <w:rFonts w:ascii="Arial" w:eastAsia="Calibri" w:hAnsi="Arial" w:cs="Times New Roman"/>
                <w:sz w:val="20"/>
                <w:szCs w:val="20"/>
                <w:lang w:eastAsia="de-DE"/>
              </w:rPr>
            </w:pPr>
            <w:r w:rsidRPr="00364D78">
              <w:rPr>
                <w:rFonts w:ascii="Arial" w:eastAsia="Calibri" w:hAnsi="Arial" w:cs="Times New Roman"/>
                <w:sz w:val="20"/>
                <w:szCs w:val="20"/>
                <w:lang w:val="de-DE" w:eastAsia="de-DE"/>
              </w:rPr>
              <w:t>6.4 pm/V ± 0.2 pm/V</w:t>
            </w:r>
          </w:p>
        </w:tc>
      </w:tr>
      <w:bookmarkEnd w:id="12"/>
    </w:tbl>
    <w:p w14:paraId="42342A5E" w14:textId="77777777" w:rsidR="00364D78" w:rsidRPr="00246D39" w:rsidRDefault="00364D78" w:rsidP="00841634">
      <w:pPr>
        <w:spacing w:line="480" w:lineRule="auto"/>
        <w:ind w:firstLine="720"/>
        <w:jc w:val="both"/>
        <w:rPr>
          <w:rFonts w:ascii="Arial" w:hAnsi="Arial" w:cs="Arial"/>
          <w:sz w:val="20"/>
          <w:szCs w:val="20"/>
        </w:rPr>
      </w:pPr>
    </w:p>
    <w:p w14:paraId="6A64279F" w14:textId="15145956" w:rsidR="00246D39" w:rsidRPr="00246D39" w:rsidRDefault="00E43D2D" w:rsidP="00841634">
      <w:pPr>
        <w:spacing w:line="480" w:lineRule="auto"/>
        <w:ind w:firstLine="720"/>
        <w:jc w:val="both"/>
        <w:rPr>
          <w:rFonts w:ascii="Arial" w:hAnsi="Arial" w:cs="Arial"/>
          <w:sz w:val="20"/>
          <w:szCs w:val="20"/>
        </w:rPr>
      </w:pPr>
      <w:r w:rsidRPr="00246D39">
        <w:rPr>
          <w:rFonts w:ascii="Arial" w:hAnsi="Arial" w:cs="Arial"/>
          <w:bCs/>
          <w:color w:val="000000" w:themeColor="text1"/>
          <w:sz w:val="20"/>
          <w:szCs w:val="20"/>
        </w:rPr>
        <w:t>Figure S</w:t>
      </w:r>
      <w:r>
        <w:rPr>
          <w:rFonts w:ascii="Arial" w:hAnsi="Arial" w:cs="Arial"/>
          <w:bCs/>
          <w:color w:val="000000" w:themeColor="text1"/>
          <w:sz w:val="20"/>
          <w:szCs w:val="20"/>
        </w:rPr>
        <w:t>3</w:t>
      </w:r>
      <w:r w:rsidRPr="00246D39">
        <w:rPr>
          <w:rFonts w:ascii="Arial" w:hAnsi="Arial" w:cs="Arial"/>
          <w:bCs/>
          <w:color w:val="000000" w:themeColor="text1"/>
          <w:sz w:val="20"/>
          <w:szCs w:val="20"/>
        </w:rPr>
        <w:t xml:space="preserve"> demonstrates the polarization and displacement curves taken at 100V</w:t>
      </w:r>
      <w:r>
        <w:rPr>
          <w:rFonts w:ascii="Arial" w:hAnsi="Arial" w:cs="Arial"/>
          <w:bCs/>
          <w:color w:val="000000" w:themeColor="text1"/>
          <w:sz w:val="20"/>
          <w:szCs w:val="20"/>
        </w:rPr>
        <w:t xml:space="preserve"> (</w:t>
      </w:r>
      <w:proofErr w:type="spellStart"/>
      <w:r>
        <w:rPr>
          <w:rFonts w:ascii="Arial" w:hAnsi="Arial" w:cs="Arial"/>
          <w:bCs/>
          <w:color w:val="000000" w:themeColor="text1"/>
          <w:sz w:val="20"/>
          <w:szCs w:val="20"/>
        </w:rPr>
        <w:t>i.e</w:t>
      </w:r>
      <w:proofErr w:type="spellEnd"/>
      <w:r>
        <w:rPr>
          <w:rFonts w:ascii="Arial" w:hAnsi="Arial" w:cs="Arial"/>
          <w:bCs/>
          <w:color w:val="000000" w:themeColor="text1"/>
          <w:sz w:val="20"/>
          <w:szCs w:val="20"/>
        </w:rPr>
        <w:t xml:space="preserve"> electric field of ± 500 kV/cm)</w:t>
      </w:r>
      <w:r w:rsidRPr="00246D39">
        <w:rPr>
          <w:rFonts w:ascii="Arial" w:hAnsi="Arial" w:cs="Arial"/>
          <w:bCs/>
          <w:color w:val="000000" w:themeColor="text1"/>
          <w:sz w:val="20"/>
          <w:szCs w:val="20"/>
        </w:rPr>
        <w:t xml:space="preserve"> for Samples 1 – 3</w:t>
      </w:r>
      <w:r>
        <w:rPr>
          <w:rFonts w:ascii="Arial" w:hAnsi="Arial" w:cs="Arial"/>
          <w:bCs/>
          <w:color w:val="000000" w:themeColor="text1"/>
          <w:sz w:val="20"/>
          <w:szCs w:val="20"/>
        </w:rPr>
        <w:t xml:space="preserve">. </w:t>
      </w:r>
      <w:r w:rsidR="00246D39" w:rsidRPr="00246D39">
        <w:rPr>
          <w:rFonts w:ascii="Arial" w:eastAsia="Times New Roman" w:hAnsi="Arial" w:cs="Arial"/>
          <w:color w:val="000000"/>
          <w:sz w:val="20"/>
          <w:szCs w:val="20"/>
          <w:lang w:eastAsia="de-DE"/>
        </w:rPr>
        <w:t>Polarization is well-known to be dependent on grain size, domain structure, and domain mobility.</w:t>
      </w:r>
      <w:r w:rsidR="00246D39" w:rsidRPr="00246D39">
        <w:rPr>
          <w:rFonts w:ascii="Arial" w:eastAsia="Times New Roman" w:hAnsi="Arial" w:cs="Arial"/>
          <w:color w:val="000000"/>
          <w:sz w:val="20"/>
          <w:szCs w:val="20"/>
          <w:lang w:eastAsia="de-DE"/>
        </w:rPr>
        <w:fldChar w:fldCharType="begin" w:fldLock="1"/>
      </w:r>
      <w:r w:rsidR="00AC7EF1">
        <w:rPr>
          <w:rFonts w:ascii="Arial" w:eastAsia="Times New Roman" w:hAnsi="Arial" w:cs="Arial"/>
          <w:color w:val="000000"/>
          <w:sz w:val="20"/>
          <w:szCs w:val="20"/>
          <w:lang w:eastAsia="de-DE"/>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sidR="00246D39" w:rsidRPr="00246D39">
        <w:rPr>
          <w:rFonts w:ascii="Arial" w:eastAsia="Times New Roman" w:hAnsi="Arial" w:cs="Arial"/>
          <w:color w:val="000000"/>
          <w:sz w:val="20"/>
          <w:szCs w:val="20"/>
          <w:lang w:eastAsia="de-DE"/>
        </w:rPr>
        <w:fldChar w:fldCharType="separate"/>
      </w:r>
      <w:r w:rsidR="002D1C4E" w:rsidRPr="002D1C4E">
        <w:rPr>
          <w:rFonts w:ascii="Arial" w:eastAsia="Times New Roman" w:hAnsi="Arial" w:cs="Arial"/>
          <w:noProof/>
          <w:color w:val="000000"/>
          <w:sz w:val="20"/>
          <w:szCs w:val="20"/>
          <w:vertAlign w:val="superscript"/>
          <w:lang w:eastAsia="de-DE"/>
        </w:rPr>
        <w:t>8</w:t>
      </w:r>
      <w:r w:rsidR="00246D39" w:rsidRPr="00246D39">
        <w:rPr>
          <w:rFonts w:ascii="Arial" w:eastAsia="Times New Roman" w:hAnsi="Arial" w:cs="Arial"/>
          <w:color w:val="000000"/>
          <w:sz w:val="20"/>
          <w:szCs w:val="20"/>
          <w:lang w:eastAsia="de-DE"/>
        </w:rPr>
        <w:fldChar w:fldCharType="end"/>
      </w:r>
      <w:r w:rsidR="00246D39" w:rsidRPr="00246D39">
        <w:rPr>
          <w:rFonts w:ascii="Arial" w:eastAsia="Times New Roman" w:hAnsi="Arial" w:cs="Arial"/>
          <w:color w:val="000000"/>
          <w:sz w:val="20"/>
          <w:szCs w:val="20"/>
          <w:lang w:eastAsia="de-DE"/>
        </w:rPr>
        <w:t xml:space="preserve"> The difference in the polarization hysteresis loop behavior between the as-deposited and after-annealed state of each sample is likely due to the variation in leakage current from </w:t>
      </w:r>
      <w:r w:rsidR="00364D78">
        <w:rPr>
          <w:rFonts w:ascii="Arial" w:eastAsia="Times New Roman" w:hAnsi="Arial" w:cs="Arial"/>
          <w:color w:val="000000"/>
          <w:sz w:val="20"/>
          <w:szCs w:val="20"/>
          <w:lang w:eastAsia="de-DE"/>
        </w:rPr>
        <w:t>changes</w:t>
      </w:r>
      <w:r w:rsidR="00246D39" w:rsidRPr="00246D39">
        <w:rPr>
          <w:rFonts w:ascii="Arial" w:eastAsia="Times New Roman" w:hAnsi="Arial" w:cs="Arial"/>
          <w:color w:val="000000"/>
          <w:sz w:val="20"/>
          <w:szCs w:val="20"/>
          <w:lang w:eastAsia="de-DE"/>
        </w:rPr>
        <w:t xml:space="preserve"> in the grain size</w:t>
      </w:r>
      <w:r w:rsidR="00364D78">
        <w:rPr>
          <w:rFonts w:ascii="Arial" w:eastAsia="Times New Roman" w:hAnsi="Arial" w:cs="Arial"/>
          <w:color w:val="000000"/>
          <w:sz w:val="20"/>
          <w:szCs w:val="20"/>
          <w:lang w:eastAsia="de-DE"/>
        </w:rPr>
        <w:t>, surface roughness,</w:t>
      </w:r>
      <w:r w:rsidR="00246D39" w:rsidRPr="00246D39">
        <w:rPr>
          <w:rFonts w:ascii="Arial" w:eastAsia="Times New Roman" w:hAnsi="Arial" w:cs="Arial"/>
          <w:color w:val="000000"/>
          <w:sz w:val="20"/>
          <w:szCs w:val="20"/>
          <w:lang w:eastAsia="de-DE"/>
        </w:rPr>
        <w:t xml:space="preserve"> and </w:t>
      </w:r>
      <w:r w:rsidR="00246D39" w:rsidRPr="00364D78">
        <w:rPr>
          <w:rFonts w:ascii="Arial" w:eastAsia="Times New Roman" w:hAnsi="Arial" w:cs="Arial"/>
          <w:i/>
          <w:iCs/>
          <w:color w:val="000000"/>
          <w:sz w:val="20"/>
          <w:szCs w:val="20"/>
          <w:lang w:eastAsia="de-DE"/>
        </w:rPr>
        <w:t>c</w:t>
      </w:r>
      <w:r w:rsidR="00246D39" w:rsidRPr="00246D39">
        <w:rPr>
          <w:rFonts w:ascii="Arial" w:eastAsia="Times New Roman" w:hAnsi="Arial" w:cs="Arial"/>
          <w:color w:val="000000"/>
          <w:sz w:val="20"/>
          <w:szCs w:val="20"/>
          <w:lang w:eastAsia="de-DE"/>
        </w:rPr>
        <w:t>-axis growth.</w:t>
      </w:r>
      <w:r w:rsidR="00246D39" w:rsidRPr="00246D39">
        <w:rPr>
          <w:rFonts w:ascii="Arial" w:eastAsia="Times New Roman" w:hAnsi="Arial" w:cs="Arial"/>
          <w:color w:val="000000"/>
          <w:sz w:val="20"/>
          <w:szCs w:val="20"/>
          <w:lang w:eastAsia="de-DE"/>
        </w:rPr>
        <w:fldChar w:fldCharType="begin" w:fldLock="1"/>
      </w:r>
      <w:r w:rsidR="00AC7EF1">
        <w:rPr>
          <w:rFonts w:ascii="Arial" w:eastAsia="Times New Roman" w:hAnsi="Arial" w:cs="Arial"/>
          <w:color w:val="000000"/>
          <w:sz w:val="20"/>
          <w:szCs w:val="20"/>
          <w:lang w:eastAsia="de-DE"/>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sidR="00246D39" w:rsidRPr="00246D39">
        <w:rPr>
          <w:rFonts w:ascii="Arial" w:eastAsia="Times New Roman" w:hAnsi="Arial" w:cs="Arial"/>
          <w:color w:val="000000"/>
          <w:sz w:val="20"/>
          <w:szCs w:val="20"/>
          <w:lang w:eastAsia="de-DE"/>
        </w:rPr>
        <w:fldChar w:fldCharType="separate"/>
      </w:r>
      <w:r w:rsidR="002D1C4E" w:rsidRPr="002D1C4E">
        <w:rPr>
          <w:rFonts w:ascii="Arial" w:eastAsia="Times New Roman" w:hAnsi="Arial" w:cs="Arial"/>
          <w:noProof/>
          <w:color w:val="000000"/>
          <w:sz w:val="20"/>
          <w:szCs w:val="20"/>
          <w:vertAlign w:val="superscript"/>
          <w:lang w:eastAsia="de-DE"/>
        </w:rPr>
        <w:t>8</w:t>
      </w:r>
      <w:r w:rsidR="00246D39" w:rsidRPr="00246D39">
        <w:rPr>
          <w:rFonts w:ascii="Arial" w:eastAsia="Times New Roman" w:hAnsi="Arial" w:cs="Arial"/>
          <w:color w:val="000000"/>
          <w:sz w:val="20"/>
          <w:szCs w:val="20"/>
          <w:lang w:eastAsia="de-DE"/>
        </w:rPr>
        <w:fldChar w:fldCharType="end"/>
      </w:r>
      <w:r w:rsidR="00246D39" w:rsidRPr="00246D39">
        <w:rPr>
          <w:rFonts w:ascii="Arial" w:eastAsia="Times New Roman" w:hAnsi="Arial" w:cs="Arial"/>
          <w:color w:val="000000"/>
          <w:sz w:val="20"/>
          <w:szCs w:val="20"/>
          <w:lang w:eastAsia="de-DE"/>
        </w:rPr>
        <w:t xml:space="preserve"> Previously, it was found that grain boundaries act as pinning centers for polarization, thus polarization switching was easier for large </w:t>
      </w:r>
      <w:proofErr w:type="spellStart"/>
      <w:r w:rsidR="00246D39" w:rsidRPr="00246D39">
        <w:rPr>
          <w:rFonts w:ascii="Arial" w:eastAsia="Times New Roman" w:hAnsi="Arial" w:cs="Arial"/>
          <w:color w:val="000000"/>
          <w:sz w:val="20"/>
          <w:szCs w:val="20"/>
          <w:lang w:eastAsia="de-DE"/>
        </w:rPr>
        <w:t>AlN</w:t>
      </w:r>
      <w:proofErr w:type="spellEnd"/>
      <w:r w:rsidR="00246D39" w:rsidRPr="00246D39">
        <w:rPr>
          <w:rFonts w:ascii="Arial" w:eastAsia="Times New Roman" w:hAnsi="Arial" w:cs="Arial"/>
          <w:color w:val="000000"/>
          <w:sz w:val="20"/>
          <w:szCs w:val="20"/>
          <w:lang w:eastAsia="de-DE"/>
        </w:rPr>
        <w:t xml:space="preserve"> </w:t>
      </w:r>
      <w:r w:rsidR="00246D39" w:rsidRPr="00246D39">
        <w:rPr>
          <w:rFonts w:ascii="Arial" w:eastAsia="Times New Roman" w:hAnsi="Arial" w:cs="Arial"/>
          <w:color w:val="000000"/>
          <w:sz w:val="20"/>
          <w:szCs w:val="20"/>
          <w:lang w:eastAsia="de-DE"/>
        </w:rPr>
        <w:lastRenderedPageBreak/>
        <w:t>grains.</w:t>
      </w:r>
      <w:r w:rsidR="00246D39" w:rsidRPr="00246D39">
        <w:rPr>
          <w:rFonts w:ascii="Arial" w:eastAsia="Times New Roman" w:hAnsi="Arial" w:cs="Arial"/>
          <w:color w:val="000000"/>
          <w:sz w:val="20"/>
          <w:szCs w:val="20"/>
          <w:lang w:eastAsia="de-DE"/>
        </w:rPr>
        <w:fldChar w:fldCharType="begin" w:fldLock="1"/>
      </w:r>
      <w:r w:rsidR="00AC7EF1">
        <w:rPr>
          <w:rFonts w:ascii="Arial" w:eastAsia="Times New Roman" w:hAnsi="Arial" w:cs="Arial"/>
          <w:color w:val="000000"/>
          <w:sz w:val="20"/>
          <w:szCs w:val="20"/>
          <w:lang w:eastAsia="de-DE"/>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sidR="00246D39" w:rsidRPr="00246D39">
        <w:rPr>
          <w:rFonts w:ascii="Arial" w:eastAsia="Times New Roman" w:hAnsi="Arial" w:cs="Arial"/>
          <w:color w:val="000000"/>
          <w:sz w:val="20"/>
          <w:szCs w:val="20"/>
          <w:lang w:eastAsia="de-DE"/>
        </w:rPr>
        <w:fldChar w:fldCharType="separate"/>
      </w:r>
      <w:r w:rsidR="002D1C4E" w:rsidRPr="002D1C4E">
        <w:rPr>
          <w:rFonts w:ascii="Arial" w:eastAsia="Times New Roman" w:hAnsi="Arial" w:cs="Arial"/>
          <w:noProof/>
          <w:color w:val="000000"/>
          <w:sz w:val="20"/>
          <w:szCs w:val="20"/>
          <w:vertAlign w:val="superscript"/>
          <w:lang w:eastAsia="de-DE"/>
        </w:rPr>
        <w:t>8</w:t>
      </w:r>
      <w:r w:rsidR="00246D39" w:rsidRPr="00246D39">
        <w:rPr>
          <w:rFonts w:ascii="Arial" w:eastAsia="Times New Roman" w:hAnsi="Arial" w:cs="Arial"/>
          <w:color w:val="000000"/>
          <w:sz w:val="20"/>
          <w:szCs w:val="20"/>
          <w:lang w:eastAsia="de-DE"/>
        </w:rPr>
        <w:fldChar w:fldCharType="end"/>
      </w:r>
      <w:r w:rsidR="00246D39" w:rsidRPr="00246D39">
        <w:rPr>
          <w:rFonts w:ascii="Arial" w:eastAsia="Times New Roman" w:hAnsi="Arial" w:cs="Arial"/>
          <w:color w:val="000000"/>
          <w:sz w:val="20"/>
          <w:szCs w:val="20"/>
          <w:lang w:eastAsia="de-DE"/>
        </w:rPr>
        <w:t xml:space="preserve"> In general, it was found a lower surface roughness of the bottom electrode results in a lower leakage current.</w:t>
      </w:r>
      <w:r w:rsidR="00246D39">
        <w:rPr>
          <w:rFonts w:ascii="Arial" w:hAnsi="Arial" w:cs="Arial"/>
          <w:sz w:val="20"/>
          <w:szCs w:val="20"/>
        </w:rPr>
        <w:t xml:space="preserve"> </w:t>
      </w:r>
      <w:r w:rsidR="00364D78">
        <w:rPr>
          <w:rFonts w:ascii="Arial" w:hAnsi="Arial" w:cs="Arial"/>
          <w:bCs/>
          <w:color w:val="000000" w:themeColor="text1"/>
          <w:sz w:val="20"/>
          <w:szCs w:val="20"/>
        </w:rPr>
        <w:t>A</w:t>
      </w:r>
      <w:r w:rsidR="00246D39" w:rsidRPr="00246D39">
        <w:rPr>
          <w:rFonts w:ascii="Arial" w:hAnsi="Arial" w:cs="Arial"/>
          <w:bCs/>
          <w:color w:val="000000" w:themeColor="text1"/>
          <w:sz w:val="20"/>
          <w:szCs w:val="20"/>
        </w:rPr>
        <w:t xml:space="preserve">ll samples </w:t>
      </w:r>
      <w:r w:rsidR="00364D78">
        <w:rPr>
          <w:rFonts w:ascii="Arial" w:hAnsi="Arial" w:cs="Arial"/>
          <w:bCs/>
          <w:color w:val="000000" w:themeColor="text1"/>
          <w:sz w:val="20"/>
          <w:szCs w:val="20"/>
        </w:rPr>
        <w:t>in the as-</w:t>
      </w:r>
      <w:r w:rsidR="00364D78" w:rsidRPr="00E43D2D">
        <w:rPr>
          <w:rFonts w:ascii="Arial" w:hAnsi="Arial" w:cs="Arial"/>
          <w:bCs/>
          <w:color w:val="000000" w:themeColor="text1"/>
          <w:sz w:val="20"/>
          <w:szCs w:val="20"/>
        </w:rPr>
        <w:t xml:space="preserve">deposited state </w:t>
      </w:r>
      <w:r w:rsidR="00246D39" w:rsidRPr="00E43D2D">
        <w:rPr>
          <w:rFonts w:ascii="Arial" w:hAnsi="Arial" w:cs="Arial"/>
          <w:bCs/>
          <w:color w:val="000000" w:themeColor="text1"/>
          <w:sz w:val="20"/>
          <w:szCs w:val="20"/>
        </w:rPr>
        <w:t xml:space="preserve">show similar </w:t>
      </w:r>
      <w:r w:rsidR="005638FC" w:rsidRPr="00E43D2D">
        <w:rPr>
          <w:rFonts w:ascii="Arial" w:hAnsi="Arial" w:cs="Arial"/>
          <w:sz w:val="20"/>
          <w:szCs w:val="20"/>
        </w:rPr>
        <w:t>d</w:t>
      </w:r>
      <w:proofErr w:type="gramStart"/>
      <w:r w:rsidR="005638FC" w:rsidRPr="00E43D2D">
        <w:rPr>
          <w:rFonts w:ascii="Arial" w:hAnsi="Arial" w:cs="Arial"/>
          <w:sz w:val="20"/>
          <w:szCs w:val="20"/>
          <w:vertAlign w:val="subscript"/>
        </w:rPr>
        <w:t>33,f</w:t>
      </w:r>
      <w:proofErr w:type="gramEnd"/>
      <w:r w:rsidR="005638FC" w:rsidRPr="00E43D2D">
        <w:rPr>
          <w:rFonts w:ascii="Arial" w:hAnsi="Arial" w:cs="Arial"/>
          <w:sz w:val="20"/>
          <w:szCs w:val="20"/>
        </w:rPr>
        <w:t>,</w:t>
      </w:r>
      <w:r w:rsidR="005638FC" w:rsidRPr="00E43D2D">
        <w:rPr>
          <w:rFonts w:ascii="Arial" w:hAnsi="Arial" w:cs="Arial"/>
          <w:sz w:val="20"/>
          <w:szCs w:val="20"/>
          <w:vertAlign w:val="subscript"/>
        </w:rPr>
        <w:t xml:space="preserve">  </w:t>
      </w:r>
      <w:r w:rsidR="00246D39" w:rsidRPr="00E43D2D">
        <w:rPr>
          <w:rFonts w:ascii="Arial" w:hAnsi="Arial" w:cs="Arial"/>
          <w:bCs/>
          <w:color w:val="000000" w:themeColor="text1"/>
          <w:sz w:val="20"/>
          <w:szCs w:val="20"/>
        </w:rPr>
        <w:t>values</w:t>
      </w:r>
      <w:r w:rsidR="00364D78" w:rsidRPr="00E43D2D">
        <w:rPr>
          <w:rFonts w:ascii="Arial" w:hAnsi="Arial" w:cs="Arial"/>
          <w:bCs/>
          <w:color w:val="000000" w:themeColor="text1"/>
          <w:sz w:val="20"/>
          <w:szCs w:val="20"/>
        </w:rPr>
        <w:t xml:space="preserve"> and expected linear polarization behavior. In agreement with other studies,</w:t>
      </w:r>
      <w:r w:rsidR="00364D78" w:rsidRPr="00E43D2D">
        <w:rPr>
          <w:rFonts w:ascii="Arial" w:hAnsi="Arial" w:cs="Arial"/>
          <w:sz w:val="20"/>
          <w:szCs w:val="20"/>
        </w:rPr>
        <w:fldChar w:fldCharType="begin" w:fldLock="1"/>
      </w:r>
      <w:r w:rsidR="00364D78" w:rsidRPr="00E43D2D">
        <w:rPr>
          <w:rFonts w:ascii="Arial" w:hAnsi="Arial" w:cs="Arial"/>
          <w:sz w:val="20"/>
          <w:szCs w:val="20"/>
        </w:rPr>
        <w:instrText>ADDIN CSL_CITATION {"citationItems":[{"id":"ITEM-1","itemData":{"author":[{"dropping-particle":"","family":"Tong","given":"Bei","non-dropping-particle":"","parse-names":false,"suffix":""},{"dropping-particle":"","family":"Yang","given":"Xiaofei","non-dropping-particle":"","parse-names":false,"suffix":""},{"dropping-particle":"","family":"Guo","given":"Zhe","non-dropping-particle":"","parse-names":false,"suffix":""},{"dropping-particle":"","family":"Li","given":"Kun","non-dropping-particle":"","parse-names":false,"suffix":""},{"dropping-particle":"","family":"Ouyang","given":"Jun","non-dropping-particle":"","parse-names":false,"suffix":""},{"dropping-particle":"","family":"Lin","given":"Gengqi","non-dropping-particle":"","parse-names":false,"suffix":""},{"dropping-particle":"","family":"Chen","given":"Shi","non-dropping-particle":"","parse-names":false,"suffix":""}],"container-title":"Ceramics International","id":"ITEM-1","issue":"6","issued":{"date-parts":[["2013"]]},"page":"6853-6859","publisher":"Elsevier","title":"Preparation and characterization of AlN/FeCoSiB magnetoelectric thin film composites","type":"article-journal","volume":"39"},"uris":["http://www.mendeley.com/documents/?uuid=a28871cc-aa56-48d0-9d0d-c41954c56dbe"]}],"mendeley":{"formattedCitation":"&lt;sup&gt;10&lt;/sup&gt;","plainTextFormattedCitation":"10","previouslyFormattedCitation":"&lt;sup&gt;10&lt;/sup&gt;"},"properties":{"noteIndex":0},"schema":"https://github.com/citation-style-language/schema/raw/master/csl-citation.json"}</w:instrText>
      </w:r>
      <w:r w:rsidR="00364D78" w:rsidRPr="00E43D2D">
        <w:rPr>
          <w:rFonts w:ascii="Arial" w:hAnsi="Arial" w:cs="Arial"/>
          <w:sz w:val="20"/>
          <w:szCs w:val="20"/>
        </w:rPr>
        <w:fldChar w:fldCharType="separate"/>
      </w:r>
      <w:r w:rsidR="00364D78" w:rsidRPr="00E43D2D">
        <w:rPr>
          <w:rFonts w:ascii="Arial" w:hAnsi="Arial" w:cs="Arial"/>
          <w:noProof/>
          <w:sz w:val="20"/>
          <w:szCs w:val="20"/>
          <w:vertAlign w:val="superscript"/>
        </w:rPr>
        <w:t>10</w:t>
      </w:r>
      <w:r w:rsidR="00364D78" w:rsidRPr="00E43D2D">
        <w:rPr>
          <w:rFonts w:ascii="Arial" w:hAnsi="Arial" w:cs="Arial"/>
          <w:sz w:val="20"/>
          <w:szCs w:val="20"/>
        </w:rPr>
        <w:fldChar w:fldCharType="end"/>
      </w:r>
      <w:r w:rsidR="00364D78" w:rsidRPr="00E43D2D">
        <w:rPr>
          <w:rFonts w:ascii="Arial" w:hAnsi="Arial" w:cs="Arial"/>
          <w:bCs/>
          <w:color w:val="000000" w:themeColor="text1"/>
          <w:sz w:val="20"/>
          <w:szCs w:val="20"/>
        </w:rPr>
        <w:t xml:space="preserve"> annealing </w:t>
      </w:r>
      <w:proofErr w:type="spellStart"/>
      <w:r w:rsidR="00364D78" w:rsidRPr="00E43D2D">
        <w:rPr>
          <w:rFonts w:ascii="Arial" w:hAnsi="Arial" w:cs="Arial"/>
          <w:bCs/>
          <w:color w:val="000000" w:themeColor="text1"/>
          <w:sz w:val="20"/>
          <w:szCs w:val="20"/>
        </w:rPr>
        <w:t>AlN</w:t>
      </w:r>
      <w:proofErr w:type="spellEnd"/>
      <w:r w:rsidR="00364D78" w:rsidRPr="00E43D2D">
        <w:rPr>
          <w:rFonts w:ascii="Arial" w:hAnsi="Arial" w:cs="Arial"/>
          <w:bCs/>
          <w:color w:val="000000" w:themeColor="text1"/>
          <w:sz w:val="20"/>
          <w:szCs w:val="20"/>
        </w:rPr>
        <w:t xml:space="preserve"> was found to improve the </w:t>
      </w:r>
      <w:r w:rsidR="00364D78" w:rsidRPr="00E43D2D">
        <w:rPr>
          <w:rFonts w:ascii="Arial" w:hAnsi="Arial" w:cs="Arial"/>
          <w:sz w:val="20"/>
          <w:szCs w:val="20"/>
        </w:rPr>
        <w:t>d</w:t>
      </w:r>
      <w:r w:rsidR="00364D78" w:rsidRPr="00E43D2D">
        <w:rPr>
          <w:rFonts w:ascii="Arial" w:hAnsi="Arial" w:cs="Arial"/>
          <w:sz w:val="20"/>
          <w:szCs w:val="20"/>
          <w:vertAlign w:val="subscript"/>
        </w:rPr>
        <w:t>33,f</w:t>
      </w:r>
      <w:r w:rsidR="00364D78" w:rsidRPr="00E43D2D">
        <w:rPr>
          <w:rFonts w:ascii="Arial" w:hAnsi="Arial" w:cs="Arial"/>
          <w:sz w:val="20"/>
          <w:szCs w:val="20"/>
        </w:rPr>
        <w:t>,</w:t>
      </w:r>
      <w:r w:rsidR="00364D78" w:rsidRPr="00E43D2D">
        <w:rPr>
          <w:rFonts w:ascii="Arial" w:hAnsi="Arial" w:cs="Arial"/>
          <w:sz w:val="20"/>
          <w:szCs w:val="20"/>
          <w:vertAlign w:val="subscript"/>
        </w:rPr>
        <w:t xml:space="preserve">  </w:t>
      </w:r>
      <w:r w:rsidR="00364D78" w:rsidRPr="00E43D2D">
        <w:rPr>
          <w:rFonts w:ascii="Arial" w:hAnsi="Arial" w:cs="Arial"/>
          <w:bCs/>
          <w:color w:val="000000" w:themeColor="text1"/>
          <w:sz w:val="20"/>
          <w:szCs w:val="20"/>
        </w:rPr>
        <w:t>values</w:t>
      </w:r>
      <w:r w:rsidRPr="00E43D2D">
        <w:rPr>
          <w:rFonts w:ascii="Arial" w:hAnsi="Arial" w:cs="Arial"/>
          <w:bCs/>
          <w:color w:val="000000" w:themeColor="text1"/>
          <w:sz w:val="20"/>
          <w:szCs w:val="20"/>
        </w:rPr>
        <w:t>.</w:t>
      </w:r>
      <w:r w:rsidR="00364D78" w:rsidRPr="00E43D2D">
        <w:rPr>
          <w:rFonts w:ascii="Arial" w:hAnsi="Arial" w:cs="Arial"/>
          <w:bCs/>
          <w:color w:val="000000" w:themeColor="text1"/>
          <w:sz w:val="20"/>
          <w:szCs w:val="20"/>
        </w:rPr>
        <w:t xml:space="preserve"> However, upon annealing all samples, an open polarization loop is obtained which </w:t>
      </w:r>
      <w:r w:rsidRPr="00E43D2D">
        <w:rPr>
          <w:rFonts w:ascii="Arial" w:hAnsi="Arial" w:cs="Arial"/>
          <w:bCs/>
          <w:color w:val="000000" w:themeColor="text1"/>
          <w:sz w:val="20"/>
          <w:szCs w:val="20"/>
        </w:rPr>
        <w:t xml:space="preserve">generally </w:t>
      </w:r>
      <w:r w:rsidR="00364D78" w:rsidRPr="00E43D2D">
        <w:rPr>
          <w:rFonts w:ascii="Arial" w:hAnsi="Arial" w:cs="Arial"/>
          <w:bCs/>
          <w:color w:val="000000" w:themeColor="text1"/>
          <w:sz w:val="20"/>
          <w:szCs w:val="20"/>
        </w:rPr>
        <w:t xml:space="preserve">indicates </w:t>
      </w:r>
      <w:r w:rsidRPr="00E43D2D">
        <w:rPr>
          <w:rFonts w:ascii="Arial" w:hAnsi="Arial" w:cs="Arial"/>
          <w:bCs/>
          <w:color w:val="000000" w:themeColor="text1"/>
          <w:sz w:val="20"/>
          <w:szCs w:val="20"/>
        </w:rPr>
        <w:t xml:space="preserve">a larger leakage current and higher resistive losses. </w:t>
      </w:r>
      <w:r w:rsidR="00364D78" w:rsidRPr="00E43D2D">
        <w:rPr>
          <w:rFonts w:ascii="Arial" w:hAnsi="Arial" w:cs="Arial"/>
          <w:bCs/>
          <w:color w:val="000000" w:themeColor="text1"/>
          <w:sz w:val="20"/>
          <w:szCs w:val="20"/>
        </w:rPr>
        <w:t xml:space="preserve">The polarization behavior shown in Figure </w:t>
      </w:r>
      <w:r w:rsidRPr="00E43D2D">
        <w:rPr>
          <w:rFonts w:ascii="Arial" w:hAnsi="Arial" w:cs="Arial"/>
          <w:bCs/>
          <w:color w:val="000000" w:themeColor="text1"/>
          <w:sz w:val="20"/>
          <w:szCs w:val="20"/>
        </w:rPr>
        <w:t>S3</w:t>
      </w:r>
      <w:r w:rsidR="00364D78" w:rsidRPr="00E43D2D">
        <w:rPr>
          <w:rFonts w:ascii="Arial" w:hAnsi="Arial" w:cs="Arial"/>
          <w:bCs/>
          <w:color w:val="000000" w:themeColor="text1"/>
          <w:sz w:val="20"/>
          <w:szCs w:val="20"/>
        </w:rPr>
        <w:t xml:space="preserve"> is similar to the behavior of </w:t>
      </w:r>
      <w:proofErr w:type="spellStart"/>
      <w:r w:rsidR="00364D78" w:rsidRPr="00E43D2D">
        <w:rPr>
          <w:rFonts w:ascii="Arial" w:hAnsi="Arial" w:cs="Arial"/>
          <w:bCs/>
          <w:color w:val="000000" w:themeColor="text1"/>
          <w:sz w:val="20"/>
          <w:szCs w:val="20"/>
        </w:rPr>
        <w:t>AlN</w:t>
      </w:r>
      <w:proofErr w:type="spellEnd"/>
      <w:r w:rsidR="00364D78" w:rsidRPr="00E43D2D">
        <w:rPr>
          <w:rFonts w:ascii="Arial" w:hAnsi="Arial" w:cs="Arial"/>
          <w:bCs/>
          <w:color w:val="000000" w:themeColor="text1"/>
          <w:sz w:val="20"/>
          <w:szCs w:val="20"/>
        </w:rPr>
        <w:t xml:space="preserve"> grown on </w:t>
      </w:r>
      <w:proofErr w:type="spellStart"/>
      <w:r w:rsidR="00364D78" w:rsidRPr="00E43D2D">
        <w:rPr>
          <w:rFonts w:ascii="Arial" w:hAnsi="Arial" w:cs="Arial"/>
          <w:bCs/>
          <w:color w:val="000000" w:themeColor="text1"/>
          <w:sz w:val="20"/>
          <w:szCs w:val="20"/>
        </w:rPr>
        <w:t>Ti</w:t>
      </w:r>
      <w:proofErr w:type="spellEnd"/>
      <w:r w:rsidR="00364D78" w:rsidRPr="00E43D2D">
        <w:rPr>
          <w:rFonts w:ascii="Arial" w:hAnsi="Arial" w:cs="Arial"/>
          <w:bCs/>
          <w:color w:val="000000" w:themeColor="text1"/>
          <w:sz w:val="20"/>
          <w:szCs w:val="20"/>
        </w:rPr>
        <w:t>, Pt, and Al electrode</w:t>
      </w:r>
      <w:r w:rsidRPr="00E43D2D">
        <w:rPr>
          <w:rFonts w:ascii="Arial" w:hAnsi="Arial" w:cs="Arial"/>
          <w:bCs/>
          <w:color w:val="000000" w:themeColor="text1"/>
          <w:sz w:val="20"/>
          <w:szCs w:val="20"/>
        </w:rPr>
        <w:t>s</w:t>
      </w:r>
      <w:r w:rsidR="003B3AF7">
        <w:rPr>
          <w:rFonts w:ascii="Arial" w:hAnsi="Arial" w:cs="Arial"/>
          <w:bCs/>
          <w:color w:val="000000" w:themeColor="text1"/>
          <w:sz w:val="20"/>
          <w:szCs w:val="20"/>
        </w:rPr>
        <w:t>.</w:t>
      </w:r>
      <w:r w:rsidRPr="00E43D2D">
        <w:rPr>
          <w:rFonts w:ascii="Arial" w:hAnsi="Arial" w:cs="Arial"/>
          <w:bCs/>
          <w:color w:val="000000" w:themeColor="text1"/>
          <w:sz w:val="20"/>
          <w:szCs w:val="20"/>
        </w:rPr>
        <w:fldChar w:fldCharType="begin" w:fldLock="1"/>
      </w:r>
      <w:r w:rsidR="002C73B9">
        <w:rPr>
          <w:rFonts w:ascii="Arial" w:hAnsi="Arial" w:cs="Arial"/>
          <w:bCs/>
          <w:color w:val="000000" w:themeColor="text1"/>
          <w:sz w:val="20"/>
          <w:szCs w:val="20"/>
        </w:rPr>
        <w:instrText>ADDIN CSL_CITATION {"citationItems":[{"id":"ITEM-1","itemData":{"author":[{"dropping-particle":"","family":"Pawar","given":"Shuvam","non-dropping-particle":"","parse-names":false,"suffix":""},{"dropping-particle":"","family":"Singh","given":"Kirandeep","non-dropping-particle":"","parse-names":false,"suffix":""},{"dropping-particle":"","family":"Sharma","given":"Shubham","non-dropping-particle":"","parse-names":false,"suffix":""},{"dropping-particle":"","family":"Pandey","given":"Akhilesh","non-dropping-particle":"","parse-names":false,"suffix":""},{"dropping-particle":"","family":"Dutta","given":"Shankar","non-dropping-particle":"","parse-names":false,"suffix":""},{"dropping-particle":"","family":"Kaur","given":"Davinder","non-dropping-particle":"","parse-names":false,"suffix":""}],"container-title":"Materials Chemistry and Physics","id":"ITEM-1","issued":{"date-parts":[["2018"]]},"page":"74-81","publisher":"Elsevier","title":"Growth assessment and scrutinize dielectric reliability of c-axis oriented insulating AlN thin films in MIM structures for microelectronics applications","type":"article-journal","volume":"219"},"uris":["http://www.mendeley.com/documents/?uuid=6396bca1-0f2f-4f2e-95fb-8e49e254aaff"]}],"mendeley":{"formattedCitation":"&lt;sup&gt;8&lt;/sup&gt;","plainTextFormattedCitation":"8","previouslyFormattedCitation":"&lt;sup&gt;8&lt;/sup&gt;"},"properties":{"noteIndex":0},"schema":"https://github.com/citation-style-language/schema/raw/master/csl-citation.json"}</w:instrText>
      </w:r>
      <w:r w:rsidRPr="00E43D2D">
        <w:rPr>
          <w:rFonts w:ascii="Arial" w:hAnsi="Arial" w:cs="Arial"/>
          <w:bCs/>
          <w:color w:val="000000" w:themeColor="text1"/>
          <w:sz w:val="20"/>
          <w:szCs w:val="20"/>
        </w:rPr>
        <w:fldChar w:fldCharType="separate"/>
      </w:r>
      <w:r w:rsidRPr="00E43D2D">
        <w:rPr>
          <w:rFonts w:ascii="Arial" w:hAnsi="Arial" w:cs="Arial"/>
          <w:bCs/>
          <w:noProof/>
          <w:color w:val="000000" w:themeColor="text1"/>
          <w:sz w:val="20"/>
          <w:szCs w:val="20"/>
          <w:vertAlign w:val="superscript"/>
        </w:rPr>
        <w:t>8</w:t>
      </w:r>
      <w:r w:rsidRPr="00E43D2D">
        <w:rPr>
          <w:rFonts w:ascii="Arial" w:hAnsi="Arial" w:cs="Arial"/>
          <w:bCs/>
          <w:color w:val="000000" w:themeColor="text1"/>
          <w:sz w:val="20"/>
          <w:szCs w:val="20"/>
        </w:rPr>
        <w:fldChar w:fldCharType="end"/>
      </w:r>
      <w:r w:rsidR="00364D78" w:rsidRPr="00E43D2D">
        <w:rPr>
          <w:rFonts w:ascii="Arial" w:hAnsi="Arial" w:cs="Arial"/>
          <w:bCs/>
          <w:color w:val="000000" w:themeColor="text1"/>
          <w:sz w:val="20"/>
          <w:szCs w:val="20"/>
        </w:rPr>
        <w:t xml:space="preserve"> These results prompted investigation of the interfaces to correlate microstructure changes to the electrical and structural properties of </w:t>
      </w:r>
      <w:proofErr w:type="spellStart"/>
      <w:r w:rsidR="00364D78" w:rsidRPr="00E43D2D">
        <w:rPr>
          <w:rFonts w:ascii="Arial" w:hAnsi="Arial" w:cs="Arial"/>
          <w:bCs/>
          <w:color w:val="000000" w:themeColor="text1"/>
          <w:sz w:val="20"/>
          <w:szCs w:val="20"/>
        </w:rPr>
        <w:t>AlN</w:t>
      </w:r>
      <w:proofErr w:type="spellEnd"/>
      <w:r w:rsidR="00364D78" w:rsidRPr="00E43D2D">
        <w:rPr>
          <w:rFonts w:ascii="Arial" w:hAnsi="Arial" w:cs="Arial"/>
          <w:bCs/>
          <w:color w:val="000000" w:themeColor="text1"/>
          <w:sz w:val="20"/>
          <w:szCs w:val="20"/>
        </w:rPr>
        <w:t>.</w:t>
      </w:r>
      <w:r w:rsidR="003B3AF7">
        <w:rPr>
          <w:rFonts w:ascii="Arial" w:hAnsi="Arial" w:cs="Arial"/>
          <w:bCs/>
          <w:color w:val="000000" w:themeColor="text1"/>
          <w:sz w:val="20"/>
          <w:szCs w:val="20"/>
        </w:rPr>
        <w:t xml:space="preserve"> F</w:t>
      </w:r>
      <w:r w:rsidR="003B3AF7" w:rsidRPr="00E43D2D">
        <w:rPr>
          <w:rFonts w:ascii="Arial" w:hAnsi="Arial" w:cs="Arial"/>
          <w:bCs/>
          <w:color w:val="000000" w:themeColor="text1"/>
          <w:sz w:val="20"/>
          <w:szCs w:val="20"/>
        </w:rPr>
        <w:t xml:space="preserve">uture studies should consider a more in-depth analysis of the underlying SMA effects on the electric properties of sputtered </w:t>
      </w:r>
      <w:proofErr w:type="spellStart"/>
      <w:r w:rsidR="003B3AF7" w:rsidRPr="00E43D2D">
        <w:rPr>
          <w:rFonts w:ascii="Arial" w:hAnsi="Arial" w:cs="Arial"/>
          <w:bCs/>
          <w:color w:val="000000" w:themeColor="text1"/>
          <w:sz w:val="20"/>
          <w:szCs w:val="20"/>
        </w:rPr>
        <w:t>AlN</w:t>
      </w:r>
      <w:proofErr w:type="spellEnd"/>
      <w:r w:rsidR="003B3AF7" w:rsidRPr="00E43D2D">
        <w:rPr>
          <w:rFonts w:ascii="Arial" w:hAnsi="Arial" w:cs="Arial"/>
          <w:bCs/>
          <w:color w:val="000000" w:themeColor="text1"/>
          <w:sz w:val="20"/>
          <w:szCs w:val="20"/>
        </w:rPr>
        <w:t xml:space="preserve"> films.</w:t>
      </w:r>
    </w:p>
    <w:p w14:paraId="60EFCBA3" w14:textId="38CF06B6" w:rsidR="00246D39" w:rsidRDefault="00246D39" w:rsidP="00841634">
      <w:pPr>
        <w:spacing w:line="480" w:lineRule="auto"/>
        <w:ind w:firstLine="720"/>
        <w:jc w:val="both"/>
        <w:rPr>
          <w:rFonts w:ascii="Arial" w:hAnsi="Arial" w:cs="Arial"/>
          <w:sz w:val="20"/>
          <w:szCs w:val="20"/>
        </w:rPr>
      </w:pPr>
    </w:p>
    <w:p w14:paraId="79415765" w14:textId="145C9DAB" w:rsidR="00246D39" w:rsidRPr="00246D39" w:rsidRDefault="003B3AF7" w:rsidP="00841634">
      <w:pPr>
        <w:spacing w:line="480" w:lineRule="auto"/>
        <w:rPr>
          <w:rFonts w:ascii="Arial" w:hAnsi="Arial" w:cs="Arial"/>
          <w:sz w:val="20"/>
          <w:szCs w:val="20"/>
        </w:rPr>
      </w:pPr>
      <w:r>
        <w:rPr>
          <w:rFonts w:ascii="Arial" w:hAnsi="Arial" w:cs="Arial"/>
          <w:noProof/>
          <w:sz w:val="20"/>
          <w:szCs w:val="20"/>
          <w:lang w:val="de-DE" w:eastAsia="de-DE"/>
        </w:rPr>
        <w:drawing>
          <wp:inline distT="0" distB="0" distL="0" distR="0" wp14:anchorId="40195C26" wp14:editId="7ED199E5">
            <wp:extent cx="5845629" cy="2831008"/>
            <wp:effectExtent l="0" t="0" r="3175" b="762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S3 DBLI.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9315" cy="2832793"/>
                    </a:xfrm>
                    <a:prstGeom prst="rect">
                      <a:avLst/>
                    </a:prstGeom>
                  </pic:spPr>
                </pic:pic>
              </a:graphicData>
            </a:graphic>
          </wp:inline>
        </w:drawing>
      </w:r>
    </w:p>
    <w:p w14:paraId="239BBC45" w14:textId="5633D9A0" w:rsidR="00246D39" w:rsidRPr="00246D39" w:rsidRDefault="00246D39" w:rsidP="00841634">
      <w:pPr>
        <w:spacing w:line="480" w:lineRule="auto"/>
        <w:jc w:val="both"/>
        <w:rPr>
          <w:rFonts w:ascii="Arial" w:eastAsiaTheme="minorEastAsia" w:hAnsi="Arial" w:cs="Arial"/>
          <w:sz w:val="20"/>
          <w:szCs w:val="20"/>
        </w:rPr>
      </w:pPr>
      <w:r w:rsidRPr="00246D39">
        <w:rPr>
          <w:rFonts w:ascii="Arial" w:eastAsiaTheme="minorEastAsia" w:hAnsi="Arial" w:cs="Arial"/>
          <w:b/>
          <w:bCs/>
          <w:sz w:val="20"/>
          <w:szCs w:val="20"/>
        </w:rPr>
        <w:t>Figure S3:</w:t>
      </w:r>
      <w:r w:rsidRPr="00246D39">
        <w:rPr>
          <w:rFonts w:ascii="Arial" w:eastAsiaTheme="minorEastAsia" w:hAnsi="Arial" w:cs="Arial"/>
          <w:sz w:val="20"/>
          <w:szCs w:val="20"/>
        </w:rPr>
        <w:t xml:space="preserve"> </w:t>
      </w:r>
      <w:bookmarkStart w:id="13" w:name="_Hlk26958125"/>
      <w:r w:rsidRPr="00246D39">
        <w:rPr>
          <w:rFonts w:ascii="Arial" w:eastAsiaTheme="minorEastAsia" w:hAnsi="Arial" w:cs="Arial"/>
          <w:sz w:val="20"/>
          <w:szCs w:val="20"/>
        </w:rPr>
        <w:t xml:space="preserve">Polarization and displacement curves obtained from DBLI measurements at 100V. Samples 1, 2, and 3 </w:t>
      </w:r>
      <w:r w:rsidR="00E43D2D" w:rsidRPr="00246D39">
        <w:rPr>
          <w:rFonts w:ascii="Arial" w:eastAsiaTheme="minorEastAsia" w:hAnsi="Arial" w:cs="Arial"/>
          <w:sz w:val="20"/>
          <w:szCs w:val="20"/>
        </w:rPr>
        <w:t>(a</w:t>
      </w:r>
      <w:r w:rsidR="00E43D2D">
        <w:rPr>
          <w:rFonts w:ascii="Arial" w:eastAsiaTheme="minorEastAsia" w:hAnsi="Arial" w:cs="Arial"/>
          <w:sz w:val="20"/>
          <w:szCs w:val="20"/>
        </w:rPr>
        <w:t>-</w:t>
      </w:r>
      <w:r w:rsidR="00E43D2D" w:rsidRPr="00246D39">
        <w:rPr>
          <w:rFonts w:ascii="Arial" w:eastAsiaTheme="minorEastAsia" w:hAnsi="Arial" w:cs="Arial"/>
          <w:sz w:val="20"/>
          <w:szCs w:val="20"/>
        </w:rPr>
        <w:t>c)</w:t>
      </w:r>
      <w:r w:rsidR="00E43D2D">
        <w:rPr>
          <w:rFonts w:ascii="Arial" w:eastAsiaTheme="minorEastAsia" w:hAnsi="Arial" w:cs="Arial"/>
          <w:sz w:val="20"/>
          <w:szCs w:val="20"/>
        </w:rPr>
        <w:t xml:space="preserve"> in</w:t>
      </w:r>
      <w:r w:rsidR="00E43D2D" w:rsidRPr="00246D39">
        <w:rPr>
          <w:rFonts w:ascii="Arial" w:eastAsiaTheme="minorEastAsia" w:hAnsi="Arial" w:cs="Arial"/>
          <w:sz w:val="20"/>
          <w:szCs w:val="20"/>
        </w:rPr>
        <w:t xml:space="preserve"> </w:t>
      </w:r>
      <w:r w:rsidR="00E43D2D">
        <w:rPr>
          <w:rFonts w:ascii="Arial" w:eastAsiaTheme="minorEastAsia" w:hAnsi="Arial" w:cs="Arial"/>
          <w:sz w:val="20"/>
          <w:szCs w:val="20"/>
        </w:rPr>
        <w:t xml:space="preserve">the </w:t>
      </w:r>
      <w:r w:rsidRPr="00246D39">
        <w:rPr>
          <w:rFonts w:ascii="Arial" w:eastAsiaTheme="minorEastAsia" w:hAnsi="Arial" w:cs="Arial"/>
          <w:sz w:val="20"/>
          <w:szCs w:val="20"/>
        </w:rPr>
        <w:t xml:space="preserve">as-deposited </w:t>
      </w:r>
      <w:bookmarkEnd w:id="13"/>
      <w:r w:rsidR="00E43D2D">
        <w:rPr>
          <w:rFonts w:ascii="Arial" w:eastAsiaTheme="minorEastAsia" w:hAnsi="Arial" w:cs="Arial"/>
          <w:sz w:val="20"/>
          <w:szCs w:val="20"/>
        </w:rPr>
        <w:t xml:space="preserve">state </w:t>
      </w:r>
      <w:r w:rsidRPr="00246D39">
        <w:rPr>
          <w:rFonts w:ascii="Arial" w:eastAsiaTheme="minorEastAsia" w:hAnsi="Arial" w:cs="Arial"/>
          <w:sz w:val="20"/>
          <w:szCs w:val="20"/>
        </w:rPr>
        <w:t>and</w:t>
      </w:r>
      <w:r w:rsidR="00E43D2D">
        <w:rPr>
          <w:rFonts w:ascii="Arial" w:eastAsiaTheme="minorEastAsia" w:hAnsi="Arial" w:cs="Arial"/>
          <w:sz w:val="20"/>
          <w:szCs w:val="20"/>
        </w:rPr>
        <w:t xml:space="preserve"> (d-f)</w:t>
      </w:r>
      <w:r w:rsidRPr="00246D39">
        <w:rPr>
          <w:rFonts w:ascii="Arial" w:eastAsiaTheme="minorEastAsia" w:hAnsi="Arial" w:cs="Arial"/>
          <w:sz w:val="20"/>
          <w:szCs w:val="20"/>
        </w:rPr>
        <w:t xml:space="preserve"> after rapid thermal annealing (RTA)</w:t>
      </w:r>
      <w:r w:rsidR="00E43D2D">
        <w:rPr>
          <w:rFonts w:ascii="Arial" w:eastAsiaTheme="minorEastAsia" w:hAnsi="Arial" w:cs="Arial"/>
          <w:sz w:val="20"/>
          <w:szCs w:val="20"/>
        </w:rPr>
        <w:t>.</w:t>
      </w:r>
      <w:r w:rsidRPr="00246D39">
        <w:rPr>
          <w:rFonts w:ascii="Arial" w:eastAsiaTheme="minorEastAsia" w:hAnsi="Arial" w:cs="Arial"/>
          <w:sz w:val="20"/>
          <w:szCs w:val="20"/>
        </w:rPr>
        <w:t xml:space="preserve"> </w:t>
      </w:r>
    </w:p>
    <w:p w14:paraId="1DA2FF2B" w14:textId="08048D21" w:rsidR="00B2432F" w:rsidRDefault="00B2432F" w:rsidP="00841634">
      <w:pPr>
        <w:spacing w:line="480" w:lineRule="auto"/>
      </w:pPr>
    </w:p>
    <w:p w14:paraId="31A6D852" w14:textId="68C59781" w:rsidR="00FE6F3C" w:rsidRDefault="00FE6F3C" w:rsidP="00841634">
      <w:pPr>
        <w:spacing w:line="480" w:lineRule="auto"/>
      </w:pPr>
    </w:p>
    <w:p w14:paraId="7F522845" w14:textId="77777777" w:rsidR="00FE6F3C" w:rsidRDefault="00FE6F3C" w:rsidP="00841634">
      <w:pPr>
        <w:spacing w:line="480" w:lineRule="auto"/>
      </w:pPr>
    </w:p>
    <w:p w14:paraId="6F951696" w14:textId="7471A3C5" w:rsidR="00985C99" w:rsidRDefault="00985C99" w:rsidP="00841634">
      <w:pPr>
        <w:spacing w:line="480" w:lineRule="auto"/>
        <w:jc w:val="both"/>
        <w:rPr>
          <w:rFonts w:ascii="Arial" w:hAnsi="Arial" w:cs="Arial"/>
          <w:b/>
          <w:color w:val="8B2F57"/>
          <w:sz w:val="24"/>
          <w:szCs w:val="24"/>
        </w:rPr>
      </w:pPr>
      <w:r>
        <w:rPr>
          <w:rFonts w:ascii="Arial" w:hAnsi="Arial" w:cs="Arial"/>
          <w:b/>
          <w:color w:val="8B2F57"/>
          <w:sz w:val="24"/>
          <w:szCs w:val="24"/>
        </w:rPr>
        <w:lastRenderedPageBreak/>
        <w:t>V: Mic</w:t>
      </w:r>
      <w:r w:rsidR="00F30BF5">
        <w:rPr>
          <w:rFonts w:ascii="Arial" w:hAnsi="Arial" w:cs="Arial"/>
          <w:b/>
          <w:color w:val="8B2F57"/>
          <w:sz w:val="24"/>
          <w:szCs w:val="24"/>
        </w:rPr>
        <w:t>r</w:t>
      </w:r>
      <w:r>
        <w:rPr>
          <w:rFonts w:ascii="Arial" w:hAnsi="Arial" w:cs="Arial"/>
          <w:b/>
          <w:color w:val="8B2F57"/>
          <w:sz w:val="24"/>
          <w:szCs w:val="24"/>
        </w:rPr>
        <w:t xml:space="preserve">o-structural characterization of SMA ME composites </w:t>
      </w:r>
    </w:p>
    <w:p w14:paraId="3C6278F3" w14:textId="5092740B" w:rsidR="00B16AC0" w:rsidRPr="00B16AC0" w:rsidRDefault="00B16AC0" w:rsidP="00841634">
      <w:pPr>
        <w:spacing w:line="480" w:lineRule="auto"/>
        <w:jc w:val="both"/>
        <w:rPr>
          <w:rFonts w:ascii="Arial" w:hAnsi="Arial" w:cs="Arial"/>
          <w:b/>
          <w:color w:val="8B2F57"/>
          <w:sz w:val="20"/>
          <w:szCs w:val="20"/>
        </w:rPr>
      </w:pPr>
      <w:r w:rsidRPr="00B2432F">
        <w:rPr>
          <w:rFonts w:ascii="Arial" w:hAnsi="Arial" w:cs="Arial"/>
          <w:b/>
          <w:color w:val="8B2F57"/>
          <w:sz w:val="20"/>
          <w:szCs w:val="20"/>
        </w:rPr>
        <w:t xml:space="preserve">A. </w:t>
      </w:r>
      <w:r>
        <w:rPr>
          <w:rFonts w:ascii="Arial" w:hAnsi="Arial" w:cs="Arial"/>
          <w:b/>
          <w:i/>
          <w:iCs/>
          <w:color w:val="8B2F57"/>
          <w:sz w:val="20"/>
          <w:szCs w:val="20"/>
        </w:rPr>
        <w:t>In-Situ</w:t>
      </w:r>
      <w:r>
        <w:rPr>
          <w:rFonts w:ascii="Arial" w:hAnsi="Arial" w:cs="Arial"/>
          <w:b/>
          <w:color w:val="8B2F57"/>
          <w:sz w:val="20"/>
          <w:szCs w:val="20"/>
        </w:rPr>
        <w:t xml:space="preserve"> Temperature Dependent TEM:</w:t>
      </w:r>
    </w:p>
    <w:p w14:paraId="7781FCD7" w14:textId="2F012EB6" w:rsidR="00B16AC0" w:rsidRPr="00B16AC0" w:rsidRDefault="00B16AC0" w:rsidP="00841634">
      <w:pPr>
        <w:spacing w:line="480" w:lineRule="auto"/>
        <w:ind w:firstLine="720"/>
        <w:jc w:val="both"/>
        <w:rPr>
          <w:rFonts w:ascii="Arial" w:hAnsi="Arial" w:cs="Arial"/>
          <w:sz w:val="20"/>
          <w:szCs w:val="20"/>
        </w:rPr>
      </w:pPr>
      <w:r w:rsidRPr="00B16AC0">
        <w:rPr>
          <w:rFonts w:ascii="Arial" w:hAnsi="Arial" w:cs="Arial"/>
          <w:sz w:val="20"/>
          <w:szCs w:val="20"/>
        </w:rPr>
        <w:t xml:space="preserve">The average structural transformation of the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film was investigated by heating the samples </w:t>
      </w:r>
      <w:r w:rsidRPr="00B16AC0">
        <w:rPr>
          <w:rFonts w:ascii="Arial" w:hAnsi="Arial" w:cs="Arial"/>
          <w:i/>
          <w:sz w:val="20"/>
          <w:szCs w:val="20"/>
        </w:rPr>
        <w:t>in-situ</w:t>
      </w:r>
      <w:r w:rsidRPr="00B16AC0">
        <w:rPr>
          <w:rFonts w:ascii="Arial" w:hAnsi="Arial" w:cs="Arial"/>
          <w:sz w:val="20"/>
          <w:szCs w:val="20"/>
        </w:rPr>
        <w:t xml:space="preserve"> to temperatures above the austenite finish temperature </w:t>
      </w:r>
      <w:proofErr w:type="spellStart"/>
      <w:r w:rsidRPr="00B16AC0">
        <w:rPr>
          <w:rFonts w:ascii="Arial" w:hAnsi="Arial" w:cs="Arial"/>
          <w:sz w:val="20"/>
          <w:szCs w:val="20"/>
        </w:rPr>
        <w:t>A</w:t>
      </w:r>
      <w:r w:rsidRPr="00B16AC0">
        <w:rPr>
          <w:rFonts w:ascii="Arial" w:hAnsi="Arial" w:cs="Arial"/>
          <w:sz w:val="20"/>
          <w:szCs w:val="20"/>
          <w:vertAlign w:val="subscript"/>
        </w:rPr>
        <w:t>f</w:t>
      </w:r>
      <w:proofErr w:type="spellEnd"/>
      <w:r w:rsidRPr="00B16AC0">
        <w:rPr>
          <w:rFonts w:ascii="Arial" w:hAnsi="Arial" w:cs="Arial"/>
          <w:sz w:val="20"/>
          <w:szCs w:val="20"/>
          <w:vertAlign w:val="subscript"/>
        </w:rPr>
        <w:t xml:space="preserve"> </w:t>
      </w:r>
      <w:r w:rsidRPr="00B16AC0">
        <w:rPr>
          <w:rFonts w:ascii="Arial" w:hAnsi="Arial" w:cs="Arial"/>
          <w:sz w:val="20"/>
          <w:szCs w:val="20"/>
        </w:rPr>
        <w:t>= 69 °C. The results are presented in Figure S</w:t>
      </w:r>
      <w:r w:rsidR="001C4DB0">
        <w:rPr>
          <w:rFonts w:ascii="Arial" w:hAnsi="Arial" w:cs="Arial"/>
          <w:sz w:val="20"/>
          <w:szCs w:val="20"/>
        </w:rPr>
        <w:t>4</w:t>
      </w:r>
      <w:r w:rsidRPr="00B16AC0">
        <w:rPr>
          <w:rFonts w:ascii="Arial" w:hAnsi="Arial" w:cs="Arial"/>
          <w:sz w:val="20"/>
          <w:szCs w:val="20"/>
        </w:rPr>
        <w:t xml:space="preserve"> showing the </w:t>
      </w:r>
      <w:r w:rsidR="0093686E">
        <w:rPr>
          <w:rFonts w:ascii="Arial" w:hAnsi="Arial" w:cs="Arial"/>
          <w:sz w:val="20"/>
          <w:szCs w:val="20"/>
        </w:rPr>
        <w:t>electron diffraction (</w:t>
      </w:r>
      <w:r w:rsidRPr="00B16AC0">
        <w:rPr>
          <w:rFonts w:ascii="Arial" w:hAnsi="Arial" w:cs="Arial"/>
          <w:sz w:val="20"/>
          <w:szCs w:val="20"/>
        </w:rPr>
        <w:t>ED</w:t>
      </w:r>
      <w:r w:rsidR="0093686E">
        <w:rPr>
          <w:rFonts w:ascii="Arial" w:hAnsi="Arial" w:cs="Arial"/>
          <w:sz w:val="20"/>
          <w:szCs w:val="20"/>
        </w:rPr>
        <w:t>)</w:t>
      </w:r>
      <w:r w:rsidRPr="00B16AC0">
        <w:rPr>
          <w:rFonts w:ascii="Arial" w:hAnsi="Arial" w:cs="Arial"/>
          <w:sz w:val="20"/>
          <w:szCs w:val="20"/>
        </w:rPr>
        <w:t xml:space="preserve"> patterns and rotational average plots of the intensity distribution at room temperature and at 120°C, respectively. The phase transformation from the martensite into the parent austenite phase is evidenced for both films by smoothing of the ED patterns and the profiles. This is because the low symmetry orthorhombic B19 phase is transformed into the high symmetry cubic B2 austenite phase; thereby the number of reflections is significantly reduced. </w:t>
      </w:r>
      <w:r w:rsidR="00BC7FAA">
        <w:rPr>
          <w:rFonts w:ascii="Arial" w:hAnsi="Arial" w:cs="Arial"/>
          <w:sz w:val="20"/>
          <w:szCs w:val="20"/>
        </w:rPr>
        <w:t>Prior</w:t>
      </w:r>
      <w:r w:rsidRPr="00B16AC0">
        <w:rPr>
          <w:rFonts w:ascii="Arial" w:hAnsi="Arial" w:cs="Arial"/>
          <w:sz w:val="20"/>
          <w:szCs w:val="20"/>
        </w:rPr>
        <w:t xml:space="preserve"> studies on the phase transformation mechanism in </w:t>
      </w:r>
      <w:proofErr w:type="spellStart"/>
      <w:r w:rsidRPr="00B16AC0">
        <w:rPr>
          <w:rFonts w:ascii="Arial" w:hAnsi="Arial" w:cs="Arial"/>
          <w:sz w:val="20"/>
          <w:szCs w:val="20"/>
        </w:rPr>
        <w:t>Ti</w:t>
      </w:r>
      <w:proofErr w:type="spellEnd"/>
      <w:r w:rsidRPr="00B16AC0">
        <w:rPr>
          <w:rFonts w:ascii="Arial" w:hAnsi="Arial" w:cs="Arial"/>
          <w:sz w:val="20"/>
          <w:szCs w:val="20"/>
        </w:rPr>
        <w:t xml:space="preserve">-rich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films revealed </w:t>
      </w:r>
      <w:proofErr w:type="spellStart"/>
      <w:r w:rsidRPr="00B16AC0">
        <w:rPr>
          <w:rFonts w:ascii="Arial" w:hAnsi="Arial" w:cs="Arial"/>
          <w:sz w:val="20"/>
          <w:szCs w:val="20"/>
        </w:rPr>
        <w:t>Ti</w:t>
      </w:r>
      <w:proofErr w:type="spellEnd"/>
      <w:r w:rsidRPr="00B16AC0">
        <w:rPr>
          <w:rFonts w:ascii="Arial" w:hAnsi="Arial" w:cs="Arial"/>
          <w:sz w:val="20"/>
          <w:szCs w:val="20"/>
        </w:rPr>
        <w:t>-rich nano-precipitates embedded in the base alloy to serve as epitaxial misfit strain mediators between the B19 and B2 phases</w:t>
      </w:r>
      <w:r>
        <w:rPr>
          <w:rFonts w:ascii="Arial" w:hAnsi="Arial" w:cs="Arial"/>
          <w:sz w:val="20"/>
          <w:szCs w:val="20"/>
        </w:rPr>
        <w:t>.</w:t>
      </w:r>
      <w:r>
        <w:rPr>
          <w:rFonts w:ascii="Arial" w:hAnsi="Arial" w:cs="Arial"/>
          <w:sz w:val="20"/>
          <w:szCs w:val="20"/>
        </w:rPr>
        <w:fldChar w:fldCharType="begin" w:fldLock="1"/>
      </w:r>
      <w:r w:rsidR="00AC7EF1">
        <w:rPr>
          <w:rFonts w:ascii="Arial" w:hAnsi="Arial" w:cs="Arial"/>
          <w:sz w:val="20"/>
          <w:szCs w:val="20"/>
        </w:rPr>
        <w:instrText>ADDIN CSL_CITATION {"citationItems":[{"id":"ITEM-1","itemData":{"author":[{"dropping-particle":"","family":"Chluba","given":"Christoph","non-dropping-particle":"","parse-names":false,"suffix":""},{"dropping-particle":"","family":"Ge","given":"Wenwei","non-dropping-particle":"","parse-names":false,"suffix":""},{"dropping-particle":"","family":"Miranda","given":"Rodrigo Lima","non-dropping-particle":"de","parse-names":false,"suffix":""},{"dropping-particle":"","family":"Strobel","given":"Julian","non-dropping-particle":"","parse-names":false,"suffix":""},{"dropping-particle":"","family":"Kienle","given":"Lorenz","non-dropping-particle":"","parse-names":false,"suffix":""},{"dropping-particle":"","family":"Quandt","given":"Eckhard","non-dropping-particle":"","parse-names":false,"suffix":""},{"dropping-particle":"","family":"Wuttig","given":"Manfred","non-dropping-particle":"","parse-names":false,"suffix":""}],"container-title":"Science","id":"ITEM-1","issue":"6238","issued":{"date-parts":[["2015"]]},"page":"1004-1007","publisher":"American Association for the Advancement of Science","title":"Ultralow-fatigue shape memory alloy films","type":"article-journal","volume":"348"},"uris":["http://www.mendeley.com/documents/?uuid=7550796b-7ca8-447f-bc39-6ac740bb4adb"]}],"mendeley":{"formattedCitation":"&lt;sup&gt;11&lt;/sup&gt;","plainTextFormattedCitation":"11","previouslyFormattedCitation":"&lt;sup&gt;11&lt;/sup&gt;"},"properties":{"noteIndex":0},"schema":"https://github.com/citation-style-language/schema/raw/master/csl-citation.json"}</w:instrText>
      </w:r>
      <w:r>
        <w:rPr>
          <w:rFonts w:ascii="Arial" w:hAnsi="Arial" w:cs="Arial"/>
          <w:sz w:val="20"/>
          <w:szCs w:val="20"/>
        </w:rPr>
        <w:fldChar w:fldCharType="separate"/>
      </w:r>
      <w:r w:rsidR="002D1C4E" w:rsidRPr="002D1C4E">
        <w:rPr>
          <w:rFonts w:ascii="Arial" w:hAnsi="Arial" w:cs="Arial"/>
          <w:noProof/>
          <w:sz w:val="20"/>
          <w:szCs w:val="20"/>
          <w:vertAlign w:val="superscript"/>
        </w:rPr>
        <w:t>11</w:t>
      </w:r>
      <w:r>
        <w:rPr>
          <w:rFonts w:ascii="Arial" w:hAnsi="Arial" w:cs="Arial"/>
          <w:sz w:val="20"/>
          <w:szCs w:val="20"/>
        </w:rPr>
        <w:fldChar w:fldCharType="end"/>
      </w:r>
      <w:r>
        <w:rPr>
          <w:rFonts w:ascii="Arial" w:hAnsi="Arial" w:cs="Arial"/>
          <w:sz w:val="20"/>
          <w:szCs w:val="20"/>
        </w:rPr>
        <w:t xml:space="preserve"> </w:t>
      </w:r>
      <w:r w:rsidRPr="00B16AC0">
        <w:rPr>
          <w:rFonts w:ascii="Arial" w:hAnsi="Arial" w:cs="Arial"/>
          <w:sz w:val="20"/>
          <w:szCs w:val="20"/>
        </w:rPr>
        <w:t xml:space="preserve">These precipitates promote the transformation upon temperature cycling by epitaxial stabilization of a B2 transition layer, even in the martensite stable regime. In addition, at least </w:t>
      </w:r>
      <w:r w:rsidR="0093686E">
        <w:rPr>
          <w:rFonts w:ascii="Arial" w:hAnsi="Arial" w:cs="Arial"/>
          <w:sz w:val="20"/>
          <w:szCs w:val="20"/>
        </w:rPr>
        <w:t xml:space="preserve">in the case for Sample 2 where </w:t>
      </w:r>
      <w:r w:rsidRPr="00B16AC0">
        <w:rPr>
          <w:rFonts w:ascii="Arial" w:hAnsi="Arial" w:cs="Arial"/>
          <w:sz w:val="20"/>
          <w:szCs w:val="20"/>
        </w:rPr>
        <w:t xml:space="preserve">the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film crystallized prior to </w:t>
      </w:r>
      <w:proofErr w:type="spellStart"/>
      <w:r w:rsidRPr="00B16AC0">
        <w:rPr>
          <w:rFonts w:ascii="Arial" w:hAnsi="Arial" w:cs="Arial"/>
          <w:sz w:val="20"/>
          <w:szCs w:val="20"/>
        </w:rPr>
        <w:t>AlN</w:t>
      </w:r>
      <w:proofErr w:type="spellEnd"/>
      <w:r w:rsidRPr="00B16AC0">
        <w:rPr>
          <w:rFonts w:ascii="Arial" w:hAnsi="Arial" w:cs="Arial"/>
          <w:sz w:val="20"/>
          <w:szCs w:val="20"/>
        </w:rPr>
        <w:t xml:space="preserve"> deposition</w:t>
      </w:r>
      <w:r w:rsidR="0093686E">
        <w:rPr>
          <w:rFonts w:ascii="Arial" w:hAnsi="Arial" w:cs="Arial"/>
          <w:sz w:val="20"/>
          <w:szCs w:val="20"/>
        </w:rPr>
        <w:t>,</w:t>
      </w:r>
      <w:r w:rsidRPr="00B16AC0">
        <w:rPr>
          <w:rFonts w:ascii="Arial" w:hAnsi="Arial" w:cs="Arial"/>
          <w:sz w:val="20"/>
          <w:szCs w:val="20"/>
        </w:rPr>
        <w:t xml:space="preserve"> the presence of larger precipitates presumably of the kind Ti</w:t>
      </w:r>
      <w:r w:rsidRPr="00B16AC0">
        <w:rPr>
          <w:rFonts w:ascii="Arial" w:hAnsi="Arial" w:cs="Arial"/>
          <w:sz w:val="20"/>
          <w:szCs w:val="20"/>
          <w:vertAlign w:val="subscript"/>
        </w:rPr>
        <w:t>2</w:t>
      </w:r>
      <w:r w:rsidRPr="00B16AC0">
        <w:rPr>
          <w:rFonts w:ascii="Arial" w:hAnsi="Arial" w:cs="Arial"/>
          <w:sz w:val="20"/>
          <w:szCs w:val="20"/>
        </w:rPr>
        <w:t xml:space="preserve">Cu and </w:t>
      </w:r>
      <w:r w:rsidRPr="00BC7FAA">
        <w:rPr>
          <w:rFonts w:ascii="Arial" w:hAnsi="Arial" w:cs="Arial"/>
          <w:sz w:val="20"/>
          <w:szCs w:val="20"/>
        </w:rPr>
        <w:t>Ti</w:t>
      </w:r>
      <w:r w:rsidRPr="00BC7FAA">
        <w:rPr>
          <w:rFonts w:ascii="Arial" w:hAnsi="Arial" w:cs="Arial"/>
          <w:sz w:val="20"/>
          <w:szCs w:val="20"/>
          <w:vertAlign w:val="subscript"/>
        </w:rPr>
        <w:t>2</w:t>
      </w:r>
      <w:r w:rsidRPr="00BC7FAA">
        <w:rPr>
          <w:rFonts w:ascii="Arial" w:hAnsi="Arial" w:cs="Arial"/>
          <w:sz w:val="20"/>
          <w:szCs w:val="20"/>
        </w:rPr>
        <w:t>Ni was evidenced and contribute as no</w:t>
      </w:r>
      <w:r w:rsidR="0093686E" w:rsidRPr="00BC7FAA">
        <w:rPr>
          <w:rFonts w:ascii="Arial" w:hAnsi="Arial" w:cs="Arial"/>
          <w:sz w:val="20"/>
          <w:szCs w:val="20"/>
        </w:rPr>
        <w:t>n-</w:t>
      </w:r>
      <w:r w:rsidRPr="00BC7FAA">
        <w:rPr>
          <w:rFonts w:ascii="Arial" w:hAnsi="Arial" w:cs="Arial"/>
          <w:sz w:val="20"/>
          <w:szCs w:val="20"/>
        </w:rPr>
        <w:t xml:space="preserve">active phases to the ED series. More details of the microstructure of </w:t>
      </w:r>
      <w:proofErr w:type="spellStart"/>
      <w:r w:rsidRPr="00BC7FAA">
        <w:rPr>
          <w:rFonts w:ascii="Arial" w:hAnsi="Arial" w:cs="Arial"/>
          <w:sz w:val="20"/>
          <w:szCs w:val="20"/>
        </w:rPr>
        <w:t>Ti</w:t>
      </w:r>
      <w:proofErr w:type="spellEnd"/>
      <w:r w:rsidRPr="00BC7FAA">
        <w:rPr>
          <w:rFonts w:ascii="Arial" w:hAnsi="Arial" w:cs="Arial"/>
          <w:sz w:val="20"/>
          <w:szCs w:val="20"/>
        </w:rPr>
        <w:t xml:space="preserve">-rich </w:t>
      </w:r>
      <w:proofErr w:type="spellStart"/>
      <w:r w:rsidRPr="00BC7FAA">
        <w:rPr>
          <w:rFonts w:ascii="Arial" w:hAnsi="Arial" w:cs="Arial"/>
          <w:sz w:val="20"/>
          <w:szCs w:val="20"/>
        </w:rPr>
        <w:t>TiNiCu</w:t>
      </w:r>
      <w:proofErr w:type="spellEnd"/>
      <w:r w:rsidRPr="00BC7FAA">
        <w:rPr>
          <w:rFonts w:ascii="Arial" w:hAnsi="Arial" w:cs="Arial"/>
          <w:sz w:val="20"/>
          <w:szCs w:val="20"/>
        </w:rPr>
        <w:t xml:space="preserve"> films can be found in </w:t>
      </w:r>
      <w:proofErr w:type="spellStart"/>
      <w:r w:rsidRPr="00FE0113">
        <w:rPr>
          <w:rFonts w:ascii="Arial" w:hAnsi="Arial" w:cs="Arial"/>
          <w:i/>
          <w:sz w:val="20"/>
          <w:szCs w:val="20"/>
        </w:rPr>
        <w:t>Dankwort</w:t>
      </w:r>
      <w:proofErr w:type="spellEnd"/>
      <w:r w:rsidRPr="00FE0113">
        <w:rPr>
          <w:rFonts w:ascii="Arial" w:hAnsi="Arial" w:cs="Arial"/>
          <w:i/>
          <w:sz w:val="20"/>
          <w:szCs w:val="20"/>
        </w:rPr>
        <w:t xml:space="preserve"> et al.</w:t>
      </w:r>
      <w:r w:rsidRPr="00BC7FAA">
        <w:rPr>
          <w:rFonts w:ascii="Arial" w:hAnsi="Arial" w:cs="Arial"/>
          <w:sz w:val="20"/>
          <w:szCs w:val="20"/>
        </w:rPr>
        <w:fldChar w:fldCharType="begin" w:fldLock="1"/>
      </w:r>
      <w:r w:rsidR="00AC7EF1">
        <w:rPr>
          <w:rFonts w:ascii="Arial" w:hAnsi="Arial" w:cs="Arial"/>
          <w:sz w:val="20"/>
          <w:szCs w:val="20"/>
        </w:rPr>
        <w:instrText>ADDIN CSL_CITATION {"citationItems":[{"id":"ITEM-1","itemData":{"author":[{"dropping-particle":"","family":"Dankwort","given":"Torben","non-dropping-particle":"","parse-names":false,"suffix":""},{"dropping-particle":"","family":"Strobel","given":"Julian","non-dropping-particle":"","parse-names":false,"suffix":""},{"dropping-particle":"","family":"Chluba","given":"Christoph","non-dropping-particle":"","parse-names":false,"suffix":""},{"dropping-particle":"","family":"Ge","given":"Wenwei","non-dropping-particle":"","parse-names":false,"suffix":""},{"dropping-particle":"","family":"Duppel","given":"Viola","non-dropping-particle":"","parse-names":false,"suffix":""},{"dropping-particle":"","family":"Wuttig","given":"Manfred","non-dropping-particle":"","parse-names":false,"suffix":""},{"dropping-particle":"","family":"Quandt","given":"Eckhard","non-dropping-particle":"","parse-names":false,"suffix":""},{"dropping-particle":"","family":"Kienle","given":"Lorenz","non-dropping-particle":"","parse-names":false,"suffix":""}],"container-title":"Journal of Applied Crystallography","id":"ITEM-1","issue":"3","issued":{"date-parts":[["2016"]]},"page":"1009-1015","publisher":"International Union of Crystallography","title":"Martensite adaption through epitaxial nano transition layers in TiNiCu shape memory alloys","type":"article-journal","volume":"49"},"uris":["http://www.mendeley.com/documents/?uuid=4134d800-8837-4b1f-b5a8-f4fbd8db9a8d"]}],"mendeley":{"formattedCitation":"&lt;sup&gt;12&lt;/sup&gt;","plainTextFormattedCitation":"12","previouslyFormattedCitation":"&lt;sup&gt;12&lt;/sup&gt;"},"properties":{"noteIndex":0},"schema":"https://github.com/citation-style-language/schema/raw/master/csl-citation.json"}</w:instrText>
      </w:r>
      <w:r w:rsidRPr="00BC7FAA">
        <w:rPr>
          <w:rFonts w:ascii="Arial" w:hAnsi="Arial" w:cs="Arial"/>
          <w:sz w:val="20"/>
          <w:szCs w:val="20"/>
        </w:rPr>
        <w:fldChar w:fldCharType="separate"/>
      </w:r>
      <w:r w:rsidR="002D1C4E" w:rsidRPr="002D1C4E">
        <w:rPr>
          <w:rFonts w:ascii="Arial" w:hAnsi="Arial" w:cs="Arial"/>
          <w:noProof/>
          <w:sz w:val="20"/>
          <w:szCs w:val="20"/>
          <w:vertAlign w:val="superscript"/>
        </w:rPr>
        <w:t>12</w:t>
      </w:r>
      <w:r w:rsidRPr="00BC7FAA">
        <w:rPr>
          <w:rFonts w:ascii="Arial" w:hAnsi="Arial" w:cs="Arial"/>
          <w:sz w:val="20"/>
          <w:szCs w:val="20"/>
        </w:rPr>
        <w:fldChar w:fldCharType="end"/>
      </w:r>
      <w:r w:rsidRPr="00BC7FAA">
        <w:rPr>
          <w:rFonts w:ascii="Arial" w:hAnsi="Arial" w:cs="Arial"/>
          <w:sz w:val="20"/>
          <w:szCs w:val="20"/>
        </w:rPr>
        <w:t xml:space="preserve"> Hence, despite the presence of precipitate phases the </w:t>
      </w:r>
      <w:r w:rsidRPr="00BC7FAA">
        <w:rPr>
          <w:rFonts w:ascii="Arial" w:hAnsi="Arial" w:cs="Arial"/>
          <w:i/>
          <w:sz w:val="20"/>
          <w:szCs w:val="20"/>
        </w:rPr>
        <w:t>in-situ</w:t>
      </w:r>
      <w:r w:rsidRPr="00BC7FAA">
        <w:rPr>
          <w:rFonts w:ascii="Arial" w:hAnsi="Arial" w:cs="Arial"/>
          <w:sz w:val="20"/>
          <w:szCs w:val="20"/>
        </w:rPr>
        <w:t xml:space="preserve"> analysis demonstrated the transformation of the active martensite to the austenite phase</w:t>
      </w:r>
      <w:r w:rsidR="00BC7FAA">
        <w:rPr>
          <w:rFonts w:ascii="Arial" w:hAnsi="Arial" w:cs="Arial"/>
          <w:sz w:val="20"/>
          <w:szCs w:val="20"/>
        </w:rPr>
        <w:t xml:space="preserve"> for both Samples 2 and 3</w:t>
      </w:r>
      <w:r w:rsidRPr="00BC7FAA">
        <w:rPr>
          <w:rFonts w:ascii="Arial" w:hAnsi="Arial" w:cs="Arial"/>
          <w:sz w:val="20"/>
          <w:szCs w:val="20"/>
        </w:rPr>
        <w:t>.</w:t>
      </w:r>
    </w:p>
    <w:p w14:paraId="50CDC2A9" w14:textId="77777777" w:rsidR="00B16AC0" w:rsidRPr="00B16AC0" w:rsidRDefault="00B16AC0" w:rsidP="00841634">
      <w:pPr>
        <w:spacing w:line="480" w:lineRule="auto"/>
        <w:jc w:val="both"/>
        <w:rPr>
          <w:rFonts w:ascii="Arial" w:hAnsi="Arial" w:cs="Arial"/>
          <w:sz w:val="20"/>
          <w:szCs w:val="20"/>
        </w:rPr>
      </w:pPr>
    </w:p>
    <w:p w14:paraId="00B19F4C" w14:textId="48A04C80" w:rsidR="00B16AC0" w:rsidRPr="00B16AC0" w:rsidRDefault="003B3AF7" w:rsidP="00841634">
      <w:pPr>
        <w:spacing w:line="480" w:lineRule="auto"/>
        <w:jc w:val="center"/>
        <w:rPr>
          <w:rFonts w:ascii="Arial" w:hAnsi="Arial" w:cs="Arial"/>
          <w:sz w:val="20"/>
          <w:szCs w:val="20"/>
        </w:rPr>
      </w:pPr>
      <w:r>
        <w:rPr>
          <w:rFonts w:ascii="Arial" w:hAnsi="Arial" w:cs="Arial"/>
          <w:noProof/>
          <w:sz w:val="20"/>
          <w:szCs w:val="20"/>
          <w:lang w:val="de-DE" w:eastAsia="de-DE"/>
        </w:rPr>
        <w:lastRenderedPageBreak/>
        <w:drawing>
          <wp:inline distT="0" distB="0" distL="0" distR="0" wp14:anchorId="48A3A623" wp14:editId="4D6E4EEB">
            <wp:extent cx="5127171" cy="2769549"/>
            <wp:effectExtent l="0" t="0" r="0" b="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S4 In-situ TEM.tif"/>
                    <pic:cNvPicPr/>
                  </pic:nvPicPr>
                  <pic:blipFill>
                    <a:blip r:embed="rId11">
                      <a:extLst>
                        <a:ext uri="{28A0092B-C50C-407E-A947-70E740481C1C}">
                          <a14:useLocalDpi xmlns:a14="http://schemas.microsoft.com/office/drawing/2010/main" val="0"/>
                        </a:ext>
                      </a:extLst>
                    </a:blip>
                    <a:stretch>
                      <a:fillRect/>
                    </a:stretch>
                  </pic:blipFill>
                  <pic:spPr>
                    <a:xfrm>
                      <a:off x="0" y="0"/>
                      <a:ext cx="5134744" cy="2773639"/>
                    </a:xfrm>
                    <a:prstGeom prst="rect">
                      <a:avLst/>
                    </a:prstGeom>
                  </pic:spPr>
                </pic:pic>
              </a:graphicData>
            </a:graphic>
          </wp:inline>
        </w:drawing>
      </w:r>
    </w:p>
    <w:p w14:paraId="3938C82E" w14:textId="70731C7B" w:rsidR="00B16AC0" w:rsidRPr="00B16AC0" w:rsidRDefault="00B16AC0" w:rsidP="00841634">
      <w:pPr>
        <w:spacing w:line="480" w:lineRule="auto"/>
        <w:jc w:val="both"/>
        <w:rPr>
          <w:rFonts w:ascii="Arial" w:hAnsi="Arial" w:cs="Arial"/>
          <w:sz w:val="20"/>
          <w:szCs w:val="20"/>
        </w:rPr>
      </w:pPr>
      <w:r w:rsidRPr="00B16AC0">
        <w:rPr>
          <w:rFonts w:ascii="Arial" w:hAnsi="Arial" w:cs="Arial"/>
          <w:b/>
          <w:bCs/>
          <w:sz w:val="20"/>
          <w:szCs w:val="20"/>
        </w:rPr>
        <w:t>Figure S4:</w:t>
      </w:r>
      <w:r w:rsidRPr="00B16AC0">
        <w:rPr>
          <w:rFonts w:ascii="Arial" w:hAnsi="Arial" w:cs="Arial"/>
          <w:sz w:val="20"/>
          <w:szCs w:val="20"/>
        </w:rPr>
        <w:t xml:space="preserve"> ED pattern of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at room temperature and at 120°C and rotational average (RA) plots showing the structural change upon transformation. (a) Composite SMA was crystallized prior to </w:t>
      </w:r>
      <w:proofErr w:type="spellStart"/>
      <w:r w:rsidRPr="00B16AC0">
        <w:rPr>
          <w:rFonts w:ascii="Arial" w:hAnsi="Arial" w:cs="Arial"/>
          <w:sz w:val="20"/>
          <w:szCs w:val="20"/>
        </w:rPr>
        <w:t>AlN</w:t>
      </w:r>
      <w:proofErr w:type="spellEnd"/>
      <w:r w:rsidRPr="00B16AC0">
        <w:rPr>
          <w:rFonts w:ascii="Arial" w:hAnsi="Arial" w:cs="Arial"/>
          <w:sz w:val="20"/>
          <w:szCs w:val="20"/>
        </w:rPr>
        <w:t xml:space="preserve"> growth (Sample 2) (b) SMA was crystallized after </w:t>
      </w:r>
      <w:proofErr w:type="spellStart"/>
      <w:r w:rsidRPr="00B16AC0">
        <w:rPr>
          <w:rFonts w:ascii="Arial" w:hAnsi="Arial" w:cs="Arial"/>
          <w:sz w:val="20"/>
          <w:szCs w:val="20"/>
        </w:rPr>
        <w:t>AlN</w:t>
      </w:r>
      <w:proofErr w:type="spellEnd"/>
      <w:r w:rsidRPr="00B16AC0">
        <w:rPr>
          <w:rFonts w:ascii="Arial" w:hAnsi="Arial" w:cs="Arial"/>
          <w:sz w:val="20"/>
          <w:szCs w:val="20"/>
        </w:rPr>
        <w:t xml:space="preserve"> growth (Sample 3</w:t>
      </w:r>
      <w:r w:rsidR="00BC7FAA">
        <w:rPr>
          <w:rFonts w:ascii="Arial" w:hAnsi="Arial" w:cs="Arial"/>
          <w:sz w:val="20"/>
          <w:szCs w:val="20"/>
        </w:rPr>
        <w:t>-annealed</w:t>
      </w:r>
      <w:r w:rsidRPr="00B16AC0">
        <w:rPr>
          <w:rFonts w:ascii="Arial" w:hAnsi="Arial" w:cs="Arial"/>
          <w:sz w:val="20"/>
          <w:szCs w:val="20"/>
        </w:rPr>
        <w:t xml:space="preserve">). After heating the films above the austenite finish temperature </w:t>
      </w:r>
      <w:proofErr w:type="spellStart"/>
      <w:r w:rsidRPr="00B16AC0">
        <w:rPr>
          <w:rFonts w:ascii="Arial" w:hAnsi="Arial" w:cs="Arial"/>
          <w:sz w:val="20"/>
          <w:szCs w:val="20"/>
        </w:rPr>
        <w:t>A</w:t>
      </w:r>
      <w:r w:rsidRPr="00B16AC0">
        <w:rPr>
          <w:rFonts w:ascii="Arial" w:hAnsi="Arial" w:cs="Arial"/>
          <w:sz w:val="20"/>
          <w:szCs w:val="20"/>
          <w:vertAlign w:val="subscript"/>
        </w:rPr>
        <w:t>f</w:t>
      </w:r>
      <w:proofErr w:type="spellEnd"/>
      <w:r w:rsidRPr="00B16AC0">
        <w:rPr>
          <w:rFonts w:ascii="Arial" w:hAnsi="Arial" w:cs="Arial"/>
          <w:sz w:val="20"/>
          <w:szCs w:val="20"/>
        </w:rPr>
        <w:t xml:space="preserve"> both samples show distinct smoothing of the RA plots indicating the structural transformation.</w:t>
      </w:r>
    </w:p>
    <w:p w14:paraId="52644E93" w14:textId="77777777" w:rsidR="00B16AC0" w:rsidRPr="004122DD" w:rsidRDefault="00B16AC0" w:rsidP="00841634">
      <w:pPr>
        <w:spacing w:line="480" w:lineRule="auto"/>
        <w:jc w:val="both"/>
        <w:rPr>
          <w:rFonts w:ascii="Arial" w:hAnsi="Arial" w:cs="Arial"/>
          <w:sz w:val="24"/>
          <w:szCs w:val="24"/>
        </w:rPr>
      </w:pPr>
    </w:p>
    <w:p w14:paraId="214EAE57" w14:textId="2F10C9CE" w:rsidR="00B16AC0" w:rsidRPr="00B16AC0" w:rsidRDefault="00B16AC0" w:rsidP="00841634">
      <w:pPr>
        <w:spacing w:line="480" w:lineRule="auto"/>
        <w:jc w:val="both"/>
        <w:rPr>
          <w:rFonts w:ascii="Arial" w:hAnsi="Arial" w:cs="Arial"/>
          <w:b/>
          <w:color w:val="8B2F57"/>
          <w:sz w:val="20"/>
          <w:szCs w:val="20"/>
        </w:rPr>
      </w:pPr>
      <w:r>
        <w:rPr>
          <w:rFonts w:ascii="Arial" w:hAnsi="Arial" w:cs="Arial"/>
          <w:b/>
          <w:color w:val="8B2F57"/>
          <w:sz w:val="20"/>
          <w:szCs w:val="20"/>
        </w:rPr>
        <w:t>B</w:t>
      </w:r>
      <w:r w:rsidRPr="00B2432F">
        <w:rPr>
          <w:rFonts w:ascii="Arial" w:hAnsi="Arial" w:cs="Arial"/>
          <w:b/>
          <w:color w:val="8B2F57"/>
          <w:sz w:val="20"/>
          <w:szCs w:val="20"/>
        </w:rPr>
        <w:t xml:space="preserve">. </w:t>
      </w:r>
      <w:r>
        <w:rPr>
          <w:rFonts w:ascii="Arial" w:hAnsi="Arial" w:cs="Arial"/>
          <w:b/>
          <w:i/>
          <w:iCs/>
          <w:color w:val="8B2F57"/>
          <w:sz w:val="20"/>
          <w:szCs w:val="20"/>
        </w:rPr>
        <w:t xml:space="preserve">Discussion of </w:t>
      </w:r>
      <w:r w:rsidR="002C2D53">
        <w:rPr>
          <w:rFonts w:ascii="Arial" w:hAnsi="Arial" w:cs="Arial"/>
          <w:b/>
          <w:i/>
          <w:iCs/>
          <w:color w:val="8B2F57"/>
          <w:sz w:val="20"/>
          <w:szCs w:val="20"/>
        </w:rPr>
        <w:t>Diffusion</w:t>
      </w:r>
      <w:r>
        <w:rPr>
          <w:rFonts w:ascii="Arial" w:hAnsi="Arial" w:cs="Arial"/>
          <w:b/>
          <w:i/>
          <w:iCs/>
          <w:color w:val="8B2F57"/>
          <w:sz w:val="20"/>
          <w:szCs w:val="20"/>
        </w:rPr>
        <w:t xml:space="preserve"> </w:t>
      </w:r>
    </w:p>
    <w:p w14:paraId="79D3E38F" w14:textId="3B6DA83D" w:rsidR="00B16AC0" w:rsidRPr="00B16AC0" w:rsidRDefault="00B16AC0" w:rsidP="00841634">
      <w:pPr>
        <w:spacing w:line="480" w:lineRule="auto"/>
        <w:ind w:firstLine="720"/>
        <w:jc w:val="both"/>
        <w:rPr>
          <w:rFonts w:ascii="Arial" w:hAnsi="Arial" w:cs="Arial"/>
          <w:sz w:val="20"/>
          <w:szCs w:val="20"/>
        </w:rPr>
      </w:pPr>
      <w:r w:rsidRPr="00B16AC0">
        <w:rPr>
          <w:rFonts w:ascii="Arial" w:hAnsi="Arial" w:cs="Arial"/>
          <w:sz w:val="20"/>
          <w:szCs w:val="20"/>
        </w:rPr>
        <w:t xml:space="preserve">The formation of a diffusion region is sketched in Figure S5 resembling simplified experimental EDS concentration profile data. Herein, the stages of the envisioned diffusion process at the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/Ta/Pt interface are depicted under following assumptions: The situation where Ta/Pt/ </w:t>
      </w:r>
      <w:proofErr w:type="spellStart"/>
      <w:r w:rsidRPr="00B16AC0">
        <w:rPr>
          <w:rFonts w:ascii="Arial" w:hAnsi="Arial" w:cs="Arial"/>
          <w:sz w:val="20"/>
          <w:szCs w:val="20"/>
        </w:rPr>
        <w:t>AlN</w:t>
      </w:r>
      <w:proofErr w:type="spellEnd"/>
      <w:r w:rsidRPr="00B16AC0">
        <w:rPr>
          <w:rFonts w:ascii="Arial" w:hAnsi="Arial" w:cs="Arial"/>
          <w:sz w:val="20"/>
          <w:szCs w:val="20"/>
        </w:rPr>
        <w:t xml:space="preserve"> is deposited after rapid crystallization of </w:t>
      </w:r>
      <w:proofErr w:type="spellStart"/>
      <w:r w:rsidRPr="00B16AC0">
        <w:rPr>
          <w:rFonts w:ascii="Arial" w:hAnsi="Arial" w:cs="Arial"/>
          <w:sz w:val="20"/>
          <w:szCs w:val="20"/>
        </w:rPr>
        <w:t>TiNiCu</w:t>
      </w:r>
      <w:proofErr w:type="spellEnd"/>
      <w:r w:rsidR="0093686E">
        <w:rPr>
          <w:rFonts w:ascii="Arial" w:hAnsi="Arial" w:cs="Arial"/>
          <w:sz w:val="20"/>
          <w:szCs w:val="20"/>
        </w:rPr>
        <w:t xml:space="preserve"> (Sample 2)</w:t>
      </w:r>
      <w:r w:rsidRPr="00B16AC0">
        <w:rPr>
          <w:rFonts w:ascii="Arial" w:hAnsi="Arial" w:cs="Arial"/>
          <w:sz w:val="20"/>
          <w:szCs w:val="20"/>
        </w:rPr>
        <w:t>, via rapid thermal annealing (t &lt; 20 s) is shown in Figure S</w:t>
      </w:r>
      <w:r w:rsidR="001C4DB0">
        <w:rPr>
          <w:rFonts w:ascii="Arial" w:hAnsi="Arial" w:cs="Arial"/>
          <w:sz w:val="20"/>
          <w:szCs w:val="20"/>
        </w:rPr>
        <w:t>5</w:t>
      </w:r>
      <w:r w:rsidR="00E43D2D">
        <w:rPr>
          <w:rFonts w:ascii="Arial" w:hAnsi="Arial" w:cs="Arial"/>
          <w:sz w:val="20"/>
          <w:szCs w:val="20"/>
        </w:rPr>
        <w:t xml:space="preserve"> (top)</w:t>
      </w:r>
      <w:r w:rsidRPr="00B16AC0">
        <w:rPr>
          <w:rFonts w:ascii="Arial" w:hAnsi="Arial" w:cs="Arial"/>
          <w:sz w:val="20"/>
          <w:szCs w:val="20"/>
        </w:rPr>
        <w:t xml:space="preserve">. A Cu-poor and </w:t>
      </w:r>
      <w:proofErr w:type="spellStart"/>
      <w:r w:rsidRPr="00B16AC0">
        <w:rPr>
          <w:rFonts w:ascii="Arial" w:hAnsi="Arial" w:cs="Arial"/>
          <w:sz w:val="20"/>
          <w:szCs w:val="20"/>
        </w:rPr>
        <w:t>Ti</w:t>
      </w:r>
      <w:proofErr w:type="spellEnd"/>
      <w:r w:rsidRPr="00B16AC0">
        <w:rPr>
          <w:rFonts w:ascii="Arial" w:hAnsi="Arial" w:cs="Arial"/>
          <w:sz w:val="20"/>
          <w:szCs w:val="20"/>
        </w:rPr>
        <w:t xml:space="preserve">-enriched interface region is formed immediately (blue box). Such interface morphology was </w:t>
      </w:r>
      <w:r w:rsidR="00BC7FAA">
        <w:rPr>
          <w:rFonts w:ascii="Arial" w:hAnsi="Arial" w:cs="Arial"/>
          <w:sz w:val="20"/>
          <w:szCs w:val="20"/>
        </w:rPr>
        <w:t xml:space="preserve">also </w:t>
      </w:r>
      <w:r w:rsidRPr="00B16AC0">
        <w:rPr>
          <w:rFonts w:ascii="Arial" w:hAnsi="Arial" w:cs="Arial"/>
          <w:sz w:val="20"/>
          <w:szCs w:val="20"/>
        </w:rPr>
        <w:t xml:space="preserve">observed at the </w:t>
      </w:r>
      <w:r w:rsidR="00BC7FAA">
        <w:rPr>
          <w:rFonts w:ascii="Arial" w:hAnsi="Arial" w:cs="Arial"/>
          <w:sz w:val="20"/>
          <w:szCs w:val="20"/>
        </w:rPr>
        <w:t xml:space="preserve">Si </w:t>
      </w:r>
      <w:r w:rsidRPr="00B16AC0">
        <w:rPr>
          <w:rFonts w:ascii="Arial" w:hAnsi="Arial" w:cs="Arial"/>
          <w:sz w:val="20"/>
          <w:szCs w:val="20"/>
        </w:rPr>
        <w:t>substrate</w:t>
      </w:r>
      <w:r w:rsidR="00BC7FAA">
        <w:rPr>
          <w:rFonts w:ascii="Arial" w:hAnsi="Arial" w:cs="Arial"/>
          <w:sz w:val="20"/>
          <w:szCs w:val="20"/>
        </w:rPr>
        <w:t xml:space="preserve">/ </w:t>
      </w:r>
      <w:r w:rsidRPr="00B16AC0">
        <w:rPr>
          <w:rFonts w:ascii="Arial" w:hAnsi="Arial" w:cs="Arial"/>
          <w:sz w:val="20"/>
          <w:szCs w:val="20"/>
        </w:rPr>
        <w:t xml:space="preserve">Ta-adhesion </w:t>
      </w:r>
      <w:r w:rsidR="00BC7FAA">
        <w:rPr>
          <w:rFonts w:ascii="Arial" w:hAnsi="Arial" w:cs="Arial"/>
          <w:sz w:val="20"/>
          <w:szCs w:val="20"/>
        </w:rPr>
        <w:t xml:space="preserve">interface </w:t>
      </w:r>
      <w:r w:rsidRPr="00B16AC0">
        <w:rPr>
          <w:rFonts w:ascii="Arial" w:hAnsi="Arial" w:cs="Arial"/>
          <w:sz w:val="20"/>
          <w:szCs w:val="20"/>
        </w:rPr>
        <w:t xml:space="preserve">layer in both investigated </w:t>
      </w:r>
      <w:r w:rsidR="00BC7FAA">
        <w:rPr>
          <w:rFonts w:ascii="Arial" w:hAnsi="Arial" w:cs="Arial"/>
          <w:sz w:val="20"/>
          <w:szCs w:val="20"/>
        </w:rPr>
        <w:t>composites</w:t>
      </w:r>
      <w:r w:rsidRPr="00B16AC0">
        <w:rPr>
          <w:rFonts w:ascii="Arial" w:hAnsi="Arial" w:cs="Arial"/>
          <w:sz w:val="20"/>
          <w:szCs w:val="20"/>
        </w:rPr>
        <w:t xml:space="preserve"> after 15 minutes of annealing. The situation</w:t>
      </w:r>
      <w:r w:rsidR="00BC7FAA">
        <w:rPr>
          <w:rFonts w:ascii="Arial" w:hAnsi="Arial" w:cs="Arial"/>
          <w:sz w:val="20"/>
          <w:szCs w:val="20"/>
        </w:rPr>
        <w:t xml:space="preserve"> where Ta/Pt/</w:t>
      </w:r>
      <w:proofErr w:type="spellStart"/>
      <w:r w:rsidR="00BC7FAA">
        <w:rPr>
          <w:rFonts w:ascii="Arial" w:hAnsi="Arial" w:cs="Arial"/>
          <w:sz w:val="20"/>
          <w:szCs w:val="20"/>
        </w:rPr>
        <w:t>AlN</w:t>
      </w:r>
      <w:proofErr w:type="spellEnd"/>
      <w:r w:rsidR="00BC7FAA">
        <w:rPr>
          <w:rFonts w:ascii="Arial" w:hAnsi="Arial" w:cs="Arial"/>
          <w:sz w:val="20"/>
          <w:szCs w:val="20"/>
        </w:rPr>
        <w:t xml:space="preserve"> is annealed with </w:t>
      </w:r>
      <w:proofErr w:type="spellStart"/>
      <w:r w:rsidR="00BC7FAA">
        <w:rPr>
          <w:rFonts w:ascii="Arial" w:hAnsi="Arial" w:cs="Arial"/>
          <w:sz w:val="20"/>
          <w:szCs w:val="20"/>
        </w:rPr>
        <w:t>TiNiCu</w:t>
      </w:r>
      <w:proofErr w:type="spellEnd"/>
      <w:r w:rsidR="00BC7FAA">
        <w:rPr>
          <w:rFonts w:ascii="Arial" w:hAnsi="Arial" w:cs="Arial"/>
          <w:sz w:val="20"/>
          <w:szCs w:val="20"/>
        </w:rPr>
        <w:t xml:space="preserve"> (Sample 3)</w:t>
      </w:r>
      <w:r w:rsidRPr="00B16AC0">
        <w:rPr>
          <w:rFonts w:ascii="Arial" w:hAnsi="Arial" w:cs="Arial"/>
          <w:sz w:val="20"/>
          <w:szCs w:val="20"/>
        </w:rPr>
        <w:t xml:space="preserve"> </w:t>
      </w:r>
      <w:r w:rsidR="00BC7FAA">
        <w:rPr>
          <w:rFonts w:ascii="Arial" w:hAnsi="Arial" w:cs="Arial"/>
          <w:sz w:val="20"/>
          <w:szCs w:val="20"/>
        </w:rPr>
        <w:t xml:space="preserve">promotes </w:t>
      </w:r>
      <w:r w:rsidR="00BC7FAA" w:rsidRPr="00B16AC0">
        <w:rPr>
          <w:rFonts w:ascii="Arial" w:hAnsi="Arial" w:cs="Arial"/>
          <w:sz w:val="20"/>
          <w:szCs w:val="20"/>
        </w:rPr>
        <w:t>diffusion</w:t>
      </w:r>
      <w:r w:rsidRPr="00B16AC0">
        <w:rPr>
          <w:rFonts w:ascii="Arial" w:hAnsi="Arial" w:cs="Arial"/>
          <w:sz w:val="20"/>
          <w:szCs w:val="20"/>
        </w:rPr>
        <w:t xml:space="preserve"> originated from the grains at the interface</w:t>
      </w:r>
      <w:r w:rsidR="00BC7FAA">
        <w:rPr>
          <w:rFonts w:ascii="Arial" w:hAnsi="Arial" w:cs="Arial"/>
          <w:sz w:val="20"/>
          <w:szCs w:val="20"/>
        </w:rPr>
        <w:t>,</w:t>
      </w:r>
      <w:r w:rsidRPr="00B16AC0">
        <w:rPr>
          <w:rFonts w:ascii="Arial" w:hAnsi="Arial" w:cs="Arial"/>
          <w:sz w:val="20"/>
          <w:szCs w:val="20"/>
        </w:rPr>
        <w:t xml:space="preserve"> resulting in a mixed polycrystalline region under complete dissolution of the electrode structure</w:t>
      </w:r>
      <w:r w:rsidR="00BC7FAA">
        <w:rPr>
          <w:rFonts w:ascii="Arial" w:hAnsi="Arial" w:cs="Arial"/>
          <w:sz w:val="20"/>
          <w:szCs w:val="20"/>
        </w:rPr>
        <w:t>,</w:t>
      </w:r>
      <w:r w:rsidRPr="00B16AC0">
        <w:rPr>
          <w:rFonts w:ascii="Arial" w:hAnsi="Arial" w:cs="Arial"/>
          <w:sz w:val="20"/>
          <w:szCs w:val="20"/>
        </w:rPr>
        <w:t xml:space="preserve"> shown in Figure S</w:t>
      </w:r>
      <w:r w:rsidR="00992CE7">
        <w:rPr>
          <w:rFonts w:ascii="Arial" w:hAnsi="Arial" w:cs="Arial"/>
          <w:sz w:val="20"/>
          <w:szCs w:val="20"/>
        </w:rPr>
        <w:t>5</w:t>
      </w:r>
      <w:r w:rsidR="00E43D2D">
        <w:rPr>
          <w:rFonts w:ascii="Arial" w:hAnsi="Arial" w:cs="Arial"/>
          <w:sz w:val="20"/>
          <w:szCs w:val="20"/>
        </w:rPr>
        <w:t xml:space="preserve"> (bottom)</w:t>
      </w:r>
      <w:r w:rsidRPr="00B16AC0">
        <w:rPr>
          <w:rFonts w:ascii="Arial" w:hAnsi="Arial" w:cs="Arial"/>
          <w:sz w:val="20"/>
          <w:szCs w:val="20"/>
        </w:rPr>
        <w:t>.</w:t>
      </w:r>
    </w:p>
    <w:p w14:paraId="5B2B2596" w14:textId="77777777" w:rsidR="00B16AC0" w:rsidRPr="00B16AC0" w:rsidRDefault="00B16AC0" w:rsidP="00841634">
      <w:pPr>
        <w:spacing w:line="480" w:lineRule="auto"/>
        <w:jc w:val="both"/>
        <w:rPr>
          <w:rFonts w:ascii="Arial" w:hAnsi="Arial" w:cs="Arial"/>
        </w:rPr>
      </w:pPr>
    </w:p>
    <w:p w14:paraId="214DC08A" w14:textId="2E59DAB5" w:rsidR="00B16AC0" w:rsidRPr="00B16AC0" w:rsidRDefault="003B3AF7" w:rsidP="00841634">
      <w:pPr>
        <w:spacing w:line="480" w:lineRule="auto"/>
        <w:jc w:val="center"/>
        <w:rPr>
          <w:rFonts w:ascii="Arial" w:hAnsi="Arial" w:cs="Arial"/>
          <w:sz w:val="20"/>
          <w:szCs w:val="20"/>
        </w:rPr>
      </w:pPr>
      <w:r>
        <w:rPr>
          <w:rFonts w:ascii="Arial" w:hAnsi="Arial" w:cs="Arial"/>
          <w:noProof/>
          <w:sz w:val="20"/>
          <w:szCs w:val="20"/>
          <w:lang w:val="de-DE" w:eastAsia="de-DE"/>
        </w:rPr>
        <w:drawing>
          <wp:inline distT="0" distB="0" distL="0" distR="0" wp14:anchorId="482814E4" wp14:editId="594B24FC">
            <wp:extent cx="3681984" cy="3029712"/>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S5 Diffusion.tif"/>
                    <pic:cNvPicPr/>
                  </pic:nvPicPr>
                  <pic:blipFill>
                    <a:blip r:embed="rId12">
                      <a:extLst>
                        <a:ext uri="{28A0092B-C50C-407E-A947-70E740481C1C}">
                          <a14:useLocalDpi xmlns:a14="http://schemas.microsoft.com/office/drawing/2010/main" val="0"/>
                        </a:ext>
                      </a:extLst>
                    </a:blip>
                    <a:stretch>
                      <a:fillRect/>
                    </a:stretch>
                  </pic:blipFill>
                  <pic:spPr>
                    <a:xfrm>
                      <a:off x="0" y="0"/>
                      <a:ext cx="3681984" cy="3029712"/>
                    </a:xfrm>
                    <a:prstGeom prst="rect">
                      <a:avLst/>
                    </a:prstGeom>
                  </pic:spPr>
                </pic:pic>
              </a:graphicData>
            </a:graphic>
          </wp:inline>
        </w:drawing>
      </w:r>
    </w:p>
    <w:p w14:paraId="3EE027D4" w14:textId="35E924D4" w:rsidR="00B16AC0" w:rsidRPr="004E5800" w:rsidRDefault="00B16AC0" w:rsidP="00841634">
      <w:pPr>
        <w:spacing w:line="480" w:lineRule="auto"/>
        <w:jc w:val="both"/>
        <w:rPr>
          <w:rFonts w:ascii="Arial" w:hAnsi="Arial" w:cs="Arial"/>
          <w:sz w:val="20"/>
          <w:szCs w:val="20"/>
        </w:rPr>
      </w:pPr>
      <w:r w:rsidRPr="00B16AC0">
        <w:rPr>
          <w:rFonts w:ascii="Arial" w:hAnsi="Arial" w:cs="Arial"/>
          <w:b/>
          <w:sz w:val="20"/>
          <w:szCs w:val="20"/>
        </w:rPr>
        <w:t>Figure S5:</w:t>
      </w:r>
      <w:r w:rsidRPr="00B16AC0">
        <w:rPr>
          <w:rFonts w:ascii="Arial" w:hAnsi="Arial" w:cs="Arial"/>
          <w:sz w:val="20"/>
          <w:szCs w:val="20"/>
        </w:rPr>
        <w:t xml:space="preserve"> Sketch showing the measured EDS concentration profile across the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/Ta/Pt interface.  (top) </w:t>
      </w:r>
      <w:r w:rsidR="00BC7FAA">
        <w:rPr>
          <w:rFonts w:ascii="Arial" w:hAnsi="Arial" w:cs="Arial"/>
          <w:sz w:val="20"/>
          <w:szCs w:val="20"/>
        </w:rPr>
        <w:t>Sample 2, s</w:t>
      </w:r>
      <w:r w:rsidRPr="00B16AC0">
        <w:rPr>
          <w:rFonts w:ascii="Arial" w:hAnsi="Arial" w:cs="Arial"/>
          <w:sz w:val="20"/>
          <w:szCs w:val="20"/>
        </w:rPr>
        <w:t xml:space="preserve">ituation after rapid crystallization, no diffusion took place and a Cu-poor and </w:t>
      </w:r>
      <w:proofErr w:type="spellStart"/>
      <w:r w:rsidRPr="00B16AC0">
        <w:rPr>
          <w:rFonts w:ascii="Arial" w:hAnsi="Arial" w:cs="Arial"/>
          <w:sz w:val="20"/>
          <w:szCs w:val="20"/>
        </w:rPr>
        <w:t>Ti</w:t>
      </w:r>
      <w:proofErr w:type="spellEnd"/>
      <w:r w:rsidRPr="00B16AC0">
        <w:rPr>
          <w:rFonts w:ascii="Arial" w:hAnsi="Arial" w:cs="Arial"/>
          <w:sz w:val="20"/>
          <w:szCs w:val="20"/>
        </w:rPr>
        <w:t xml:space="preserve">-enriched interface layer is established. (bottom) </w:t>
      </w:r>
      <w:r w:rsidR="00BC7FAA">
        <w:rPr>
          <w:rFonts w:ascii="Arial" w:hAnsi="Arial" w:cs="Arial"/>
          <w:sz w:val="20"/>
          <w:szCs w:val="20"/>
        </w:rPr>
        <w:t>Sample 3</w:t>
      </w:r>
      <w:r w:rsidR="00E43D2D">
        <w:rPr>
          <w:rFonts w:ascii="Arial" w:hAnsi="Arial" w:cs="Arial"/>
          <w:sz w:val="20"/>
          <w:szCs w:val="20"/>
        </w:rPr>
        <w:t>-annealed</w:t>
      </w:r>
      <w:r w:rsidR="00BC7FAA">
        <w:rPr>
          <w:rFonts w:ascii="Arial" w:hAnsi="Arial" w:cs="Arial"/>
          <w:sz w:val="20"/>
          <w:szCs w:val="20"/>
        </w:rPr>
        <w:t>, s</w:t>
      </w:r>
      <w:r w:rsidRPr="00B16AC0">
        <w:rPr>
          <w:rFonts w:ascii="Arial" w:hAnsi="Arial" w:cs="Arial"/>
          <w:sz w:val="20"/>
          <w:szCs w:val="20"/>
        </w:rPr>
        <w:t xml:space="preserve">ituation after diffusion, </w:t>
      </w:r>
      <w:proofErr w:type="spellStart"/>
      <w:r w:rsidRPr="00B16AC0">
        <w:rPr>
          <w:rFonts w:ascii="Arial" w:hAnsi="Arial" w:cs="Arial"/>
          <w:sz w:val="20"/>
          <w:szCs w:val="20"/>
        </w:rPr>
        <w:t>Ti</w:t>
      </w:r>
      <w:proofErr w:type="spellEnd"/>
      <w:r w:rsidRPr="00B16AC0">
        <w:rPr>
          <w:rFonts w:ascii="Arial" w:hAnsi="Arial" w:cs="Arial"/>
          <w:sz w:val="20"/>
          <w:szCs w:val="20"/>
        </w:rPr>
        <w:t xml:space="preserve"> diffuses towards the Pt layer and Ta</w:t>
      </w:r>
      <w:r w:rsidR="00BC7FAA">
        <w:rPr>
          <w:rFonts w:ascii="Arial" w:hAnsi="Arial" w:cs="Arial"/>
          <w:sz w:val="20"/>
          <w:szCs w:val="20"/>
        </w:rPr>
        <w:t xml:space="preserve">, </w:t>
      </w:r>
      <w:r w:rsidRPr="00B16AC0">
        <w:rPr>
          <w:rFonts w:ascii="Arial" w:hAnsi="Arial" w:cs="Arial"/>
          <w:sz w:val="20"/>
          <w:szCs w:val="20"/>
        </w:rPr>
        <w:t xml:space="preserve">Pt diffuse towards the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matrix. green box: </w:t>
      </w:r>
      <w:proofErr w:type="spellStart"/>
      <w:r w:rsidRPr="00B16AC0">
        <w:rPr>
          <w:rFonts w:ascii="Arial" w:hAnsi="Arial" w:cs="Arial"/>
          <w:sz w:val="20"/>
          <w:szCs w:val="20"/>
        </w:rPr>
        <w:t>TiNiCu</w:t>
      </w:r>
      <w:proofErr w:type="spellEnd"/>
      <w:r w:rsidRPr="00B16AC0">
        <w:rPr>
          <w:rFonts w:ascii="Arial" w:hAnsi="Arial" w:cs="Arial"/>
          <w:sz w:val="20"/>
          <w:szCs w:val="20"/>
        </w:rPr>
        <w:t xml:space="preserve"> matrix, blue box: Cu-poor and </w:t>
      </w:r>
      <w:proofErr w:type="spellStart"/>
      <w:r w:rsidRPr="00B16AC0">
        <w:rPr>
          <w:rFonts w:ascii="Arial" w:hAnsi="Arial" w:cs="Arial"/>
          <w:sz w:val="20"/>
          <w:szCs w:val="20"/>
        </w:rPr>
        <w:t>Ti</w:t>
      </w:r>
      <w:proofErr w:type="spellEnd"/>
      <w:r w:rsidRPr="00B16AC0">
        <w:rPr>
          <w:rFonts w:ascii="Arial" w:hAnsi="Arial" w:cs="Arial"/>
          <w:sz w:val="20"/>
          <w:szCs w:val="20"/>
        </w:rPr>
        <w:t xml:space="preserve">-rich </w:t>
      </w:r>
      <w:r w:rsidRPr="004E5800">
        <w:rPr>
          <w:rFonts w:ascii="Arial" w:hAnsi="Arial" w:cs="Arial"/>
          <w:sz w:val="20"/>
          <w:szCs w:val="20"/>
        </w:rPr>
        <w:t>crystal interface, orange box: Ta-layer, red box: Pt-layer, violet box: diffusion region.</w:t>
      </w:r>
    </w:p>
    <w:p w14:paraId="435BD9C1" w14:textId="79681B7A" w:rsidR="00B16AC0" w:rsidRPr="004E5800" w:rsidRDefault="00B16AC0" w:rsidP="00FE6F3C">
      <w:pPr>
        <w:spacing w:line="480" w:lineRule="auto"/>
        <w:ind w:firstLine="720"/>
        <w:jc w:val="both"/>
        <w:rPr>
          <w:rFonts w:ascii="Arial" w:hAnsi="Arial" w:cs="Arial"/>
        </w:rPr>
      </w:pPr>
      <w:r w:rsidRPr="004E5800">
        <w:rPr>
          <w:rFonts w:ascii="Arial" w:hAnsi="Arial" w:cs="Arial"/>
        </w:rPr>
        <w:t xml:space="preserve">The complete interpretation of diffusion in a multicomponent system with only two sets of data is not possible. In the following, we will give a coarse idea </w:t>
      </w:r>
      <w:r w:rsidR="00BC7FAA" w:rsidRPr="004E5800">
        <w:rPr>
          <w:rFonts w:ascii="Arial" w:hAnsi="Arial" w:cs="Arial"/>
        </w:rPr>
        <w:t>of the diffusion mechanisms taking place</w:t>
      </w:r>
      <w:r w:rsidRPr="004E5800">
        <w:rPr>
          <w:rFonts w:ascii="Arial" w:hAnsi="Arial" w:cs="Arial"/>
        </w:rPr>
        <w:t xml:space="preserve"> along the following lines and boundary conditions.</w:t>
      </w:r>
    </w:p>
    <w:p w14:paraId="35BD90EA" w14:textId="59C7A519" w:rsidR="00B16AC0" w:rsidRPr="004E5800" w:rsidRDefault="00BC7FAA" w:rsidP="00FE6F3C">
      <w:pPr>
        <w:spacing w:line="480" w:lineRule="auto"/>
        <w:ind w:firstLine="720"/>
        <w:jc w:val="both"/>
        <w:rPr>
          <w:rFonts w:ascii="Arial" w:hAnsi="Arial" w:cs="Arial"/>
        </w:rPr>
      </w:pPr>
      <w:r w:rsidRPr="004E5800">
        <w:rPr>
          <w:rFonts w:ascii="Arial" w:hAnsi="Arial" w:cs="Arial"/>
        </w:rPr>
        <w:t xml:space="preserve">Upon annealing, </w:t>
      </w:r>
      <w:proofErr w:type="spellStart"/>
      <w:r w:rsidR="00B16AC0" w:rsidRPr="004E5800">
        <w:rPr>
          <w:rFonts w:ascii="Arial" w:hAnsi="Arial" w:cs="Arial"/>
        </w:rPr>
        <w:t>TiNiCu</w:t>
      </w:r>
      <w:proofErr w:type="spellEnd"/>
      <w:r w:rsidR="00B16AC0" w:rsidRPr="004E5800">
        <w:rPr>
          <w:rFonts w:ascii="Arial" w:hAnsi="Arial" w:cs="Arial"/>
        </w:rPr>
        <w:t xml:space="preserve"> crystallizes immediately, as the 700 °C annealing temperature is much larger than the crystallization temperature of </w:t>
      </w:r>
      <w:r w:rsidR="001C4DB0" w:rsidRPr="004E5800">
        <w:rPr>
          <w:rFonts w:ascii="Arial" w:hAnsi="Arial" w:cs="Arial"/>
        </w:rPr>
        <w:t xml:space="preserve">most </w:t>
      </w:r>
      <w:proofErr w:type="spellStart"/>
      <w:r w:rsidR="00B16AC0" w:rsidRPr="004E5800">
        <w:rPr>
          <w:rFonts w:ascii="Arial" w:hAnsi="Arial" w:cs="Arial"/>
        </w:rPr>
        <w:t>NiTi</w:t>
      </w:r>
      <w:proofErr w:type="spellEnd"/>
      <w:r w:rsidR="00B16AC0" w:rsidRPr="004E5800">
        <w:rPr>
          <w:rFonts w:ascii="Arial" w:hAnsi="Arial" w:cs="Arial"/>
        </w:rPr>
        <w:t xml:space="preserve"> films which is in the vicinity of 500°C</w:t>
      </w:r>
      <w:r w:rsidR="00992CE7" w:rsidRPr="004E5800">
        <w:rPr>
          <w:rFonts w:ascii="Arial" w:hAnsi="Arial" w:cs="Arial"/>
        </w:rPr>
        <w:t>.</w:t>
      </w:r>
      <w:r w:rsidR="00992CE7" w:rsidRPr="004E5800">
        <w:rPr>
          <w:rFonts w:ascii="Arial" w:hAnsi="Arial" w:cs="Arial"/>
        </w:rPr>
        <w:fldChar w:fldCharType="begin" w:fldLock="1"/>
      </w:r>
      <w:r w:rsidR="00AC7EF1">
        <w:rPr>
          <w:rFonts w:ascii="Arial" w:hAnsi="Arial" w:cs="Arial"/>
        </w:rPr>
        <w:instrText>ADDIN CSL_CITATION {"citationItems":[{"id":"ITEM-1","itemData":{"author":[{"dropping-particle":"","family":"Lee","given":"Hoo-Jeong","non-dropping-particle":"","parse-names":false,"suffix":""},{"dropping-particle":"","family":"Ni","given":"Hai","non-dropping-particle":"","parse-names":false,"suffix":""},{"dropping-particle":"","family":"Wu","given":"David T","non-dropping-particle":"","parse-names":false,"suffix":""},{"dropping-particle":"","family":"Ramirez","given":"Ainissa G","non-dropping-particle":"","parse-names":false,"suffix":""}],"container-title":"Applied Physics Letters","id":"ITEM-1","issue":"12","issued":{"date-parts":[["2005"]]},"page":"124102","publisher":"AIP","title":"Grain size estimations from the direct measurement of nucleation and growth","type":"article-journal","volume":"87"},"uris":["http://www.mendeley.com/documents/?uuid=faf60844-e4fb-40e1-a180-de273ea2fcc0"]}],"mendeley":{"formattedCitation":"&lt;sup&gt;13&lt;/sup&gt;","plainTextFormattedCitation":"13","previouslyFormattedCitation":"&lt;sup&gt;13&lt;/sup&gt;"},"properties":{"noteIndex":0},"schema":"https://github.com/citation-style-language/schema/raw/master/csl-citation.json"}</w:instrText>
      </w:r>
      <w:r w:rsidR="00992CE7" w:rsidRPr="004E5800">
        <w:rPr>
          <w:rFonts w:ascii="Arial" w:hAnsi="Arial" w:cs="Arial"/>
        </w:rPr>
        <w:fldChar w:fldCharType="separate"/>
      </w:r>
      <w:r w:rsidR="002D1C4E" w:rsidRPr="002D1C4E">
        <w:rPr>
          <w:rFonts w:ascii="Arial" w:hAnsi="Arial" w:cs="Arial"/>
          <w:noProof/>
          <w:vertAlign w:val="superscript"/>
        </w:rPr>
        <w:t>13</w:t>
      </w:r>
      <w:r w:rsidR="00992CE7" w:rsidRPr="004E5800">
        <w:rPr>
          <w:rFonts w:ascii="Arial" w:hAnsi="Arial" w:cs="Arial"/>
        </w:rPr>
        <w:fldChar w:fldCharType="end"/>
      </w:r>
      <w:r w:rsidR="00B16AC0" w:rsidRPr="004E5800">
        <w:rPr>
          <w:rFonts w:ascii="Arial" w:hAnsi="Arial" w:cs="Arial"/>
        </w:rPr>
        <w:t xml:space="preserve"> From TEM it is clear that all layers are polycrystalline with lateral grain sizes of around 200 nm in the </w:t>
      </w:r>
      <w:proofErr w:type="spellStart"/>
      <w:r w:rsidR="00B16AC0" w:rsidRPr="004E5800">
        <w:rPr>
          <w:rFonts w:ascii="Arial" w:hAnsi="Arial" w:cs="Arial"/>
        </w:rPr>
        <w:t>TiNiCu</w:t>
      </w:r>
      <w:proofErr w:type="spellEnd"/>
      <w:r w:rsidR="00B16AC0" w:rsidRPr="004E5800">
        <w:rPr>
          <w:rFonts w:ascii="Arial" w:hAnsi="Arial" w:cs="Arial"/>
        </w:rPr>
        <w:t xml:space="preserve"> alloy due to crystallization and around 10 nm and 100 nm in Ta and Pt layers (grain size o</w:t>
      </w:r>
      <w:r w:rsidR="001C4DB0" w:rsidRPr="004E5800">
        <w:rPr>
          <w:rFonts w:ascii="Arial" w:hAnsi="Arial" w:cs="Arial"/>
        </w:rPr>
        <w:t>n</w:t>
      </w:r>
      <w:r w:rsidR="00B16AC0" w:rsidRPr="004E5800">
        <w:rPr>
          <w:rFonts w:ascii="Arial" w:hAnsi="Arial" w:cs="Arial"/>
        </w:rPr>
        <w:t xml:space="preserve"> the order of the film thickness). This setup is regarded as</w:t>
      </w:r>
      <w:r w:rsidRPr="004E5800">
        <w:rPr>
          <w:rFonts w:ascii="Arial" w:hAnsi="Arial" w:cs="Arial"/>
        </w:rPr>
        <w:t xml:space="preserve"> an</w:t>
      </w:r>
      <w:r w:rsidR="00B16AC0" w:rsidRPr="004E5800">
        <w:rPr>
          <w:rFonts w:ascii="Arial" w:hAnsi="Arial" w:cs="Arial"/>
        </w:rPr>
        <w:t xml:space="preserve"> interdiffusion experiment in a multicomponent alloy with fine grain size.</w:t>
      </w:r>
    </w:p>
    <w:p w14:paraId="2A49ED1B" w14:textId="727339B4" w:rsidR="00B16AC0" w:rsidRPr="004122DD" w:rsidRDefault="00B16AC0" w:rsidP="00FE6F3C">
      <w:pPr>
        <w:spacing w:line="480" w:lineRule="auto"/>
        <w:ind w:firstLine="720"/>
        <w:jc w:val="both"/>
        <w:rPr>
          <w:rFonts w:ascii="Arial" w:hAnsi="Arial" w:cs="Arial"/>
        </w:rPr>
      </w:pPr>
      <w:r w:rsidRPr="004E5800">
        <w:rPr>
          <w:rFonts w:ascii="Arial" w:hAnsi="Arial" w:cs="Arial"/>
        </w:rPr>
        <w:lastRenderedPageBreak/>
        <w:t xml:space="preserve">To discuss this, thermodynamics (i.e. attractive and repulsive interactions of the up to five components, possible intermetallic phase formation, solubility limits) as well as kinetics (tracer and chemical diffusion in the bulk as well as grain boundary diffusion) </w:t>
      </w:r>
      <w:r w:rsidR="001C4DB0" w:rsidRPr="004E5800">
        <w:rPr>
          <w:rFonts w:ascii="Arial" w:hAnsi="Arial" w:cs="Arial"/>
        </w:rPr>
        <w:t>mu</w:t>
      </w:r>
      <w:r w:rsidRPr="004E5800">
        <w:rPr>
          <w:rFonts w:ascii="Arial" w:hAnsi="Arial" w:cs="Arial"/>
        </w:rPr>
        <w:t>s</w:t>
      </w:r>
      <w:r w:rsidR="001C4DB0" w:rsidRPr="004E5800">
        <w:rPr>
          <w:rFonts w:ascii="Arial" w:hAnsi="Arial" w:cs="Arial"/>
        </w:rPr>
        <w:t>t</w:t>
      </w:r>
      <w:r w:rsidRPr="004E5800">
        <w:rPr>
          <w:rFonts w:ascii="Arial" w:hAnsi="Arial" w:cs="Arial"/>
        </w:rPr>
        <w:t xml:space="preserve"> to be </w:t>
      </w:r>
      <w:proofErr w:type="gramStart"/>
      <w:r w:rsidRPr="004E5800">
        <w:rPr>
          <w:rFonts w:ascii="Arial" w:hAnsi="Arial" w:cs="Arial"/>
        </w:rPr>
        <w:t>taken into account</w:t>
      </w:r>
      <w:proofErr w:type="gramEnd"/>
      <w:r w:rsidRPr="004E5800">
        <w:rPr>
          <w:rFonts w:ascii="Arial" w:hAnsi="Arial" w:cs="Arial"/>
        </w:rPr>
        <w:t>.</w:t>
      </w:r>
      <w:r w:rsidR="000D7A30">
        <w:rPr>
          <w:rFonts w:ascii="Arial" w:hAnsi="Arial" w:cs="Arial"/>
        </w:rPr>
        <w:t xml:space="preserve"> </w:t>
      </w:r>
      <w:r w:rsidRPr="004122DD">
        <w:rPr>
          <w:rFonts w:ascii="Arial" w:hAnsi="Arial" w:cs="Arial"/>
        </w:rPr>
        <w:t>We start by estimating the diffusivities needed</w:t>
      </w:r>
      <w:r w:rsidR="001C4DB0">
        <w:rPr>
          <w:rFonts w:ascii="Arial" w:hAnsi="Arial" w:cs="Arial"/>
        </w:rPr>
        <w:t xml:space="preserve"> to explain the change of the concentration profiles, u</w:t>
      </w:r>
      <w:r w:rsidRPr="004122DD">
        <w:rPr>
          <w:rFonts w:ascii="Arial" w:hAnsi="Arial" w:cs="Arial"/>
        </w:rPr>
        <w:t>sing the well-known parabolic growth law</w:t>
      </w:r>
      <w:r w:rsidR="00992CE7">
        <w:rPr>
          <w:rFonts w:ascii="Arial" w:hAnsi="Arial" w:cs="Arial"/>
        </w:rPr>
        <w:fldChar w:fldCharType="begin" w:fldLock="1"/>
      </w:r>
      <w:r w:rsidR="00AC7EF1">
        <w:rPr>
          <w:rFonts w:ascii="Arial" w:hAnsi="Arial" w:cs="Arial"/>
        </w:rPr>
        <w:instrText>ADDIN CSL_CITATION {"citationItems":[{"id":"ITEM-1","itemData":{"author":[{"dropping-particle":"","family":"Mehrer","given":"Helmut","non-dropping-particle":"","parse-names":false,"suffix":""}],"id":"ITEM-1","issued":{"date-parts":[["2007"]]},"publisher":"Springer Science &amp; Business Media","title":"Diffusion in solids: fundamentals, methods, materials, diffusion-controlled processes","type":"book","volume":"155"},"uris":["http://www.mendeley.com/documents/?uuid=d4cb3e2e-9357-4f91-b99d-19f594f8a210"]}],"mendeley":{"formattedCitation":"&lt;sup&gt;14&lt;/sup&gt;","plainTextFormattedCitation":"14","previouslyFormattedCitation":"&lt;sup&gt;14&lt;/sup&gt;"},"properties":{"noteIndex":0},"schema":"https://github.com/citation-style-language/schema/raw/master/csl-citation.json"}</w:instrText>
      </w:r>
      <w:r w:rsidR="00992CE7">
        <w:rPr>
          <w:rFonts w:ascii="Arial" w:hAnsi="Arial" w:cs="Arial"/>
        </w:rPr>
        <w:fldChar w:fldCharType="separate"/>
      </w:r>
      <w:r w:rsidR="002D1C4E" w:rsidRPr="002D1C4E">
        <w:rPr>
          <w:rFonts w:ascii="Arial" w:hAnsi="Arial" w:cs="Arial"/>
          <w:noProof/>
          <w:vertAlign w:val="superscript"/>
        </w:rPr>
        <w:t>14</w:t>
      </w:r>
      <w:r w:rsidR="00992CE7">
        <w:rPr>
          <w:rFonts w:ascii="Arial" w:hAnsi="Arial" w:cs="Arial"/>
        </w:rPr>
        <w:fldChar w:fldCharType="end"/>
      </w:r>
      <w:r w:rsidRPr="004122DD">
        <w:rPr>
          <w:rFonts w:ascii="Arial" w:hAnsi="Arial" w:cs="Arial"/>
        </w:rPr>
        <w:t xml:space="preserve"> </w:t>
      </w:r>
    </w:p>
    <w:p w14:paraId="7119E731" w14:textId="77777777" w:rsidR="00B16AC0" w:rsidRPr="004122DD" w:rsidRDefault="00015D69" w:rsidP="00841634">
      <w:pPr>
        <w:spacing w:line="480" w:lineRule="auto"/>
        <w:jc w:val="both"/>
        <w:rPr>
          <w:rFonts w:ascii="Arial" w:hAnsi="Arial" w:cs="Arial"/>
        </w:rPr>
      </w:pPr>
      <m:oMathPara>
        <m:oMath>
          <m:acc>
            <m:accPr>
              <m:chr m:val="̃"/>
              <m:ctrlPr>
                <w:rPr>
                  <w:rFonts w:ascii="Cambria Math" w:hAnsi="Cambria Math" w:cs="Arial"/>
                  <w:i/>
                </w:rPr>
              </m:ctrlPr>
            </m:accPr>
            <m:e>
              <m:r>
                <w:rPr>
                  <w:rFonts w:ascii="Cambria Math" w:hAnsi="Cambria Math" w:cs="Arial"/>
                </w:rPr>
                <m:t>x</m:t>
              </m:r>
            </m:e>
          </m:acc>
          <m:r>
            <w:rPr>
              <w:rFonts w:ascii="Cambria Math" w:hAnsi="Cambria Math" w:cs="Arial"/>
            </w:rPr>
            <m:t>=2</m:t>
          </m:r>
          <m:rad>
            <m:radPr>
              <m:degHide m:val="1"/>
              <m:ctrlPr>
                <w:rPr>
                  <w:rFonts w:ascii="Cambria Math" w:hAnsi="Cambria Math" w:cs="Arial"/>
                  <w:i/>
                </w:rPr>
              </m:ctrlPr>
            </m:radPr>
            <m:deg/>
            <m:e>
              <m:r>
                <w:rPr>
                  <w:rFonts w:ascii="Cambria Math" w:hAnsi="Cambria Math" w:cs="Arial"/>
                </w:rPr>
                <m:t>D(T)∙t</m:t>
              </m:r>
            </m:e>
          </m:rad>
        </m:oMath>
      </m:oMathPara>
    </w:p>
    <w:p w14:paraId="09C74076" w14:textId="668EE53F" w:rsidR="00B16AC0" w:rsidRPr="004122DD" w:rsidRDefault="00B16AC0" w:rsidP="00841634">
      <w:pPr>
        <w:spacing w:line="480" w:lineRule="auto"/>
        <w:jc w:val="both"/>
        <w:rPr>
          <w:rFonts w:ascii="Arial" w:hAnsi="Arial" w:cs="Arial"/>
        </w:rPr>
      </w:pPr>
      <w:r w:rsidRPr="004122DD">
        <w:rPr>
          <w:rFonts w:ascii="Arial" w:hAnsi="Arial" w:cs="Arial"/>
        </w:rPr>
        <w:t xml:space="preserve">with </w:t>
      </w:r>
      <w:r w:rsidRPr="004122DD">
        <w:rPr>
          <w:rFonts w:ascii="Arial" w:hAnsi="Arial" w:cs="Arial"/>
          <w:i/>
        </w:rPr>
        <w:t>t</w:t>
      </w:r>
      <w:r w:rsidRPr="004122DD">
        <w:rPr>
          <w:rFonts w:ascii="Arial" w:hAnsi="Arial" w:cs="Arial"/>
        </w:rPr>
        <w:t xml:space="preserve"> = 15 min and </w:t>
      </w:r>
      <m:oMath>
        <m:acc>
          <m:accPr>
            <m:chr m:val="̃"/>
            <m:ctrlPr>
              <w:rPr>
                <w:rFonts w:ascii="Cambria Math" w:hAnsi="Cambria Math" w:cs="Arial"/>
                <w:i/>
              </w:rPr>
            </m:ctrlPr>
          </m:accPr>
          <m:e>
            <m:r>
              <w:rPr>
                <w:rFonts w:ascii="Cambria Math" w:hAnsi="Cambria Math" w:cs="Arial"/>
              </w:rPr>
              <m:t>x</m:t>
            </m:r>
          </m:e>
        </m:acc>
      </m:oMath>
      <w:r w:rsidRPr="004122DD">
        <w:rPr>
          <w:rFonts w:ascii="Arial" w:hAnsi="Arial" w:cs="Arial"/>
        </w:rPr>
        <w:t xml:space="preserve"> = 100 nm being roughly half of the length of the diffusion zone (see Fig. S</w:t>
      </w:r>
      <w:r w:rsidR="00992CE7">
        <w:rPr>
          <w:rFonts w:ascii="Arial" w:hAnsi="Arial" w:cs="Arial"/>
        </w:rPr>
        <w:t>5</w:t>
      </w:r>
      <w:r w:rsidRPr="004122DD">
        <w:rPr>
          <w:rFonts w:ascii="Arial" w:hAnsi="Arial" w:cs="Arial"/>
        </w:rPr>
        <w:t xml:space="preserve">) results in diffusivities of the order of </w:t>
      </w:r>
      <m:oMath>
        <m:sSup>
          <m:sSupPr>
            <m:ctrlPr>
              <w:rPr>
                <w:rFonts w:ascii="Cambria Math" w:hAnsi="Cambria Math" w:cs="Arial"/>
                <w:i/>
              </w:rPr>
            </m:ctrlPr>
          </m:sSupPr>
          <m:e>
            <m:r>
              <w:rPr>
                <w:rFonts w:ascii="Cambria Math" w:hAnsi="Cambria Math" w:cs="Arial"/>
              </w:rPr>
              <m:t>10</m:t>
            </m:r>
          </m:e>
          <m:sup>
            <m:r>
              <w:rPr>
                <w:rFonts w:ascii="Cambria Math" w:hAnsi="Cambria Math" w:cs="Arial"/>
              </w:rPr>
              <m:t>-18</m:t>
            </m:r>
          </m:sup>
        </m:sSup>
        <m:r>
          <w:rPr>
            <w:rFonts w:ascii="Cambria Math" w:hAnsi="Cambria Math" w:cs="Arial"/>
          </w:rPr>
          <m:t xml:space="preserve"> </m:t>
        </m:r>
      </m:oMath>
      <w:r w:rsidRPr="004122DD">
        <w:rPr>
          <w:rFonts w:ascii="Arial" w:hAnsi="Arial" w:cs="Arial"/>
        </w:rPr>
        <w:t>m²/s</w:t>
      </w:r>
      <w:r w:rsidR="001C4DB0">
        <w:rPr>
          <w:rFonts w:ascii="Arial" w:hAnsi="Arial" w:cs="Arial"/>
        </w:rPr>
        <w:t>.</w:t>
      </w:r>
    </w:p>
    <w:p w14:paraId="3C009382" w14:textId="185BE2AD" w:rsidR="00B16AC0" w:rsidRPr="004122DD" w:rsidRDefault="001C4DB0" w:rsidP="00FE6F3C">
      <w:pPr>
        <w:spacing w:line="480" w:lineRule="auto"/>
        <w:ind w:firstLine="720"/>
        <w:jc w:val="both"/>
        <w:rPr>
          <w:rFonts w:ascii="Arial" w:hAnsi="Arial" w:cs="Arial"/>
        </w:rPr>
      </w:pPr>
      <w:r>
        <w:rPr>
          <w:rFonts w:ascii="Arial" w:hAnsi="Arial" w:cs="Arial"/>
        </w:rPr>
        <w:t>However,</w:t>
      </w:r>
      <w:r w:rsidR="00B16AC0" w:rsidRPr="004122DD">
        <w:rPr>
          <w:rFonts w:ascii="Arial" w:hAnsi="Arial" w:cs="Arial"/>
        </w:rPr>
        <w:t xml:space="preserve"> it is not clear, whether bulk or grain boundary diffusion is dominant</w:t>
      </w:r>
      <w:r>
        <w:rPr>
          <w:rFonts w:ascii="Arial" w:hAnsi="Arial" w:cs="Arial"/>
        </w:rPr>
        <w:t>, with</w:t>
      </w:r>
      <w:r w:rsidR="00B16AC0" w:rsidRPr="004122DD">
        <w:rPr>
          <w:rFonts w:ascii="Arial" w:hAnsi="Arial" w:cs="Arial"/>
        </w:rPr>
        <w:t xml:space="preserve"> the latter being orders of magnitude faster than the former. No data for grain boundary</w:t>
      </w:r>
      <w:r>
        <w:rPr>
          <w:rFonts w:ascii="Arial" w:hAnsi="Arial" w:cs="Arial"/>
        </w:rPr>
        <w:t xml:space="preserve"> diffusion</w:t>
      </w:r>
      <w:r w:rsidR="00B16AC0" w:rsidRPr="004122DD">
        <w:rPr>
          <w:rFonts w:ascii="Arial" w:hAnsi="Arial" w:cs="Arial"/>
        </w:rPr>
        <w:t xml:space="preserve"> in this system are available</w:t>
      </w:r>
      <w:r w:rsidR="00992CE7">
        <w:rPr>
          <w:rFonts w:ascii="Arial" w:hAnsi="Arial" w:cs="Arial"/>
        </w:rPr>
        <w:t>.</w:t>
      </w:r>
      <w:r w:rsidR="00992CE7">
        <w:rPr>
          <w:rFonts w:ascii="Arial" w:hAnsi="Arial" w:cs="Arial"/>
        </w:rPr>
        <w:fldChar w:fldCharType="begin" w:fldLock="1"/>
      </w:r>
      <w:r w:rsidR="00AC7EF1">
        <w:rPr>
          <w:rFonts w:ascii="Arial" w:hAnsi="Arial" w:cs="Arial"/>
        </w:rPr>
        <w:instrText>ADDIN CSL_CITATION {"citationItems":[{"id":"ITEM-1","itemData":{"author":[{"dropping-particle":"","family":"Kaur","given":"Inderjeet","non-dropping-particle":"","parse-names":false,"suffix":""},{"dropping-particle":"","family":"Gust","given":"Wolfgang","non-dropping-particle":"","parse-names":false,"suffix":""},{"dropping-particle":"","family":"Kozma","given":"Laszlo","non-dropping-particle":"","parse-names":false,"suffix":""}],"id":"ITEM-1","issued":{"date-parts":[["1989"]]},"publisher":"Ziegler Press Stuttgart","title":"Handbook of grain and interphase boundary diffusion data","type":"book","volume":"1"},"uris":["http://www.mendeley.com/documents/?uuid=f6f4458f-eabd-4fba-bfd8-943eae1054b9"]}],"mendeley":{"formattedCitation":"&lt;sup&gt;15&lt;/sup&gt;","plainTextFormattedCitation":"15","previouslyFormattedCitation":"&lt;sup&gt;15&lt;/sup&gt;"},"properties":{"noteIndex":0},"schema":"https://github.com/citation-style-language/schema/raw/master/csl-citation.json"}</w:instrText>
      </w:r>
      <w:r w:rsidR="00992CE7">
        <w:rPr>
          <w:rFonts w:ascii="Arial" w:hAnsi="Arial" w:cs="Arial"/>
        </w:rPr>
        <w:fldChar w:fldCharType="separate"/>
      </w:r>
      <w:r w:rsidR="002D1C4E" w:rsidRPr="002D1C4E">
        <w:rPr>
          <w:rFonts w:ascii="Arial" w:hAnsi="Arial" w:cs="Arial"/>
          <w:noProof/>
          <w:vertAlign w:val="superscript"/>
        </w:rPr>
        <w:t>15</w:t>
      </w:r>
      <w:r w:rsidR="00992CE7">
        <w:rPr>
          <w:rFonts w:ascii="Arial" w:hAnsi="Arial" w:cs="Arial"/>
        </w:rPr>
        <w:fldChar w:fldCharType="end"/>
      </w:r>
      <w:r w:rsidR="00992CE7">
        <w:rPr>
          <w:rFonts w:ascii="Arial" w:hAnsi="Arial" w:cs="Arial"/>
        </w:rPr>
        <w:t xml:space="preserve"> </w:t>
      </w:r>
      <w:r w:rsidR="00B16AC0" w:rsidRPr="004122DD">
        <w:rPr>
          <w:rFonts w:ascii="Arial" w:hAnsi="Arial" w:cs="Arial"/>
        </w:rPr>
        <w:t>Bulk diffusivities can be estimated from known data collections</w:t>
      </w:r>
      <w:r w:rsidR="00992CE7">
        <w:rPr>
          <w:rFonts w:ascii="Arial" w:hAnsi="Arial" w:cs="Arial"/>
        </w:rPr>
        <w:fldChar w:fldCharType="begin" w:fldLock="1"/>
      </w:r>
      <w:r w:rsidR="00AC7EF1">
        <w:rPr>
          <w:rFonts w:ascii="Arial" w:hAnsi="Arial" w:cs="Arial"/>
        </w:rPr>
        <w:instrText>ADDIN CSL_CITATION {"citationItems":[{"id":"ITEM-1","itemData":{"author":[{"dropping-particle":"","family":"Mehrer","given":"Helmut","non-dropping-particle":"","parse-names":false,"suffix":""}],"id":"ITEM-1","issued":{"date-parts":[["2007"]]},"publisher":"Springer Science &amp; Business Media","title":"Diffusion in solids: fundamentals, methods, materials, diffusion-controlled processes","type":"book","volume":"155"},"uris":["http://www.mendeley.com/documents/?uuid=d4cb3e2e-9357-4f91-b99d-19f594f8a210"]}],"mendeley":{"formattedCitation":"&lt;sup&gt;14&lt;/sup&gt;","plainTextFormattedCitation":"14","previouslyFormattedCitation":"&lt;sup&gt;14&lt;/sup&gt;"},"properties":{"noteIndex":0},"schema":"https://github.com/citation-style-language/schema/raw/master/csl-citation.json"}</w:instrText>
      </w:r>
      <w:r w:rsidR="00992CE7">
        <w:rPr>
          <w:rFonts w:ascii="Arial" w:hAnsi="Arial" w:cs="Arial"/>
        </w:rPr>
        <w:fldChar w:fldCharType="separate"/>
      </w:r>
      <w:r w:rsidR="002D1C4E" w:rsidRPr="002D1C4E">
        <w:rPr>
          <w:rFonts w:ascii="Arial" w:hAnsi="Arial" w:cs="Arial"/>
          <w:noProof/>
          <w:vertAlign w:val="superscript"/>
        </w:rPr>
        <w:t>14</w:t>
      </w:r>
      <w:r w:rsidR="00992CE7">
        <w:rPr>
          <w:rFonts w:ascii="Arial" w:hAnsi="Arial" w:cs="Arial"/>
        </w:rPr>
        <w:fldChar w:fldCharType="end"/>
      </w:r>
      <w:r w:rsidR="00B16AC0" w:rsidRPr="004122DD">
        <w:rPr>
          <w:rFonts w:ascii="Arial" w:hAnsi="Arial" w:cs="Arial"/>
        </w:rPr>
        <w:t xml:space="preserve"> depending on matrix and diffusing element. Calculations result in diffusivities between </w:t>
      </w:r>
      <m:oMath>
        <m:sSup>
          <m:sSupPr>
            <m:ctrlPr>
              <w:rPr>
                <w:rFonts w:ascii="Cambria Math" w:hAnsi="Cambria Math" w:cs="Arial"/>
                <w:i/>
              </w:rPr>
            </m:ctrlPr>
          </m:sSupPr>
          <m:e>
            <m:r>
              <w:rPr>
                <w:rFonts w:ascii="Cambria Math" w:hAnsi="Cambria Math" w:cs="Arial"/>
              </w:rPr>
              <m:t>4.2×10</m:t>
            </m:r>
          </m:e>
          <m:sup>
            <m:r>
              <w:rPr>
                <w:rFonts w:ascii="Cambria Math" w:hAnsi="Cambria Math" w:cs="Arial"/>
              </w:rPr>
              <m:t>-21</m:t>
            </m:r>
          </m:sup>
        </m:sSup>
        <m:r>
          <w:rPr>
            <w:rFonts w:ascii="Cambria Math" w:hAnsi="Cambria Math" w:cs="Arial"/>
          </w:rPr>
          <m:t xml:space="preserve"> </m:t>
        </m:r>
      </m:oMath>
      <w:r w:rsidR="00B16AC0" w:rsidRPr="004122DD">
        <w:rPr>
          <w:rFonts w:ascii="Arial" w:hAnsi="Arial" w:cs="Arial"/>
        </w:rPr>
        <w:t xml:space="preserve">m²/s for Fe in Ta and </w:t>
      </w:r>
      <m:oMath>
        <m:sSup>
          <m:sSupPr>
            <m:ctrlPr>
              <w:rPr>
                <w:rFonts w:ascii="Cambria Math" w:hAnsi="Cambria Math" w:cs="Arial"/>
                <w:i/>
              </w:rPr>
            </m:ctrlPr>
          </m:sSupPr>
          <m:e>
            <m:r>
              <w:rPr>
                <w:rFonts w:ascii="Cambria Math" w:hAnsi="Cambria Math" w:cs="Arial"/>
              </w:rPr>
              <m:t>5.6×10</m:t>
            </m:r>
          </m:e>
          <m:sup>
            <m:r>
              <w:rPr>
                <w:rFonts w:ascii="Cambria Math" w:hAnsi="Cambria Math" w:cs="Arial"/>
              </w:rPr>
              <m:t>-21</m:t>
            </m:r>
          </m:sup>
        </m:sSup>
      </m:oMath>
      <w:r w:rsidR="00B16AC0" w:rsidRPr="004122DD">
        <w:rPr>
          <w:rFonts w:ascii="Arial" w:eastAsiaTheme="minorEastAsia" w:hAnsi="Arial" w:cs="Arial"/>
        </w:rPr>
        <w:t xml:space="preserve">for Al in Ta (according to tables </w:t>
      </w:r>
      <w:r w:rsidR="005638FC">
        <w:rPr>
          <w:rFonts w:ascii="Arial" w:eastAsiaTheme="minorEastAsia" w:hAnsi="Arial" w:cs="Arial"/>
        </w:rPr>
        <w:t>i</w:t>
      </w:r>
      <w:r w:rsidR="00B16AC0" w:rsidRPr="004122DD">
        <w:rPr>
          <w:rFonts w:ascii="Arial" w:eastAsiaTheme="minorEastAsia" w:hAnsi="Arial" w:cs="Arial"/>
        </w:rPr>
        <w:t>n</w:t>
      </w:r>
      <w:r w:rsidR="005638FC">
        <w:rPr>
          <w:rFonts w:ascii="Arial" w:eastAsiaTheme="minorEastAsia" w:hAnsi="Arial" w:cs="Arial"/>
        </w:rPr>
        <w:t xml:space="preserve"> </w:t>
      </w:r>
      <w:r w:rsidR="005638FC">
        <w:rPr>
          <w:rFonts w:ascii="Arial" w:eastAsiaTheme="minorEastAsia" w:hAnsi="Arial" w:cs="Arial"/>
          <w:i/>
          <w:iCs/>
        </w:rPr>
        <w:t>Neumann et al.</w:t>
      </w:r>
      <w:r w:rsidR="005638FC">
        <w:rPr>
          <w:rFonts w:ascii="Arial" w:eastAsiaTheme="minorEastAsia" w:hAnsi="Arial" w:cs="Arial"/>
          <w:i/>
          <w:iCs/>
        </w:rPr>
        <w:fldChar w:fldCharType="begin" w:fldLock="1"/>
      </w:r>
      <w:r w:rsidR="00AC7EF1">
        <w:rPr>
          <w:rFonts w:ascii="Arial" w:eastAsiaTheme="minorEastAsia" w:hAnsi="Arial" w:cs="Arial"/>
          <w:i/>
          <w:iCs/>
        </w:rPr>
        <w:instrText>ADDIN CSL_CITATION {"citationItems":[{"id":"ITEM-1","itemData":{"author":[{"dropping-particle":"","family":"Neumann","given":"Gerhard","non-dropping-particle":"","parse-names":false,"suffix":""},{"dropping-particle":"","family":"Tuijn","given":"Cornelis","non-dropping-particle":"","parse-names":false,"suffix":""}],"id":"ITEM-1","issued":{"date-parts":[["2011"]]},"publisher":"Elsevier","title":"Self-diffusion and impurity diffusion in pure metals: handbook of experimental data","type":"book","volume":"14"},"uris":["http://www.mendeley.com/documents/?uuid=f6937655-4c76-40ce-ab38-2d6f98097682"]}],"mendeley":{"formattedCitation":"&lt;sup&gt;16&lt;/sup&gt;","plainTextFormattedCitation":"16","previouslyFormattedCitation":"&lt;sup&gt;16&lt;/sup&gt;"},"properties":{"noteIndex":0},"schema":"https://github.com/citation-style-language/schema/raw/master/csl-citation.json"}</w:instrText>
      </w:r>
      <w:r w:rsidR="005638FC">
        <w:rPr>
          <w:rFonts w:ascii="Arial" w:eastAsiaTheme="minorEastAsia" w:hAnsi="Arial" w:cs="Arial"/>
          <w:i/>
          <w:iCs/>
        </w:rPr>
        <w:fldChar w:fldCharType="separate"/>
      </w:r>
      <w:r w:rsidR="002D1C4E" w:rsidRPr="002D1C4E">
        <w:rPr>
          <w:rFonts w:ascii="Arial" w:eastAsiaTheme="minorEastAsia" w:hAnsi="Arial" w:cs="Arial"/>
          <w:iCs/>
          <w:noProof/>
          <w:vertAlign w:val="superscript"/>
        </w:rPr>
        <w:t>16</w:t>
      </w:r>
      <w:r w:rsidR="005638FC">
        <w:rPr>
          <w:rFonts w:ascii="Arial" w:eastAsiaTheme="minorEastAsia" w:hAnsi="Arial" w:cs="Arial"/>
          <w:i/>
          <w:iCs/>
        </w:rPr>
        <w:fldChar w:fldCharType="end"/>
      </w:r>
      <w:r w:rsidR="005638FC">
        <w:rPr>
          <w:rFonts w:ascii="Arial" w:eastAsiaTheme="minorEastAsia" w:hAnsi="Arial" w:cs="Arial"/>
          <w:i/>
          <w:iCs/>
        </w:rPr>
        <w:t>).</w:t>
      </w:r>
      <w:r w:rsidR="005638FC">
        <w:rPr>
          <w:rFonts w:ascii="Arial" w:eastAsiaTheme="minorEastAsia" w:hAnsi="Arial" w:cs="Arial"/>
        </w:rPr>
        <w:t xml:space="preserve"> </w:t>
      </w:r>
      <w:r w:rsidR="00B16AC0" w:rsidRPr="004122DD">
        <w:rPr>
          <w:rFonts w:ascii="Arial" w:hAnsi="Arial" w:cs="Arial"/>
        </w:rPr>
        <w:t xml:space="preserve">These values for bulk diffusivity are much too small compared to the needed </w:t>
      </w:r>
      <m:oMath>
        <m:sSup>
          <m:sSupPr>
            <m:ctrlPr>
              <w:rPr>
                <w:rFonts w:ascii="Cambria Math" w:hAnsi="Cambria Math" w:cs="Arial"/>
                <w:i/>
              </w:rPr>
            </m:ctrlPr>
          </m:sSupPr>
          <m:e>
            <m:r>
              <w:rPr>
                <w:rFonts w:ascii="Cambria Math" w:hAnsi="Cambria Math" w:cs="Arial"/>
              </w:rPr>
              <m:t>10</m:t>
            </m:r>
          </m:e>
          <m:sup>
            <m:r>
              <w:rPr>
                <w:rFonts w:ascii="Cambria Math" w:hAnsi="Cambria Math" w:cs="Arial"/>
              </w:rPr>
              <m:t>-18</m:t>
            </m:r>
          </m:sup>
        </m:sSup>
        <m:r>
          <w:rPr>
            <w:rFonts w:ascii="Cambria Math" w:hAnsi="Cambria Math" w:cs="Arial"/>
          </w:rPr>
          <m:t xml:space="preserve"> </m:t>
        </m:r>
      </m:oMath>
      <w:r w:rsidR="00B16AC0" w:rsidRPr="004122DD">
        <w:rPr>
          <w:rFonts w:ascii="Arial" w:hAnsi="Arial" w:cs="Arial"/>
        </w:rPr>
        <w:t xml:space="preserve">m²/s. </w:t>
      </w:r>
      <w:r w:rsidR="004E5800">
        <w:rPr>
          <w:rFonts w:ascii="Arial" w:hAnsi="Arial" w:cs="Arial"/>
        </w:rPr>
        <w:t>However, i</w:t>
      </w:r>
      <w:r>
        <w:rPr>
          <w:rFonts w:ascii="Arial" w:hAnsi="Arial" w:cs="Arial"/>
        </w:rPr>
        <w:t>t must</w:t>
      </w:r>
      <w:r w:rsidR="00B16AC0" w:rsidRPr="004122DD">
        <w:rPr>
          <w:rFonts w:ascii="Arial" w:hAnsi="Arial" w:cs="Arial"/>
        </w:rPr>
        <w:t xml:space="preserve"> be stressed that grain boundary diffusion might occur as well and</w:t>
      </w:r>
      <w:r w:rsidR="004E5800">
        <w:rPr>
          <w:rFonts w:ascii="Arial" w:hAnsi="Arial" w:cs="Arial"/>
        </w:rPr>
        <w:t xml:space="preserve"> known to be</w:t>
      </w:r>
      <w:r w:rsidR="00B16AC0" w:rsidRPr="004122DD">
        <w:rPr>
          <w:rFonts w:ascii="Arial" w:hAnsi="Arial" w:cs="Arial"/>
        </w:rPr>
        <w:t xml:space="preserve"> three to five orders of magnitude larger than the bulk values calculated here</w:t>
      </w:r>
      <w:r w:rsidR="005638FC">
        <w:rPr>
          <w:rFonts w:ascii="Arial" w:hAnsi="Arial" w:cs="Arial"/>
        </w:rPr>
        <w:t>.</w:t>
      </w:r>
      <w:r w:rsidR="005638FC">
        <w:rPr>
          <w:rFonts w:ascii="Arial" w:hAnsi="Arial" w:cs="Arial"/>
        </w:rPr>
        <w:fldChar w:fldCharType="begin" w:fldLock="1"/>
      </w:r>
      <w:r w:rsidR="00AC7EF1">
        <w:rPr>
          <w:rFonts w:ascii="Arial" w:hAnsi="Arial" w:cs="Arial"/>
        </w:rPr>
        <w:instrText>ADDIN CSL_CITATION {"citationItems":[{"id":"ITEM-1","itemData":{"author":[{"dropping-particle":"","family":"Mehrer","given":"Helmut","non-dropping-particle":"","parse-names":false,"suffix":""}],"id":"ITEM-1","issued":{"date-parts":[["2007"]]},"publisher":"Springer Science &amp; Business Media","title":"Diffusion in solids: fundamentals, methods, materials, diffusion-controlled processes","type":"book","volume":"155"},"uris":["http://www.mendeley.com/documents/?uuid=d4cb3e2e-9357-4f91-b99d-19f594f8a210"]},{"id":"ITEM-2","itemData":{"author":[{"dropping-particle":"","family":"Kaur","given":"Inderjeet","non-dropping-particle":"","parse-names":false,"suffix":""},{"dropping-particle":"","family":"Gust","given":"Wolfgang","non-dropping-particle":"","parse-names":false,"suffix":""},{"dropping-particle":"","family":"Kozma","given":"Laszlo","non-dropping-particle":"","parse-names":false,"suffix":""}],"id":"ITEM-2","issued":{"date-parts":[["1989"]]},"publisher":"Ziegler Press Stuttgart","title":"Handbook of grain and interphase boundary diffusion data","type":"book","volume":"1"},"uris":["http://www.mendeley.com/documents/?uuid=f6f4458f-eabd-4fba-bfd8-943eae1054b9"]},{"id":"ITEM-3","itemData":{"author":[{"dropping-particle":"","family":"Tisone","given":"T C","non-dropping-particle":"","parse-names":false,"suffix":""},{"dropping-particle":"","family":"Drobek","given":"J","non-dropping-particle":"","parse-names":false,"suffix":""}],"container-title":"Journal of Vacuum Science and Technology","id":"ITEM-3","issue":"1","issued":{"date-parts":[["1972"]]},"page":"271-275","publisher":"AVS","title":"Diffusion in thin film Ti--Au, Ti--Pd, and Ti--Pt couples","type":"article-journal","volume":"9"},"uris":["http://www.mendeley.com/documents/?uuid=daa5eab4-d7f6-400d-adaa-2e10b3acc3b9"]}],"mendeley":{"formattedCitation":"&lt;sup&gt;14,15,17&lt;/sup&gt;","plainTextFormattedCitation":"14,15,17","previouslyFormattedCitation":"&lt;sup&gt;14,15,17&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14,15,17</w:t>
      </w:r>
      <w:r w:rsidR="005638FC">
        <w:rPr>
          <w:rFonts w:ascii="Arial" w:hAnsi="Arial" w:cs="Arial"/>
        </w:rPr>
        <w:fldChar w:fldCharType="end"/>
      </w:r>
      <w:r w:rsidR="00992CE7">
        <w:rPr>
          <w:rFonts w:ascii="Arial" w:hAnsi="Arial" w:cs="Arial"/>
        </w:rPr>
        <w:t xml:space="preserve"> </w:t>
      </w:r>
      <w:r w:rsidR="00B16AC0" w:rsidRPr="004122DD">
        <w:rPr>
          <w:rFonts w:ascii="Arial" w:hAnsi="Arial" w:cs="Arial"/>
        </w:rPr>
        <w:t>Thus, from kinetic</w:t>
      </w:r>
      <w:r w:rsidR="004E5800">
        <w:rPr>
          <w:rFonts w:ascii="Arial" w:hAnsi="Arial" w:cs="Arial"/>
        </w:rPr>
        <w:t>s</w:t>
      </w:r>
      <w:r w:rsidR="00B16AC0" w:rsidRPr="004122DD">
        <w:rPr>
          <w:rFonts w:ascii="Arial" w:hAnsi="Arial" w:cs="Arial"/>
        </w:rPr>
        <w:t xml:space="preserve"> and diffusion point of view, such concentration profiles as </w:t>
      </w:r>
      <w:r w:rsidR="005638FC">
        <w:rPr>
          <w:rFonts w:ascii="Arial" w:hAnsi="Arial" w:cs="Arial"/>
        </w:rPr>
        <w:t>shown in Figure S5</w:t>
      </w:r>
      <w:r w:rsidR="00B16AC0" w:rsidRPr="004122DD">
        <w:rPr>
          <w:rFonts w:ascii="Arial" w:hAnsi="Arial" w:cs="Arial"/>
        </w:rPr>
        <w:t xml:space="preserve"> are possible.</w:t>
      </w:r>
    </w:p>
    <w:p w14:paraId="7D27B53E" w14:textId="3C8821A2" w:rsidR="00B16AC0" w:rsidRPr="004122DD" w:rsidRDefault="00B16AC0" w:rsidP="00FE6F3C">
      <w:pPr>
        <w:spacing w:line="480" w:lineRule="auto"/>
        <w:ind w:firstLine="720"/>
        <w:jc w:val="both"/>
        <w:rPr>
          <w:rFonts w:ascii="Arial" w:hAnsi="Arial" w:cs="Arial"/>
        </w:rPr>
      </w:pPr>
      <w:r w:rsidRPr="004122DD">
        <w:rPr>
          <w:rFonts w:ascii="Arial" w:hAnsi="Arial" w:cs="Arial"/>
        </w:rPr>
        <w:t>To understand the sequence of processes and the shape of the concentration profiles in detail</w:t>
      </w:r>
      <w:r w:rsidR="004E5800">
        <w:rPr>
          <w:rFonts w:ascii="Arial" w:hAnsi="Arial" w:cs="Arial"/>
        </w:rPr>
        <w:t>,</w:t>
      </w:r>
      <w:r w:rsidRPr="004122DD">
        <w:rPr>
          <w:rFonts w:ascii="Arial" w:hAnsi="Arial" w:cs="Arial"/>
        </w:rPr>
        <w:t xml:space="preserve"> the thermodynamics of the binary systems serve </w:t>
      </w:r>
      <w:r w:rsidR="004E5800">
        <w:rPr>
          <w:rFonts w:ascii="Arial" w:hAnsi="Arial" w:cs="Arial"/>
        </w:rPr>
        <w:t xml:space="preserve">as </w:t>
      </w:r>
      <w:r w:rsidRPr="004122DD">
        <w:rPr>
          <w:rFonts w:ascii="Arial" w:hAnsi="Arial" w:cs="Arial"/>
        </w:rPr>
        <w:t>acceptable approximation</w:t>
      </w:r>
      <w:r w:rsidR="004E5800">
        <w:rPr>
          <w:rFonts w:ascii="Arial" w:hAnsi="Arial" w:cs="Arial"/>
        </w:rPr>
        <w:t>s</w:t>
      </w:r>
      <w:r w:rsidRPr="004122DD">
        <w:rPr>
          <w:rFonts w:ascii="Arial" w:hAnsi="Arial" w:cs="Arial"/>
        </w:rPr>
        <w:t xml:space="preserve"> to estimate solub</w:t>
      </w:r>
      <w:r w:rsidRPr="00A24FF2">
        <w:rPr>
          <w:rFonts w:ascii="Arial" w:hAnsi="Arial" w:cs="Arial"/>
        </w:rPr>
        <w:t>ility limits (thermodynamic factor of diffusion</w:t>
      </w:r>
      <w:r w:rsidR="005638FC" w:rsidRPr="00A24FF2">
        <w:rPr>
          <w:rFonts w:ascii="Arial" w:hAnsi="Arial" w:cs="Arial"/>
        </w:rPr>
        <w:t>)</w:t>
      </w:r>
      <w:r w:rsidR="005638FC" w:rsidRPr="00A24FF2">
        <w:rPr>
          <w:rFonts w:ascii="Arial" w:hAnsi="Arial" w:cs="Arial"/>
        </w:rPr>
        <w:fldChar w:fldCharType="begin" w:fldLock="1"/>
      </w:r>
      <w:r w:rsidR="00AC7EF1">
        <w:rPr>
          <w:rFonts w:ascii="Arial" w:hAnsi="Arial" w:cs="Arial"/>
        </w:rPr>
        <w:instrText>ADDIN CSL_CITATION {"citationItems":[{"id":"ITEM-1","itemData":{"author":[{"dropping-particle":"","family":"Mehrer","given":"Helmut","non-dropping-particle":"","parse-names":false,"suffix":""}],"id":"ITEM-1","issued":{"date-parts":[["2007"]]},"publisher":"Springer Science &amp; Business Media","title":"Diffusion in solids: fundamentals, methods, materials, diffusion-controlled processes","type":"book","volume":"155"},"uris":["http://www.mendeley.com/documents/?uuid=d4cb3e2e-9357-4f91-b99d-19f594f8a210"]}],"mendeley":{"formattedCitation":"&lt;sup&gt;14&lt;/sup&gt;","plainTextFormattedCitation":"14","previouslyFormattedCitation":"&lt;sup&gt;14&lt;/sup&gt;"},"properties":{"noteIndex":0},"schema":"https://github.com/citation-style-language/schema/raw/master/csl-citation.json"}</w:instrText>
      </w:r>
      <w:r w:rsidR="005638FC" w:rsidRPr="00A24FF2">
        <w:rPr>
          <w:rFonts w:ascii="Arial" w:hAnsi="Arial" w:cs="Arial"/>
        </w:rPr>
        <w:fldChar w:fldCharType="separate"/>
      </w:r>
      <w:r w:rsidR="002D1C4E" w:rsidRPr="002D1C4E">
        <w:rPr>
          <w:rFonts w:ascii="Arial" w:hAnsi="Arial" w:cs="Arial"/>
          <w:noProof/>
          <w:vertAlign w:val="superscript"/>
        </w:rPr>
        <w:t>14</w:t>
      </w:r>
      <w:r w:rsidR="005638FC" w:rsidRPr="00A24FF2">
        <w:rPr>
          <w:rFonts w:ascii="Arial" w:hAnsi="Arial" w:cs="Arial"/>
        </w:rPr>
        <w:fldChar w:fldCharType="end"/>
      </w:r>
      <w:r w:rsidRPr="00A24FF2">
        <w:rPr>
          <w:rFonts w:ascii="Arial" w:hAnsi="Arial" w:cs="Arial"/>
        </w:rPr>
        <w:t xml:space="preserve"> in multiple phase systems.</w:t>
      </w:r>
      <w:r w:rsidRPr="004122DD">
        <w:rPr>
          <w:rFonts w:ascii="Arial" w:hAnsi="Arial" w:cs="Arial"/>
        </w:rPr>
        <w:t xml:space="preserve"> The binary phase diagrams describe for the system {</w:t>
      </w:r>
      <w:proofErr w:type="spellStart"/>
      <w:r w:rsidRPr="004122DD">
        <w:rPr>
          <w:rFonts w:ascii="Arial" w:hAnsi="Arial" w:cs="Arial"/>
        </w:rPr>
        <w:t>Ti</w:t>
      </w:r>
      <w:proofErr w:type="spellEnd"/>
      <w:r w:rsidRPr="004122DD">
        <w:rPr>
          <w:rFonts w:ascii="Arial" w:hAnsi="Arial" w:cs="Arial"/>
        </w:rPr>
        <w:t>-Ta}: good solubility with two intermetallic phases (IPs)</w:t>
      </w:r>
      <w:r w:rsidR="005638FC">
        <w:rPr>
          <w:rFonts w:ascii="Arial" w:hAnsi="Arial" w:cs="Arial"/>
        </w:rPr>
        <w:t>,</w:t>
      </w:r>
      <w:r w:rsidR="005638FC">
        <w:rPr>
          <w:rFonts w:ascii="Arial" w:hAnsi="Arial" w:cs="Arial"/>
        </w:rPr>
        <w:fldChar w:fldCharType="begin" w:fldLock="1"/>
      </w:r>
      <w:r w:rsidR="00AC7EF1">
        <w:rPr>
          <w:rFonts w:ascii="Arial" w:hAnsi="Arial" w:cs="Arial"/>
        </w:rPr>
        <w:instrText>ADDIN CSL_CITATION {"citationItems":[{"id":"ITEM-1","itemData":{"author":[{"dropping-particle":"","family":"Murray","given":"Joanne L","non-dropping-particle":"","parse-names":false,"suffix":""}],"container-title":"Bulletin of Alloy Phase Diagrams","id":"ITEM-1","issue":"1","issued":{"date-parts":[["1981"]]},"page":"62-66","publisher":"Springer","title":"The Ta- Ti (Tantalum-Titanium) system","type":"article-journal","volume":"2"},"uris":["http://www.mendeley.com/documents/?uuid=bc7255ef-d235-4820-8f35-67cedb3babee"]}],"mendeley":{"formattedCitation":"&lt;sup&gt;18&lt;/sup&gt;","plainTextFormattedCitation":"18","previouslyFormattedCitation":"&lt;sup&gt;18&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18</w:t>
      </w:r>
      <w:r w:rsidR="005638FC">
        <w:rPr>
          <w:rFonts w:ascii="Arial" w:hAnsi="Arial" w:cs="Arial"/>
        </w:rPr>
        <w:fldChar w:fldCharType="end"/>
      </w:r>
      <w:r w:rsidRPr="004122DD">
        <w:rPr>
          <w:rFonts w:ascii="Arial" w:hAnsi="Arial" w:cs="Arial"/>
        </w:rPr>
        <w:t xml:space="preserve"> for {Ta-Pt}: little solubility and a large number of IPs,</w:t>
      </w:r>
      <w:r w:rsidR="005638FC">
        <w:rPr>
          <w:rFonts w:ascii="Arial" w:hAnsi="Arial" w:cs="Arial"/>
        </w:rPr>
        <w:fldChar w:fldCharType="begin" w:fldLock="1"/>
      </w:r>
      <w:r w:rsidR="00AC7EF1">
        <w:rPr>
          <w:rFonts w:ascii="Arial" w:hAnsi="Arial" w:cs="Arial"/>
        </w:rPr>
        <w:instrText>ADDIN CSL_CITATION {"citationItems":[{"id":"ITEM-1","itemData":{"author":[{"dropping-particle":"","family":"Waterstrat","given":"R M","non-dropping-particle":"","parse-names":false,"suffix":""}],"container-title":"Journal of the Less Common Metals","id":"ITEM-1","issue":"1","issued":{"date-parts":[["1981"]]},"page":"P31--P36","publisher":"Elsevier","title":"Analysis of selected alloys in the systems Cr-Pd, Cr-Ru, V-Pd and Ta-Pt","type":"article-journal","volume":"80"},"uris":["http://www.mendeley.com/documents/?uuid=47838d17-4c7d-4e3b-95e9-b86e82c9a21b"]}],"mendeley":{"formattedCitation":"&lt;sup&gt;19&lt;/sup&gt;","plainTextFormattedCitation":"19","previouslyFormattedCitation":"&lt;sup&gt;19&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19</w:t>
      </w:r>
      <w:r w:rsidR="005638FC">
        <w:rPr>
          <w:rFonts w:ascii="Arial" w:hAnsi="Arial" w:cs="Arial"/>
        </w:rPr>
        <w:fldChar w:fldCharType="end"/>
      </w:r>
      <w:r w:rsidR="00992CE7" w:rsidRPr="00992CE7">
        <w:t xml:space="preserve"> </w:t>
      </w:r>
      <w:r w:rsidRPr="004122DD">
        <w:rPr>
          <w:rFonts w:ascii="Arial" w:hAnsi="Arial" w:cs="Arial"/>
        </w:rPr>
        <w:t>for {</w:t>
      </w:r>
      <w:proofErr w:type="spellStart"/>
      <w:r w:rsidRPr="004122DD">
        <w:rPr>
          <w:rFonts w:ascii="Arial" w:hAnsi="Arial" w:cs="Arial"/>
        </w:rPr>
        <w:t>Ti</w:t>
      </w:r>
      <w:proofErr w:type="spellEnd"/>
      <w:r w:rsidRPr="004122DD">
        <w:rPr>
          <w:rFonts w:ascii="Arial" w:hAnsi="Arial" w:cs="Arial"/>
        </w:rPr>
        <w:t>-Pt}: little solubility with large number of IPs,</w:t>
      </w:r>
      <w:r w:rsidR="005638FC">
        <w:rPr>
          <w:rFonts w:ascii="Arial" w:hAnsi="Arial" w:cs="Arial"/>
        </w:rPr>
        <w:fldChar w:fldCharType="begin" w:fldLock="1"/>
      </w:r>
      <w:r w:rsidR="00AC7EF1">
        <w:rPr>
          <w:rFonts w:ascii="Arial" w:hAnsi="Arial" w:cs="Arial"/>
        </w:rPr>
        <w:instrText>ADDIN CSL_CITATION {"citationItems":[{"id":"ITEM-1","itemData":{"author":[{"dropping-particle":"","family":"Murray","given":"Joanne L","non-dropping-particle":"","parse-names":false,"suffix":""}],"container-title":"Bulletin Of Alloy Phase Diagrams","id":"ITEM-1","issue":"3","issued":{"date-parts":[["1982"]]},"page":"329-335","publisher":"Springer","title":"The Pt- Ti (Platinum- Titanium) system","type":"article-journal","volume":"3"},"uris":["http://www.mendeley.com/documents/?uuid=6c2698f3-6499-4aac-9186-87ed0bcf168d"]}],"mendeley":{"formattedCitation":"&lt;sup&gt;20&lt;/sup&gt;","plainTextFormattedCitation":"20","previouslyFormattedCitation":"&lt;sup&gt;20&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20</w:t>
      </w:r>
      <w:r w:rsidR="005638FC">
        <w:rPr>
          <w:rFonts w:ascii="Arial" w:hAnsi="Arial" w:cs="Arial"/>
        </w:rPr>
        <w:fldChar w:fldCharType="end"/>
      </w:r>
      <w:r w:rsidR="00992CE7" w:rsidRPr="00992CE7">
        <w:t xml:space="preserve"> </w:t>
      </w:r>
      <w:r w:rsidRPr="004122DD">
        <w:rPr>
          <w:rFonts w:ascii="Arial" w:hAnsi="Arial" w:cs="Arial"/>
        </w:rPr>
        <w:t>for {Ni-Ta}: medium solubility and large number of IPs</w:t>
      </w:r>
      <w:r w:rsidR="005638FC">
        <w:rPr>
          <w:rFonts w:ascii="Arial" w:hAnsi="Arial" w:cs="Arial"/>
        </w:rPr>
        <w:t>,</w:t>
      </w:r>
      <w:r w:rsidR="005638FC">
        <w:rPr>
          <w:rFonts w:ascii="Arial" w:hAnsi="Arial" w:cs="Arial"/>
        </w:rPr>
        <w:fldChar w:fldCharType="begin" w:fldLock="1"/>
      </w:r>
      <w:r w:rsidR="00AC7EF1">
        <w:rPr>
          <w:rFonts w:ascii="Arial" w:hAnsi="Arial" w:cs="Arial"/>
        </w:rPr>
        <w:instrText>ADDIN CSL_CITATION {"citationItems":[{"id":"ITEM-1","itemData":{"author":[{"dropping-particle":"","family":"Larson","given":"J M","non-dropping-particle":"","parse-names":false,"suffix":""},{"dropping-particle":"","family":"Taggart","given":"R","non-dropping-particle":"","parse-names":false,"suffix":""},{"dropping-particle":"","family":"Polonis","given":"D H","non-dropping-particle":"","parse-names":false,"suffix":""}],"container-title":"Metallurgical and Materials Transactions B","id":"ITEM-1","issue":"2","issued":{"date-parts":[["1970"]]},"page":"485-489","publisher":"Springer","title":"Ni 8 Ta in nickel-rich Ni- Ta alloys","type":"article-journal","volume":"1"},"uris":["http://www.mendeley.com/documents/?uuid=9668647f-3f28-48c1-a318-3b7895eac2a0"]}],"mendeley":{"formattedCitation":"&lt;sup&gt;21&lt;/sup&gt;","plainTextFormattedCitation":"21","previouslyFormattedCitation":"&lt;sup&gt;21&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21</w:t>
      </w:r>
      <w:r w:rsidR="005638FC">
        <w:rPr>
          <w:rFonts w:ascii="Arial" w:hAnsi="Arial" w:cs="Arial"/>
        </w:rPr>
        <w:fldChar w:fldCharType="end"/>
      </w:r>
      <w:r w:rsidR="00992CE7">
        <w:rPr>
          <w:rFonts w:ascii="Arial" w:hAnsi="Arial" w:cs="Arial"/>
        </w:rPr>
        <w:t xml:space="preserve"> </w:t>
      </w:r>
      <w:r w:rsidRPr="004122DD">
        <w:rPr>
          <w:rFonts w:ascii="Arial" w:hAnsi="Arial" w:cs="Arial"/>
        </w:rPr>
        <w:t>and for {Cu-Ta}: no solubility</w:t>
      </w:r>
      <w:r w:rsidR="005638FC">
        <w:rPr>
          <w:rFonts w:ascii="Arial" w:hAnsi="Arial" w:cs="Arial"/>
        </w:rPr>
        <w:t>.</w:t>
      </w:r>
      <w:r w:rsidR="005638FC">
        <w:rPr>
          <w:rFonts w:ascii="Arial" w:hAnsi="Arial" w:cs="Arial"/>
        </w:rPr>
        <w:fldChar w:fldCharType="begin" w:fldLock="1"/>
      </w:r>
      <w:r w:rsidR="00AC7EF1">
        <w:rPr>
          <w:rFonts w:ascii="Arial" w:hAnsi="Arial" w:cs="Arial"/>
        </w:rPr>
        <w:instrText>ADDIN CSL_CITATION {"citationItems":[{"id":"ITEM-1","itemData":{"author":[{"dropping-particle":"","family":"Subramanian","given":"P R","non-dropping-particle":"","parse-names":false,"suffix":""},{"dropping-particle":"","family":"Laughlin","given":"D E","non-dropping-particle":"","parse-names":false,"suffix":""}],"container-title":"Bulletin of alloy phase diagrams","id":"ITEM-1","issue":"6","issued":{"date-parts":[["1989"]]},"page":"652-655","publisher":"Springer","title":"The Cu-Ta (copper-tantalum) system","type":"article-journal","volume":"10"},"uris":["http://www.mendeley.com/documents/?uuid=b9d57332-a609-42c1-be43-b1a4926c2080"]}],"mendeley":{"formattedCitation":"&lt;sup&gt;22&lt;/sup&gt;","plainTextFormattedCitation":"22","previouslyFormattedCitation":"&lt;sup&gt;22&lt;/sup&gt;"},"properties":{"noteIndex":0},"schema":"https://github.com/citation-style-language/schema/raw/master/csl-citation.json"}</w:instrText>
      </w:r>
      <w:r w:rsidR="005638FC">
        <w:rPr>
          <w:rFonts w:ascii="Arial" w:hAnsi="Arial" w:cs="Arial"/>
        </w:rPr>
        <w:fldChar w:fldCharType="separate"/>
      </w:r>
      <w:r w:rsidR="002D1C4E" w:rsidRPr="002D1C4E">
        <w:rPr>
          <w:rFonts w:ascii="Arial" w:hAnsi="Arial" w:cs="Arial"/>
          <w:noProof/>
          <w:vertAlign w:val="superscript"/>
        </w:rPr>
        <w:t>22</w:t>
      </w:r>
      <w:r w:rsidR="005638FC">
        <w:rPr>
          <w:rFonts w:ascii="Arial" w:hAnsi="Arial" w:cs="Arial"/>
        </w:rPr>
        <w:fldChar w:fldCharType="end"/>
      </w:r>
      <w:r w:rsidR="00992CE7">
        <w:rPr>
          <w:rFonts w:ascii="Arial" w:hAnsi="Arial" w:cs="Arial"/>
        </w:rPr>
        <w:t xml:space="preserve"> </w:t>
      </w:r>
    </w:p>
    <w:p w14:paraId="7761159D" w14:textId="77777777" w:rsidR="00B16AC0" w:rsidRPr="004122DD" w:rsidRDefault="00B16AC0" w:rsidP="00FE6F3C">
      <w:pPr>
        <w:spacing w:line="480" w:lineRule="auto"/>
        <w:ind w:firstLine="720"/>
        <w:jc w:val="both"/>
        <w:rPr>
          <w:rFonts w:ascii="Arial" w:hAnsi="Arial" w:cs="Arial"/>
        </w:rPr>
      </w:pPr>
      <w:r w:rsidRPr="004122DD">
        <w:rPr>
          <w:rFonts w:ascii="Arial" w:hAnsi="Arial" w:cs="Arial"/>
        </w:rPr>
        <w:lastRenderedPageBreak/>
        <w:t xml:space="preserve">From the good solubility of </w:t>
      </w:r>
      <w:proofErr w:type="spellStart"/>
      <w:r w:rsidRPr="004122DD">
        <w:rPr>
          <w:rFonts w:ascii="Arial" w:hAnsi="Arial" w:cs="Arial"/>
        </w:rPr>
        <w:t>Ti</w:t>
      </w:r>
      <w:proofErr w:type="spellEnd"/>
      <w:r w:rsidRPr="004122DD">
        <w:rPr>
          <w:rFonts w:ascii="Arial" w:hAnsi="Arial" w:cs="Arial"/>
        </w:rPr>
        <w:t xml:space="preserve"> in Ta and the small grain size of the Ta-layer we expect that first the 10 nm Ta barrier is dissolved by interdiffusion via grain boundary diffusion. Then, without an intact Ta barrier, Ta and Pt start to diffuse towards the boundary of the </w:t>
      </w:r>
      <w:proofErr w:type="spellStart"/>
      <w:r w:rsidRPr="004122DD">
        <w:rPr>
          <w:rFonts w:ascii="Arial" w:hAnsi="Arial" w:cs="Arial"/>
        </w:rPr>
        <w:t>Ti</w:t>
      </w:r>
      <w:proofErr w:type="spellEnd"/>
      <w:r w:rsidRPr="004122DD">
        <w:rPr>
          <w:rFonts w:ascii="Arial" w:hAnsi="Arial" w:cs="Arial"/>
        </w:rPr>
        <w:t xml:space="preserve">-enriched interface layer, Ta also diffuses into the Pt-layer. Formation of binary or ternary </w:t>
      </w:r>
      <w:proofErr w:type="spellStart"/>
      <w:r w:rsidRPr="004122DD">
        <w:rPr>
          <w:rFonts w:ascii="Arial" w:hAnsi="Arial" w:cs="Arial"/>
        </w:rPr>
        <w:t>Ti</w:t>
      </w:r>
      <w:proofErr w:type="spellEnd"/>
      <w:r w:rsidRPr="004122DD">
        <w:rPr>
          <w:rFonts w:ascii="Arial" w:hAnsi="Arial" w:cs="Arial"/>
        </w:rPr>
        <w:t>-Ta-Pt phases having no solubility of Ni, causes a push-back of Ni towards the matrix resulting in a detectable Ni-enrichment there. Cu is also pushed back due to the low solubility of Ta in Cu. Note, the exact nature of phases formed within this diffusion region and the respective grain sizes have not been determined and are assumed to be strongly heterogeneous.</w:t>
      </w:r>
    </w:p>
    <w:p w14:paraId="62871F3F" w14:textId="77777777" w:rsidR="00B16AC0" w:rsidRPr="004122DD" w:rsidRDefault="00B16AC0" w:rsidP="00FE6F3C">
      <w:pPr>
        <w:spacing w:line="480" w:lineRule="auto"/>
        <w:ind w:firstLine="720"/>
        <w:jc w:val="both"/>
        <w:rPr>
          <w:rFonts w:ascii="Arial" w:hAnsi="Arial" w:cs="Arial"/>
        </w:rPr>
      </w:pPr>
      <w:r w:rsidRPr="004122DD">
        <w:rPr>
          <w:rFonts w:ascii="Arial" w:hAnsi="Arial" w:cs="Arial"/>
        </w:rPr>
        <w:t>In summary, it is consistent with kinetics and phase diagrams that first crystallization occurs, then dissolution of the Ta barrier via grain boundary diffusion and then grain boundary diffusion of Ta and Pt into the remaining matrix pushing back Ni and Cu.</w:t>
      </w:r>
    </w:p>
    <w:p w14:paraId="35E1A48A" w14:textId="0DB82D23" w:rsidR="00B42C32" w:rsidRPr="002C2D53" w:rsidRDefault="00B16AC0" w:rsidP="002C2D53">
      <w:pPr>
        <w:pStyle w:val="Bibliography"/>
        <w:jc w:val="both"/>
        <w:rPr>
          <w:rFonts w:ascii="Arial" w:hAnsi="Arial" w:cs="Arial"/>
        </w:rPr>
      </w:pPr>
      <w:r w:rsidRPr="004122DD">
        <w:rPr>
          <w:rFonts w:ascii="Arial" w:hAnsi="Arial" w:cs="Arial"/>
        </w:rPr>
        <w:t xml:space="preserve"> </w:t>
      </w:r>
    </w:p>
    <w:p w14:paraId="291B8694" w14:textId="76A2BC9B" w:rsidR="00B2432F" w:rsidRPr="002C2D53" w:rsidRDefault="00B42C32">
      <w:pPr>
        <w:rPr>
          <w:rFonts w:ascii="Arial" w:hAnsi="Arial" w:cs="Arial"/>
          <w:b/>
          <w:bCs/>
          <w:sz w:val="20"/>
          <w:szCs w:val="20"/>
        </w:rPr>
      </w:pPr>
      <w:r w:rsidRPr="002C2D53">
        <w:rPr>
          <w:rFonts w:ascii="Arial" w:hAnsi="Arial" w:cs="Arial"/>
          <w:b/>
          <w:bCs/>
          <w:sz w:val="20"/>
          <w:szCs w:val="20"/>
        </w:rPr>
        <w:t>References:</w:t>
      </w:r>
    </w:p>
    <w:p w14:paraId="626EE03E" w14:textId="77777777" w:rsidR="00C517A7" w:rsidRDefault="00C517A7" w:rsidP="00C517A7">
      <w:pPr>
        <w:widowControl w:val="0"/>
        <w:autoSpaceDE w:val="0"/>
        <w:autoSpaceDN w:val="0"/>
        <w:adjustRightInd w:val="0"/>
        <w:spacing w:line="240" w:lineRule="auto"/>
        <w:ind w:left="640" w:hanging="640"/>
        <w:rPr>
          <w:rFonts w:ascii="Arial" w:hAnsi="Arial" w:cs="Arial"/>
          <w:noProof/>
          <w:sz w:val="20"/>
          <w:szCs w:val="24"/>
        </w:rPr>
      </w:pPr>
    </w:p>
    <w:p w14:paraId="06BE00E9" w14:textId="0004F803" w:rsidR="00C517A7" w:rsidRPr="002C73B9" w:rsidRDefault="00C517A7" w:rsidP="00C517A7">
      <w:pPr>
        <w:widowControl w:val="0"/>
        <w:autoSpaceDE w:val="0"/>
        <w:autoSpaceDN w:val="0"/>
        <w:adjustRightInd w:val="0"/>
        <w:spacing w:line="240" w:lineRule="auto"/>
        <w:rPr>
          <w:rFonts w:ascii="Arial" w:hAnsi="Arial" w:cs="Arial"/>
          <w:noProof/>
          <w:sz w:val="20"/>
          <w:szCs w:val="24"/>
        </w:rPr>
      </w:pPr>
      <w:r>
        <w:rPr>
          <w:rFonts w:ascii="Arial" w:hAnsi="Arial" w:cs="Arial"/>
          <w:noProof/>
          <w:sz w:val="20"/>
          <w:szCs w:val="24"/>
        </w:rPr>
        <w:t xml:space="preserve">1.        </w:t>
      </w:r>
      <w:r w:rsidRPr="002C73B9">
        <w:rPr>
          <w:rFonts w:ascii="Arial" w:hAnsi="Arial" w:cs="Arial"/>
          <w:noProof/>
          <w:sz w:val="20"/>
          <w:szCs w:val="24"/>
        </w:rPr>
        <w:t xml:space="preserve">M. Zannon: Free Vibration of Thin Film Cantilever Beam. </w:t>
      </w:r>
      <w:r w:rsidRPr="002C73B9">
        <w:rPr>
          <w:rFonts w:ascii="Arial" w:hAnsi="Arial" w:cs="Arial"/>
          <w:i/>
          <w:iCs/>
          <w:noProof/>
          <w:sz w:val="20"/>
          <w:szCs w:val="24"/>
        </w:rPr>
        <w:t>Int. J. Eng. Tech. Res.</w:t>
      </w:r>
      <w:r w:rsidRPr="002C73B9">
        <w:rPr>
          <w:rFonts w:ascii="Arial" w:hAnsi="Arial" w:cs="Arial"/>
          <w:noProof/>
          <w:sz w:val="20"/>
          <w:szCs w:val="24"/>
        </w:rPr>
        <w:t xml:space="preserve"> </w:t>
      </w:r>
      <w:r w:rsidRPr="002C73B9">
        <w:rPr>
          <w:rFonts w:ascii="Arial" w:hAnsi="Arial" w:cs="Arial"/>
          <w:b/>
          <w:bCs/>
          <w:noProof/>
          <w:sz w:val="20"/>
          <w:szCs w:val="24"/>
        </w:rPr>
        <w:t>2</w:t>
      </w:r>
      <w:r w:rsidRPr="002C73B9">
        <w:rPr>
          <w:rFonts w:ascii="Arial" w:hAnsi="Arial" w:cs="Arial"/>
          <w:noProof/>
          <w:sz w:val="20"/>
          <w:szCs w:val="24"/>
        </w:rPr>
        <w:t>, 304 (2014).</w:t>
      </w:r>
    </w:p>
    <w:p w14:paraId="4235A7A3" w14:textId="4979AFA4"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2.</w:t>
      </w:r>
      <w:r w:rsidRPr="002C73B9">
        <w:rPr>
          <w:rFonts w:ascii="Arial" w:hAnsi="Arial" w:cs="Arial"/>
          <w:noProof/>
          <w:sz w:val="20"/>
          <w:szCs w:val="24"/>
        </w:rPr>
        <w:tab/>
        <w:t xml:space="preserve">S. Whitney: Vibrations of cantilever beams: Deflection, frequency, and research uses. </w:t>
      </w:r>
      <w:r w:rsidRPr="002C73B9">
        <w:rPr>
          <w:rFonts w:ascii="Arial" w:hAnsi="Arial" w:cs="Arial"/>
          <w:i/>
          <w:iCs/>
          <w:noProof/>
          <w:sz w:val="20"/>
          <w:szCs w:val="24"/>
        </w:rPr>
        <w:t>Website Apr</w:t>
      </w:r>
      <w:r w:rsidRPr="002C73B9">
        <w:rPr>
          <w:rFonts w:ascii="Arial" w:hAnsi="Arial" w:cs="Arial"/>
          <w:noProof/>
          <w:sz w:val="20"/>
          <w:szCs w:val="24"/>
        </w:rPr>
        <w:t xml:space="preserve"> </w:t>
      </w:r>
      <w:r w:rsidRPr="002C73B9">
        <w:rPr>
          <w:rFonts w:ascii="Arial" w:hAnsi="Arial" w:cs="Arial"/>
          <w:b/>
          <w:bCs/>
          <w:noProof/>
          <w:sz w:val="20"/>
          <w:szCs w:val="24"/>
        </w:rPr>
        <w:t>23</w:t>
      </w:r>
      <w:r w:rsidRPr="002C73B9">
        <w:rPr>
          <w:rFonts w:ascii="Arial" w:hAnsi="Arial" w:cs="Arial"/>
          <w:noProof/>
          <w:sz w:val="20"/>
          <w:szCs w:val="24"/>
        </w:rPr>
        <w:t xml:space="preserve"> (1999).</w:t>
      </w:r>
      <w:r w:rsidR="00C9794E">
        <w:rPr>
          <w:rFonts w:ascii="Arial" w:hAnsi="Arial" w:cs="Arial"/>
          <w:noProof/>
          <w:sz w:val="20"/>
          <w:szCs w:val="24"/>
        </w:rPr>
        <w:t xml:space="preserve"> </w:t>
      </w:r>
      <w:hyperlink r:id="rId13" w:history="1">
        <w:r w:rsidR="00C9794E" w:rsidRPr="00C9794E">
          <w:rPr>
            <w:rStyle w:val="Hyperlink"/>
            <w:rFonts w:ascii="Arial" w:hAnsi="Arial" w:cs="Arial"/>
            <w:noProof/>
            <w:sz w:val="20"/>
            <w:szCs w:val="24"/>
          </w:rPr>
          <w:t>https://imechanica.org/files/Vibrations%20of%20Cantilever%20Beams%20.pdf</w:t>
        </w:r>
      </w:hyperlink>
    </w:p>
    <w:p w14:paraId="1F6CEC83" w14:textId="5C540D2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3.</w:t>
      </w:r>
      <w:r w:rsidRPr="002C73B9">
        <w:rPr>
          <w:rFonts w:ascii="Arial" w:hAnsi="Arial" w:cs="Arial"/>
          <w:noProof/>
          <w:sz w:val="20"/>
          <w:szCs w:val="24"/>
        </w:rPr>
        <w:tab/>
        <w:t xml:space="preserve">V. Röbisch, A. Piorra, R. de Miranda, E. Quandt, and D. Meyners: Frequency-tunable nickel-titanium substrates for magnetoelectric sensors. </w:t>
      </w:r>
      <w:r w:rsidRPr="002C73B9">
        <w:rPr>
          <w:rFonts w:ascii="Arial" w:hAnsi="Arial" w:cs="Arial"/>
          <w:i/>
          <w:iCs/>
          <w:noProof/>
          <w:sz w:val="20"/>
          <w:szCs w:val="24"/>
        </w:rPr>
        <w:t>AIP Adv.</w:t>
      </w:r>
      <w:r w:rsidRPr="002C73B9">
        <w:rPr>
          <w:rFonts w:ascii="Arial" w:hAnsi="Arial" w:cs="Arial"/>
          <w:noProof/>
          <w:sz w:val="20"/>
          <w:szCs w:val="24"/>
        </w:rPr>
        <w:t xml:space="preserve"> </w:t>
      </w:r>
      <w:r w:rsidRPr="002C73B9">
        <w:rPr>
          <w:rFonts w:ascii="Arial" w:hAnsi="Arial" w:cs="Arial"/>
          <w:b/>
          <w:bCs/>
          <w:noProof/>
          <w:sz w:val="20"/>
          <w:szCs w:val="24"/>
        </w:rPr>
        <w:t>8</w:t>
      </w:r>
      <w:r w:rsidRPr="002C73B9">
        <w:rPr>
          <w:rFonts w:ascii="Arial" w:hAnsi="Arial" w:cs="Arial"/>
          <w:noProof/>
          <w:sz w:val="20"/>
          <w:szCs w:val="24"/>
        </w:rPr>
        <w:t>, 125320 (2018).</w:t>
      </w:r>
    </w:p>
    <w:p w14:paraId="30BA1E54" w14:textId="1F89848F"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4.</w:t>
      </w:r>
      <w:r w:rsidRPr="002C73B9">
        <w:rPr>
          <w:rFonts w:ascii="Arial" w:hAnsi="Arial" w:cs="Arial"/>
          <w:noProof/>
          <w:sz w:val="20"/>
          <w:szCs w:val="24"/>
        </w:rPr>
        <w:tab/>
        <w:t xml:space="preserve">P. Zhao, Z. Zhao, D. Hunter, R. Suchoski, C. Gao, S. Mathews, M. Wuttig, and I. Takeuchi: Fabrication and characterization of all-thin-film magnetoelectric sensors. </w:t>
      </w:r>
      <w:r w:rsidRPr="002C73B9">
        <w:rPr>
          <w:rFonts w:ascii="Arial" w:hAnsi="Arial" w:cs="Arial"/>
          <w:i/>
          <w:iCs/>
          <w:noProof/>
          <w:sz w:val="20"/>
          <w:szCs w:val="24"/>
        </w:rPr>
        <w:t>Appl. Phys. Lett.</w:t>
      </w:r>
      <w:r w:rsidRPr="002C73B9">
        <w:rPr>
          <w:rFonts w:ascii="Arial" w:hAnsi="Arial" w:cs="Arial"/>
          <w:noProof/>
          <w:sz w:val="20"/>
          <w:szCs w:val="24"/>
        </w:rPr>
        <w:t xml:space="preserve"> </w:t>
      </w:r>
      <w:r w:rsidRPr="002C73B9">
        <w:rPr>
          <w:rFonts w:ascii="Arial" w:hAnsi="Arial" w:cs="Arial"/>
          <w:b/>
          <w:bCs/>
          <w:noProof/>
          <w:sz w:val="20"/>
          <w:szCs w:val="24"/>
        </w:rPr>
        <w:t>94</w:t>
      </w:r>
      <w:r w:rsidRPr="002C73B9">
        <w:rPr>
          <w:rFonts w:ascii="Arial" w:hAnsi="Arial" w:cs="Arial"/>
          <w:noProof/>
          <w:sz w:val="20"/>
          <w:szCs w:val="24"/>
        </w:rPr>
        <w:t>, 243507 (2009).</w:t>
      </w:r>
    </w:p>
    <w:p w14:paraId="6F2A53F4" w14:textId="79AF314C" w:rsidR="00C517A7" w:rsidRPr="00FE6F3C" w:rsidRDefault="00C517A7" w:rsidP="00C517A7">
      <w:pPr>
        <w:widowControl w:val="0"/>
        <w:autoSpaceDE w:val="0"/>
        <w:autoSpaceDN w:val="0"/>
        <w:adjustRightInd w:val="0"/>
        <w:spacing w:line="240" w:lineRule="auto"/>
        <w:ind w:left="640" w:hanging="640"/>
        <w:rPr>
          <w:rFonts w:ascii="Arial" w:hAnsi="Arial" w:cs="Arial"/>
          <w:noProof/>
          <w:sz w:val="20"/>
          <w:szCs w:val="20"/>
        </w:rPr>
      </w:pPr>
      <w:r w:rsidRPr="002C73B9">
        <w:rPr>
          <w:rFonts w:ascii="Arial" w:hAnsi="Arial" w:cs="Arial"/>
          <w:noProof/>
          <w:sz w:val="20"/>
          <w:szCs w:val="24"/>
        </w:rPr>
        <w:t>5.</w:t>
      </w:r>
      <w:r w:rsidRPr="002C73B9">
        <w:rPr>
          <w:rFonts w:ascii="Arial" w:hAnsi="Arial" w:cs="Arial"/>
          <w:noProof/>
          <w:sz w:val="20"/>
          <w:szCs w:val="24"/>
        </w:rPr>
        <w:tab/>
      </w:r>
      <w:r w:rsidR="00C9794E" w:rsidRPr="00FE6F3C">
        <w:rPr>
          <w:rFonts w:ascii="Arial" w:hAnsi="Arial" w:cs="Arial"/>
          <w:sz w:val="20"/>
          <w:szCs w:val="20"/>
          <w:shd w:val="clear" w:color="auto" w:fill="FFFFFF"/>
        </w:rPr>
        <w:t xml:space="preserve">Johnson </w:t>
      </w:r>
      <w:proofErr w:type="spellStart"/>
      <w:r w:rsidR="00C9794E" w:rsidRPr="00FE6F3C">
        <w:rPr>
          <w:rFonts w:ascii="Arial" w:hAnsi="Arial" w:cs="Arial"/>
          <w:sz w:val="20"/>
          <w:szCs w:val="20"/>
          <w:shd w:val="clear" w:color="auto" w:fill="FFFFFF"/>
        </w:rPr>
        <w:t>Mattey</w:t>
      </w:r>
      <w:proofErr w:type="spellEnd"/>
      <w:r w:rsidR="00C9794E" w:rsidRPr="00FE6F3C">
        <w:rPr>
          <w:rFonts w:ascii="Arial" w:hAnsi="Arial" w:cs="Arial"/>
          <w:sz w:val="20"/>
          <w:szCs w:val="20"/>
          <w:shd w:val="clear" w:color="auto" w:fill="FFFFFF"/>
        </w:rPr>
        <w:t xml:space="preserve"> Medical Components, Nitinol Technical Properties. </w:t>
      </w:r>
      <w:hyperlink r:id="rId14" w:history="1">
        <w:r w:rsidR="00C9794E" w:rsidRPr="00FE6F3C">
          <w:rPr>
            <w:rStyle w:val="Hyperlink"/>
            <w:rFonts w:ascii="Arial" w:hAnsi="Arial" w:cs="Arial"/>
            <w:sz w:val="20"/>
            <w:szCs w:val="20"/>
            <w:shd w:val="clear" w:color="auto" w:fill="FFFFFF"/>
          </w:rPr>
          <w:t>https://matthey.com/en/markets/pharmaceutical-and-medical/medical-device-components/resource-library/nitinol-technical-properties</w:t>
        </w:r>
      </w:hyperlink>
      <w:r w:rsidR="00C9794E" w:rsidRPr="00FE6F3C" w:rsidDel="00C9794E">
        <w:rPr>
          <w:rFonts w:ascii="Arial" w:hAnsi="Arial" w:cs="Arial"/>
          <w:noProof/>
          <w:sz w:val="20"/>
          <w:szCs w:val="20"/>
        </w:rPr>
        <w:t xml:space="preserve"> </w:t>
      </w:r>
    </w:p>
    <w:p w14:paraId="45E3B6DE" w14:textId="0F1719E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6.</w:t>
      </w:r>
      <w:r w:rsidRPr="002C73B9">
        <w:rPr>
          <w:rFonts w:ascii="Arial" w:hAnsi="Arial" w:cs="Arial"/>
          <w:noProof/>
          <w:sz w:val="20"/>
          <w:szCs w:val="24"/>
        </w:rPr>
        <w:tab/>
        <w:t xml:space="preserve">Y. Fu, H. Du, S. Zhang, and Y. Gu: Stress and surface morphology of TiNiCu thin films: effect of annealing temperature. </w:t>
      </w:r>
      <w:r w:rsidRPr="002C73B9">
        <w:rPr>
          <w:rFonts w:ascii="Arial" w:hAnsi="Arial" w:cs="Arial"/>
          <w:i/>
          <w:iCs/>
          <w:noProof/>
          <w:sz w:val="20"/>
          <w:szCs w:val="24"/>
        </w:rPr>
        <w:t>Surf. Coatings Technol.</w:t>
      </w:r>
      <w:r w:rsidRPr="002C73B9">
        <w:rPr>
          <w:rFonts w:ascii="Arial" w:hAnsi="Arial" w:cs="Arial"/>
          <w:noProof/>
          <w:sz w:val="20"/>
          <w:szCs w:val="24"/>
        </w:rPr>
        <w:t xml:space="preserve"> </w:t>
      </w:r>
      <w:r w:rsidRPr="002C73B9">
        <w:rPr>
          <w:rFonts w:ascii="Arial" w:hAnsi="Arial" w:cs="Arial"/>
          <w:b/>
          <w:bCs/>
          <w:noProof/>
          <w:sz w:val="20"/>
          <w:szCs w:val="24"/>
        </w:rPr>
        <w:t>198</w:t>
      </w:r>
      <w:r w:rsidRPr="002C73B9">
        <w:rPr>
          <w:rFonts w:ascii="Arial" w:hAnsi="Arial" w:cs="Arial"/>
          <w:noProof/>
          <w:sz w:val="20"/>
          <w:szCs w:val="24"/>
        </w:rPr>
        <w:t>(, 389 (2005).</w:t>
      </w:r>
    </w:p>
    <w:p w14:paraId="4BEB4CF9" w14:textId="044970E3"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7.</w:t>
      </w:r>
      <w:r w:rsidRPr="002C73B9">
        <w:rPr>
          <w:rFonts w:ascii="Arial" w:hAnsi="Arial" w:cs="Arial"/>
          <w:noProof/>
          <w:sz w:val="20"/>
          <w:szCs w:val="24"/>
        </w:rPr>
        <w:tab/>
        <w:t xml:space="preserve">P. Durdaut, S. Salzer, J. Reermann, V. Röbisch, P. Hayes, A. Piorra, D. Meyners, E. Quandt, G. Schmidt, R. Knöchel, and others: Thermal-mechanical noise in resonant thin-film magnetoelectric sensors. </w:t>
      </w:r>
      <w:r w:rsidRPr="002C73B9">
        <w:rPr>
          <w:rFonts w:ascii="Arial" w:hAnsi="Arial" w:cs="Arial"/>
          <w:i/>
          <w:iCs/>
          <w:noProof/>
          <w:sz w:val="20"/>
          <w:szCs w:val="24"/>
        </w:rPr>
        <w:t>IEEE Sens. J.</w:t>
      </w:r>
      <w:r w:rsidRPr="002C73B9">
        <w:rPr>
          <w:rFonts w:ascii="Arial" w:hAnsi="Arial" w:cs="Arial"/>
          <w:noProof/>
          <w:sz w:val="20"/>
          <w:szCs w:val="24"/>
        </w:rPr>
        <w:t xml:space="preserve"> </w:t>
      </w:r>
      <w:r w:rsidRPr="002C73B9">
        <w:rPr>
          <w:rFonts w:ascii="Arial" w:hAnsi="Arial" w:cs="Arial"/>
          <w:b/>
          <w:bCs/>
          <w:noProof/>
          <w:sz w:val="20"/>
          <w:szCs w:val="24"/>
        </w:rPr>
        <w:t>17</w:t>
      </w:r>
      <w:r w:rsidRPr="002C73B9">
        <w:rPr>
          <w:rFonts w:ascii="Arial" w:hAnsi="Arial" w:cs="Arial"/>
          <w:noProof/>
          <w:sz w:val="20"/>
          <w:szCs w:val="24"/>
        </w:rPr>
        <w:t>, 2338 (2017).</w:t>
      </w:r>
    </w:p>
    <w:p w14:paraId="1CF4BCA2" w14:textId="7777777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8.</w:t>
      </w:r>
      <w:r w:rsidRPr="002C73B9">
        <w:rPr>
          <w:rFonts w:ascii="Arial" w:hAnsi="Arial" w:cs="Arial"/>
          <w:noProof/>
          <w:sz w:val="20"/>
          <w:szCs w:val="24"/>
        </w:rPr>
        <w:tab/>
        <w:t xml:space="preserve">S. Pawar, K. Singh, S. Sharma, A. Pandey, S. Dutta, and D. Kaur: Growth assessment and scrutinize dielectric reliability of c-axis oriented insulating AlN thin films in MIM structures for microelectronics applications. </w:t>
      </w:r>
      <w:r w:rsidRPr="002C73B9">
        <w:rPr>
          <w:rFonts w:ascii="Arial" w:hAnsi="Arial" w:cs="Arial"/>
          <w:i/>
          <w:iCs/>
          <w:noProof/>
          <w:sz w:val="20"/>
          <w:szCs w:val="24"/>
        </w:rPr>
        <w:t>Mater. Chem. Phys.</w:t>
      </w:r>
      <w:r w:rsidRPr="002C73B9">
        <w:rPr>
          <w:rFonts w:ascii="Arial" w:hAnsi="Arial" w:cs="Arial"/>
          <w:noProof/>
          <w:sz w:val="20"/>
          <w:szCs w:val="24"/>
        </w:rPr>
        <w:t xml:space="preserve"> </w:t>
      </w:r>
      <w:r w:rsidRPr="002C73B9">
        <w:rPr>
          <w:rFonts w:ascii="Arial" w:hAnsi="Arial" w:cs="Arial"/>
          <w:b/>
          <w:bCs/>
          <w:noProof/>
          <w:sz w:val="20"/>
          <w:szCs w:val="24"/>
        </w:rPr>
        <w:t>219</w:t>
      </w:r>
      <w:r w:rsidRPr="002C73B9">
        <w:rPr>
          <w:rFonts w:ascii="Arial" w:hAnsi="Arial" w:cs="Arial"/>
          <w:noProof/>
          <w:sz w:val="20"/>
          <w:szCs w:val="24"/>
        </w:rPr>
        <w:t>, 74 (2018).</w:t>
      </w:r>
    </w:p>
    <w:p w14:paraId="73F553F6" w14:textId="107C7043"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lastRenderedPageBreak/>
        <w:t>9.</w:t>
      </w:r>
      <w:r w:rsidRPr="002C73B9">
        <w:rPr>
          <w:rFonts w:ascii="Arial" w:hAnsi="Arial" w:cs="Arial"/>
          <w:noProof/>
          <w:sz w:val="20"/>
          <w:szCs w:val="24"/>
        </w:rPr>
        <w:tab/>
        <w:t xml:space="preserve">E. Yarar, V. Hrkac, C. Zamponi, A. Piorra, L. Kienle, and E. Quandt: Low temperature aluminum nitride thin films for sensory applications. </w:t>
      </w:r>
      <w:r w:rsidRPr="002C73B9">
        <w:rPr>
          <w:rFonts w:ascii="Arial" w:hAnsi="Arial" w:cs="Arial"/>
          <w:i/>
          <w:iCs/>
          <w:noProof/>
          <w:sz w:val="20"/>
          <w:szCs w:val="24"/>
        </w:rPr>
        <w:t>AIP Adv.</w:t>
      </w:r>
      <w:r w:rsidRPr="002C73B9">
        <w:rPr>
          <w:rFonts w:ascii="Arial" w:hAnsi="Arial" w:cs="Arial"/>
          <w:noProof/>
          <w:sz w:val="20"/>
          <w:szCs w:val="24"/>
        </w:rPr>
        <w:t xml:space="preserve"> </w:t>
      </w:r>
      <w:r w:rsidRPr="002C73B9">
        <w:rPr>
          <w:rFonts w:ascii="Arial" w:hAnsi="Arial" w:cs="Arial"/>
          <w:b/>
          <w:bCs/>
          <w:noProof/>
          <w:sz w:val="20"/>
          <w:szCs w:val="24"/>
        </w:rPr>
        <w:t>6</w:t>
      </w:r>
      <w:r w:rsidRPr="002C73B9">
        <w:rPr>
          <w:rFonts w:ascii="Arial" w:hAnsi="Arial" w:cs="Arial"/>
          <w:noProof/>
          <w:sz w:val="20"/>
          <w:szCs w:val="24"/>
        </w:rPr>
        <w:t>, 75115 (2016).</w:t>
      </w:r>
    </w:p>
    <w:p w14:paraId="25A2FEA7" w14:textId="10EB6BDF"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10.</w:t>
      </w:r>
      <w:r w:rsidRPr="002C73B9">
        <w:rPr>
          <w:rFonts w:ascii="Arial" w:hAnsi="Arial" w:cs="Arial"/>
          <w:noProof/>
          <w:sz w:val="20"/>
          <w:szCs w:val="24"/>
        </w:rPr>
        <w:tab/>
        <w:t xml:space="preserve">B. Tong, X. Yang, Z. Guo, K. Li, J. Ouyang, G. Lin, and S. Chen: Preparation and characterization of AlN/FeCoSiB magnetoelectric thin film composites. </w:t>
      </w:r>
      <w:r w:rsidRPr="002C73B9">
        <w:rPr>
          <w:rFonts w:ascii="Arial" w:hAnsi="Arial" w:cs="Arial"/>
          <w:i/>
          <w:iCs/>
          <w:noProof/>
          <w:sz w:val="20"/>
          <w:szCs w:val="24"/>
        </w:rPr>
        <w:t>Ceram. Int.</w:t>
      </w:r>
      <w:r w:rsidRPr="002C73B9">
        <w:rPr>
          <w:rFonts w:ascii="Arial" w:hAnsi="Arial" w:cs="Arial"/>
          <w:noProof/>
          <w:sz w:val="20"/>
          <w:szCs w:val="24"/>
        </w:rPr>
        <w:t xml:space="preserve"> </w:t>
      </w:r>
      <w:r w:rsidRPr="002C73B9">
        <w:rPr>
          <w:rFonts w:ascii="Arial" w:hAnsi="Arial" w:cs="Arial"/>
          <w:b/>
          <w:bCs/>
          <w:noProof/>
          <w:sz w:val="20"/>
          <w:szCs w:val="24"/>
        </w:rPr>
        <w:t>39</w:t>
      </w:r>
      <w:r w:rsidRPr="002C73B9">
        <w:rPr>
          <w:rFonts w:ascii="Arial" w:hAnsi="Arial" w:cs="Arial"/>
          <w:noProof/>
          <w:sz w:val="20"/>
          <w:szCs w:val="24"/>
        </w:rPr>
        <w:t>, 6853 (2013).</w:t>
      </w:r>
    </w:p>
    <w:p w14:paraId="791010ED" w14:textId="7777777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11.</w:t>
      </w:r>
      <w:r w:rsidRPr="002C73B9">
        <w:rPr>
          <w:rFonts w:ascii="Arial" w:hAnsi="Arial" w:cs="Arial"/>
          <w:noProof/>
          <w:sz w:val="20"/>
          <w:szCs w:val="24"/>
        </w:rPr>
        <w:tab/>
        <w:t xml:space="preserve">C. Chluba, W. Ge, R. L. de Miranda, J. Strobel, L. Kienle, E. Quandt, and M. Wuttig: Ultralow-fatigue shape memory alloy films. </w:t>
      </w:r>
      <w:r w:rsidRPr="002C73B9">
        <w:rPr>
          <w:rFonts w:ascii="Arial" w:hAnsi="Arial" w:cs="Arial"/>
          <w:i/>
          <w:iCs/>
          <w:noProof/>
          <w:sz w:val="20"/>
          <w:szCs w:val="24"/>
        </w:rPr>
        <w:t>Science (80-. ).</w:t>
      </w:r>
      <w:r w:rsidRPr="002C73B9">
        <w:rPr>
          <w:rFonts w:ascii="Arial" w:hAnsi="Arial" w:cs="Arial"/>
          <w:noProof/>
          <w:sz w:val="20"/>
          <w:szCs w:val="24"/>
        </w:rPr>
        <w:t xml:space="preserve"> </w:t>
      </w:r>
      <w:r w:rsidRPr="002C73B9">
        <w:rPr>
          <w:rFonts w:ascii="Arial" w:hAnsi="Arial" w:cs="Arial"/>
          <w:b/>
          <w:bCs/>
          <w:noProof/>
          <w:sz w:val="20"/>
          <w:szCs w:val="24"/>
        </w:rPr>
        <w:t>348</w:t>
      </w:r>
      <w:r w:rsidRPr="002C73B9">
        <w:rPr>
          <w:rFonts w:ascii="Arial" w:hAnsi="Arial" w:cs="Arial"/>
          <w:noProof/>
          <w:sz w:val="20"/>
          <w:szCs w:val="24"/>
        </w:rPr>
        <w:t>(6238), 1004 (2015).</w:t>
      </w:r>
    </w:p>
    <w:p w14:paraId="78664024" w14:textId="3295FFF6"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12.</w:t>
      </w:r>
      <w:r w:rsidRPr="002C73B9">
        <w:rPr>
          <w:rFonts w:ascii="Arial" w:hAnsi="Arial" w:cs="Arial"/>
          <w:noProof/>
          <w:sz w:val="20"/>
          <w:szCs w:val="24"/>
        </w:rPr>
        <w:tab/>
        <w:t xml:space="preserve">T. Dankwort, J. Strobel, C. Chluba, W. Ge, V. Duppel, M. Wuttig, E. Quandt, and L. Kienle: Martensite adaption through epitaxial nano transition layers in TiNiCu shape memory alloys. </w:t>
      </w:r>
      <w:r w:rsidRPr="002C73B9">
        <w:rPr>
          <w:rFonts w:ascii="Arial" w:hAnsi="Arial" w:cs="Arial"/>
          <w:i/>
          <w:iCs/>
          <w:noProof/>
          <w:sz w:val="20"/>
          <w:szCs w:val="24"/>
        </w:rPr>
        <w:t>J. Appl. Crystallogr.</w:t>
      </w:r>
      <w:r w:rsidRPr="002C73B9">
        <w:rPr>
          <w:rFonts w:ascii="Arial" w:hAnsi="Arial" w:cs="Arial"/>
          <w:noProof/>
          <w:sz w:val="20"/>
          <w:szCs w:val="24"/>
        </w:rPr>
        <w:t xml:space="preserve"> </w:t>
      </w:r>
      <w:r w:rsidRPr="002C73B9">
        <w:rPr>
          <w:rFonts w:ascii="Arial" w:hAnsi="Arial" w:cs="Arial"/>
          <w:b/>
          <w:bCs/>
          <w:noProof/>
          <w:sz w:val="20"/>
          <w:szCs w:val="24"/>
        </w:rPr>
        <w:t>49</w:t>
      </w:r>
      <w:r w:rsidRPr="002C73B9">
        <w:rPr>
          <w:rFonts w:ascii="Arial" w:hAnsi="Arial" w:cs="Arial"/>
          <w:noProof/>
          <w:sz w:val="20"/>
          <w:szCs w:val="24"/>
        </w:rPr>
        <w:t>, 1009 (2016).</w:t>
      </w:r>
    </w:p>
    <w:p w14:paraId="05B7A296" w14:textId="3F8951D1"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13.</w:t>
      </w:r>
      <w:r w:rsidRPr="002C73B9">
        <w:rPr>
          <w:rFonts w:ascii="Arial" w:hAnsi="Arial" w:cs="Arial"/>
          <w:noProof/>
          <w:sz w:val="20"/>
          <w:szCs w:val="24"/>
        </w:rPr>
        <w:tab/>
        <w:t xml:space="preserve">H.-J. Lee, H. Ni, D. T. Wu, and A. G. Ramirez: Grain size estimations from the direct measurement of nucleation and growth. </w:t>
      </w:r>
      <w:r w:rsidRPr="002C73B9">
        <w:rPr>
          <w:rFonts w:ascii="Arial" w:hAnsi="Arial" w:cs="Arial"/>
          <w:i/>
          <w:iCs/>
          <w:noProof/>
          <w:sz w:val="20"/>
          <w:szCs w:val="24"/>
        </w:rPr>
        <w:t>Appl. Phys. Lett.</w:t>
      </w:r>
      <w:r w:rsidRPr="002C73B9">
        <w:rPr>
          <w:rFonts w:ascii="Arial" w:hAnsi="Arial" w:cs="Arial"/>
          <w:noProof/>
          <w:sz w:val="20"/>
          <w:szCs w:val="24"/>
        </w:rPr>
        <w:t xml:space="preserve"> </w:t>
      </w:r>
      <w:r w:rsidRPr="002C73B9">
        <w:rPr>
          <w:rFonts w:ascii="Arial" w:hAnsi="Arial" w:cs="Arial"/>
          <w:b/>
          <w:bCs/>
          <w:noProof/>
          <w:sz w:val="20"/>
          <w:szCs w:val="24"/>
        </w:rPr>
        <w:t>87</w:t>
      </w:r>
      <w:r w:rsidRPr="002C73B9">
        <w:rPr>
          <w:rFonts w:ascii="Arial" w:hAnsi="Arial" w:cs="Arial"/>
          <w:noProof/>
          <w:sz w:val="20"/>
          <w:szCs w:val="24"/>
        </w:rPr>
        <w:t>, 124102 (2005).</w:t>
      </w:r>
    </w:p>
    <w:p w14:paraId="70E5118E" w14:textId="7777777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14.</w:t>
      </w:r>
      <w:r w:rsidRPr="002C73B9">
        <w:rPr>
          <w:rFonts w:ascii="Arial" w:hAnsi="Arial" w:cs="Arial"/>
          <w:noProof/>
          <w:sz w:val="20"/>
          <w:szCs w:val="24"/>
        </w:rPr>
        <w:tab/>
        <w:t>H. Mehrer: Diffusion in Solids: Fundamentals, Methods, Materials, Diffusion-Controlled Processes (Springer Science &amp; Business Media, 2007).</w:t>
      </w:r>
    </w:p>
    <w:p w14:paraId="1EDF7637" w14:textId="7777777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15.</w:t>
      </w:r>
      <w:r w:rsidRPr="002C73B9">
        <w:rPr>
          <w:rFonts w:ascii="Arial" w:hAnsi="Arial" w:cs="Arial"/>
          <w:noProof/>
          <w:sz w:val="20"/>
          <w:szCs w:val="24"/>
        </w:rPr>
        <w:tab/>
        <w:t>I. Kaur, W. Gust, and L. Kozma: Handbook of Grain and Interphase Boundary Diffusion Data (Ziegler Press Stuttgart, 1989).</w:t>
      </w:r>
    </w:p>
    <w:p w14:paraId="7DC6D8BE" w14:textId="77777777"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16.</w:t>
      </w:r>
      <w:r w:rsidRPr="002C73B9">
        <w:rPr>
          <w:rFonts w:ascii="Arial" w:hAnsi="Arial" w:cs="Arial"/>
          <w:noProof/>
          <w:sz w:val="20"/>
          <w:szCs w:val="24"/>
        </w:rPr>
        <w:tab/>
        <w:t>G. Neumann and C. Tuijn: Self-Diffusion and Impurity Diffusion in Pure Metals: Handbook of Experimental Data (Elsevier, 2011).</w:t>
      </w:r>
    </w:p>
    <w:p w14:paraId="5075FD24" w14:textId="1214836A"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17.</w:t>
      </w:r>
      <w:r w:rsidRPr="002C73B9">
        <w:rPr>
          <w:rFonts w:ascii="Arial" w:hAnsi="Arial" w:cs="Arial"/>
          <w:noProof/>
          <w:sz w:val="20"/>
          <w:szCs w:val="24"/>
        </w:rPr>
        <w:tab/>
        <w:t xml:space="preserve">T. C. Tisone and J. Drobek: Diffusion in thin film Ti--Au, Ti--Pd, and Ti--Pt couples. </w:t>
      </w:r>
      <w:r w:rsidRPr="002C73B9">
        <w:rPr>
          <w:rFonts w:ascii="Arial" w:hAnsi="Arial" w:cs="Arial"/>
          <w:i/>
          <w:iCs/>
          <w:noProof/>
          <w:sz w:val="20"/>
          <w:szCs w:val="24"/>
        </w:rPr>
        <w:t>J. Vac. Sci. Technol.</w:t>
      </w:r>
      <w:r w:rsidRPr="002C73B9">
        <w:rPr>
          <w:rFonts w:ascii="Arial" w:hAnsi="Arial" w:cs="Arial"/>
          <w:noProof/>
          <w:sz w:val="20"/>
          <w:szCs w:val="24"/>
        </w:rPr>
        <w:t xml:space="preserve"> </w:t>
      </w:r>
      <w:r w:rsidRPr="002C73B9">
        <w:rPr>
          <w:rFonts w:ascii="Arial" w:hAnsi="Arial" w:cs="Arial"/>
          <w:b/>
          <w:bCs/>
          <w:noProof/>
          <w:sz w:val="20"/>
          <w:szCs w:val="24"/>
        </w:rPr>
        <w:t>9</w:t>
      </w:r>
      <w:r w:rsidRPr="002C73B9">
        <w:rPr>
          <w:rFonts w:ascii="Arial" w:hAnsi="Arial" w:cs="Arial"/>
          <w:noProof/>
          <w:sz w:val="20"/>
          <w:szCs w:val="24"/>
        </w:rPr>
        <w:t>, 271 (1972).</w:t>
      </w:r>
    </w:p>
    <w:p w14:paraId="597D1B54" w14:textId="38022DBC"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18.</w:t>
      </w:r>
      <w:r w:rsidRPr="002C73B9">
        <w:rPr>
          <w:rFonts w:ascii="Arial" w:hAnsi="Arial" w:cs="Arial"/>
          <w:noProof/>
          <w:sz w:val="20"/>
          <w:szCs w:val="24"/>
        </w:rPr>
        <w:tab/>
        <w:t xml:space="preserve">J. L. Murray: The Ta- Ti (Tantalum-Titanium) system. </w:t>
      </w:r>
      <w:r w:rsidRPr="002C73B9">
        <w:rPr>
          <w:rFonts w:ascii="Arial" w:hAnsi="Arial" w:cs="Arial"/>
          <w:i/>
          <w:iCs/>
          <w:noProof/>
          <w:sz w:val="20"/>
          <w:szCs w:val="24"/>
        </w:rPr>
        <w:t>Bull. Alloy Phase Diagrams</w:t>
      </w:r>
      <w:r w:rsidRPr="002C73B9">
        <w:rPr>
          <w:rFonts w:ascii="Arial" w:hAnsi="Arial" w:cs="Arial"/>
          <w:noProof/>
          <w:sz w:val="20"/>
          <w:szCs w:val="24"/>
        </w:rPr>
        <w:t xml:space="preserve"> </w:t>
      </w:r>
      <w:r w:rsidRPr="002C73B9">
        <w:rPr>
          <w:rFonts w:ascii="Arial" w:hAnsi="Arial" w:cs="Arial"/>
          <w:b/>
          <w:bCs/>
          <w:noProof/>
          <w:sz w:val="20"/>
          <w:szCs w:val="24"/>
        </w:rPr>
        <w:t>2</w:t>
      </w:r>
      <w:r w:rsidRPr="002C73B9">
        <w:rPr>
          <w:rFonts w:ascii="Arial" w:hAnsi="Arial" w:cs="Arial"/>
          <w:noProof/>
          <w:sz w:val="20"/>
          <w:szCs w:val="24"/>
        </w:rPr>
        <w:t>, 62 (1981).</w:t>
      </w:r>
    </w:p>
    <w:p w14:paraId="2F8E49C5" w14:textId="46A14FED"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19.</w:t>
      </w:r>
      <w:r w:rsidRPr="002C73B9">
        <w:rPr>
          <w:rFonts w:ascii="Arial" w:hAnsi="Arial" w:cs="Arial"/>
          <w:noProof/>
          <w:sz w:val="20"/>
          <w:szCs w:val="24"/>
        </w:rPr>
        <w:tab/>
        <w:t xml:space="preserve">R. M. Waterstrat: Analysis of selected alloys in the systems Cr-Pd, Cr-Ru, V-Pd and Ta-Pt. </w:t>
      </w:r>
      <w:r w:rsidRPr="002C73B9">
        <w:rPr>
          <w:rFonts w:ascii="Arial" w:hAnsi="Arial" w:cs="Arial"/>
          <w:i/>
          <w:iCs/>
          <w:noProof/>
          <w:sz w:val="20"/>
          <w:szCs w:val="24"/>
        </w:rPr>
        <w:t>J. Less Common Met.</w:t>
      </w:r>
      <w:r w:rsidRPr="002C73B9">
        <w:rPr>
          <w:rFonts w:ascii="Arial" w:hAnsi="Arial" w:cs="Arial"/>
          <w:noProof/>
          <w:sz w:val="20"/>
          <w:szCs w:val="24"/>
        </w:rPr>
        <w:t xml:space="preserve"> </w:t>
      </w:r>
      <w:r w:rsidRPr="002C73B9">
        <w:rPr>
          <w:rFonts w:ascii="Arial" w:hAnsi="Arial" w:cs="Arial"/>
          <w:b/>
          <w:bCs/>
          <w:noProof/>
          <w:sz w:val="20"/>
          <w:szCs w:val="24"/>
        </w:rPr>
        <w:t>80</w:t>
      </w:r>
      <w:r w:rsidRPr="002C73B9">
        <w:rPr>
          <w:rFonts w:ascii="Arial" w:hAnsi="Arial" w:cs="Arial"/>
          <w:noProof/>
          <w:sz w:val="20"/>
          <w:szCs w:val="24"/>
        </w:rPr>
        <w:t>, P31 (1981).</w:t>
      </w:r>
    </w:p>
    <w:p w14:paraId="00B0E5C2" w14:textId="35840DA4"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20.</w:t>
      </w:r>
      <w:r w:rsidRPr="002C73B9">
        <w:rPr>
          <w:rFonts w:ascii="Arial" w:hAnsi="Arial" w:cs="Arial"/>
          <w:noProof/>
          <w:sz w:val="20"/>
          <w:szCs w:val="24"/>
        </w:rPr>
        <w:tab/>
        <w:t xml:space="preserve">J. L. Murray: The Pt- Ti (Platinum- Titanium) system. </w:t>
      </w:r>
      <w:r w:rsidRPr="002C73B9">
        <w:rPr>
          <w:rFonts w:ascii="Arial" w:hAnsi="Arial" w:cs="Arial"/>
          <w:i/>
          <w:iCs/>
          <w:noProof/>
          <w:sz w:val="20"/>
          <w:szCs w:val="24"/>
        </w:rPr>
        <w:t>Bull. Alloy Phase Diagrams</w:t>
      </w:r>
      <w:r w:rsidRPr="002C73B9">
        <w:rPr>
          <w:rFonts w:ascii="Arial" w:hAnsi="Arial" w:cs="Arial"/>
          <w:noProof/>
          <w:sz w:val="20"/>
          <w:szCs w:val="24"/>
        </w:rPr>
        <w:t xml:space="preserve"> </w:t>
      </w:r>
      <w:r w:rsidRPr="002C73B9">
        <w:rPr>
          <w:rFonts w:ascii="Arial" w:hAnsi="Arial" w:cs="Arial"/>
          <w:b/>
          <w:bCs/>
          <w:noProof/>
          <w:sz w:val="20"/>
          <w:szCs w:val="24"/>
        </w:rPr>
        <w:t>3</w:t>
      </w:r>
      <w:r w:rsidRPr="002C73B9">
        <w:rPr>
          <w:rFonts w:ascii="Arial" w:hAnsi="Arial" w:cs="Arial"/>
          <w:noProof/>
          <w:sz w:val="20"/>
          <w:szCs w:val="24"/>
        </w:rPr>
        <w:t>, 329 (1982).</w:t>
      </w:r>
    </w:p>
    <w:p w14:paraId="1D6AF921" w14:textId="260C1E8D"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szCs w:val="24"/>
        </w:rPr>
      </w:pPr>
      <w:r w:rsidRPr="002C73B9">
        <w:rPr>
          <w:rFonts w:ascii="Arial" w:hAnsi="Arial" w:cs="Arial"/>
          <w:noProof/>
          <w:sz w:val="20"/>
          <w:szCs w:val="24"/>
        </w:rPr>
        <w:t>21.</w:t>
      </w:r>
      <w:r w:rsidRPr="002C73B9">
        <w:rPr>
          <w:rFonts w:ascii="Arial" w:hAnsi="Arial" w:cs="Arial"/>
          <w:noProof/>
          <w:sz w:val="20"/>
          <w:szCs w:val="24"/>
        </w:rPr>
        <w:tab/>
        <w:t xml:space="preserve">J. M. Larson, R. Taggart, and D. H. Polonis: Ni 8 Ta in nickel-rich Ni- Ta alloys. </w:t>
      </w:r>
      <w:r w:rsidRPr="002C73B9">
        <w:rPr>
          <w:rFonts w:ascii="Arial" w:hAnsi="Arial" w:cs="Arial"/>
          <w:i/>
          <w:iCs/>
          <w:noProof/>
          <w:sz w:val="20"/>
          <w:szCs w:val="24"/>
        </w:rPr>
        <w:t>Metall. Mater. Trans. B</w:t>
      </w:r>
      <w:r w:rsidRPr="002C73B9">
        <w:rPr>
          <w:rFonts w:ascii="Arial" w:hAnsi="Arial" w:cs="Arial"/>
          <w:noProof/>
          <w:sz w:val="20"/>
          <w:szCs w:val="24"/>
        </w:rPr>
        <w:t xml:space="preserve"> </w:t>
      </w:r>
      <w:r w:rsidRPr="002C73B9">
        <w:rPr>
          <w:rFonts w:ascii="Arial" w:hAnsi="Arial" w:cs="Arial"/>
          <w:b/>
          <w:bCs/>
          <w:noProof/>
          <w:sz w:val="20"/>
          <w:szCs w:val="24"/>
        </w:rPr>
        <w:t>1</w:t>
      </w:r>
      <w:r w:rsidRPr="002C73B9">
        <w:rPr>
          <w:rFonts w:ascii="Arial" w:hAnsi="Arial" w:cs="Arial"/>
          <w:noProof/>
          <w:sz w:val="20"/>
          <w:szCs w:val="24"/>
        </w:rPr>
        <w:t>, 485 (1970).</w:t>
      </w:r>
    </w:p>
    <w:p w14:paraId="2BE41C91" w14:textId="39FCD61F" w:rsidR="00C517A7" w:rsidRPr="002C73B9" w:rsidRDefault="00C517A7" w:rsidP="00C517A7">
      <w:pPr>
        <w:widowControl w:val="0"/>
        <w:autoSpaceDE w:val="0"/>
        <w:autoSpaceDN w:val="0"/>
        <w:adjustRightInd w:val="0"/>
        <w:spacing w:line="240" w:lineRule="auto"/>
        <w:ind w:left="640" w:hanging="640"/>
        <w:rPr>
          <w:rFonts w:ascii="Arial" w:hAnsi="Arial" w:cs="Arial"/>
          <w:noProof/>
          <w:sz w:val="20"/>
        </w:rPr>
      </w:pPr>
      <w:r w:rsidRPr="002C73B9">
        <w:rPr>
          <w:rFonts w:ascii="Arial" w:hAnsi="Arial" w:cs="Arial"/>
          <w:noProof/>
          <w:sz w:val="20"/>
          <w:szCs w:val="24"/>
        </w:rPr>
        <w:t>22.</w:t>
      </w:r>
      <w:r w:rsidRPr="002C73B9">
        <w:rPr>
          <w:rFonts w:ascii="Arial" w:hAnsi="Arial" w:cs="Arial"/>
          <w:noProof/>
          <w:sz w:val="20"/>
          <w:szCs w:val="24"/>
        </w:rPr>
        <w:tab/>
        <w:t xml:space="preserve">P. R. Subramanian and D. E. Laughlin: The Cu-Ta (copper-tantalum) system. </w:t>
      </w:r>
      <w:r w:rsidRPr="002C73B9">
        <w:rPr>
          <w:rFonts w:ascii="Arial" w:hAnsi="Arial" w:cs="Arial"/>
          <w:i/>
          <w:iCs/>
          <w:noProof/>
          <w:sz w:val="20"/>
          <w:szCs w:val="24"/>
        </w:rPr>
        <w:t>Bull. Alloy phase diagrams</w:t>
      </w:r>
      <w:r w:rsidRPr="002C73B9">
        <w:rPr>
          <w:rFonts w:ascii="Arial" w:hAnsi="Arial" w:cs="Arial"/>
          <w:noProof/>
          <w:sz w:val="20"/>
          <w:szCs w:val="24"/>
        </w:rPr>
        <w:t xml:space="preserve"> </w:t>
      </w:r>
      <w:r w:rsidRPr="002C73B9">
        <w:rPr>
          <w:rFonts w:ascii="Arial" w:hAnsi="Arial" w:cs="Arial"/>
          <w:b/>
          <w:bCs/>
          <w:noProof/>
          <w:sz w:val="20"/>
          <w:szCs w:val="24"/>
        </w:rPr>
        <w:t>10</w:t>
      </w:r>
      <w:r w:rsidRPr="002C73B9">
        <w:rPr>
          <w:rFonts w:ascii="Arial" w:hAnsi="Arial" w:cs="Arial"/>
          <w:noProof/>
          <w:sz w:val="20"/>
          <w:szCs w:val="24"/>
        </w:rPr>
        <w:t>, 652 (1989).</w:t>
      </w:r>
    </w:p>
    <w:p w14:paraId="38783AC3" w14:textId="42DF2C94" w:rsidR="00B2432F" w:rsidRPr="002C2D53" w:rsidRDefault="00B2432F" w:rsidP="00C517A7">
      <w:pPr>
        <w:widowControl w:val="0"/>
        <w:autoSpaceDE w:val="0"/>
        <w:autoSpaceDN w:val="0"/>
        <w:adjustRightInd w:val="0"/>
        <w:spacing w:line="240" w:lineRule="auto"/>
        <w:ind w:left="640" w:hanging="640"/>
        <w:rPr>
          <w:rFonts w:ascii="Arial" w:hAnsi="Arial" w:cs="Arial"/>
          <w:sz w:val="20"/>
          <w:szCs w:val="20"/>
        </w:rPr>
      </w:pPr>
    </w:p>
    <w:sectPr w:rsidR="00B2432F" w:rsidRPr="002C2D53">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1F23CC" w14:textId="77777777" w:rsidR="00015D69" w:rsidRDefault="00015D69" w:rsidP="00B2432F">
      <w:pPr>
        <w:spacing w:after="0" w:line="240" w:lineRule="auto"/>
      </w:pPr>
      <w:r>
        <w:separator/>
      </w:r>
    </w:p>
  </w:endnote>
  <w:endnote w:type="continuationSeparator" w:id="0">
    <w:p w14:paraId="03DD1687" w14:textId="77777777" w:rsidR="00015D69" w:rsidRDefault="00015D69" w:rsidP="00B24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679213"/>
      <w:docPartObj>
        <w:docPartGallery w:val="Page Numbers (Bottom of Page)"/>
        <w:docPartUnique/>
      </w:docPartObj>
    </w:sdtPr>
    <w:sdtEndPr>
      <w:rPr>
        <w:noProof/>
      </w:rPr>
    </w:sdtEndPr>
    <w:sdtContent>
      <w:p w14:paraId="616B0B89" w14:textId="21A053A4" w:rsidR="00C9794E" w:rsidRDefault="00C9794E">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14:paraId="608F9559" w14:textId="77777777" w:rsidR="00C9794E" w:rsidRDefault="00C97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378A7" w14:textId="77777777" w:rsidR="00015D69" w:rsidRDefault="00015D69" w:rsidP="00B2432F">
      <w:pPr>
        <w:spacing w:after="0" w:line="240" w:lineRule="auto"/>
      </w:pPr>
      <w:r>
        <w:separator/>
      </w:r>
    </w:p>
  </w:footnote>
  <w:footnote w:type="continuationSeparator" w:id="0">
    <w:p w14:paraId="6620D35D" w14:textId="77777777" w:rsidR="00015D69" w:rsidRDefault="00015D69" w:rsidP="00B243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2E3F" w14:textId="46A4B3DA" w:rsidR="00C9794E" w:rsidRPr="00B2432F" w:rsidRDefault="00C9794E">
    <w:pPr>
      <w:pStyle w:val="Header"/>
      <w:rPr>
        <w:rFonts w:ascii="Arial" w:hAnsi="Arial" w:cs="Arial"/>
        <w:i/>
        <w:iCs/>
        <w:sz w:val="20"/>
        <w:szCs w:val="20"/>
      </w:rPr>
    </w:pPr>
    <w:r w:rsidRPr="00B2432F">
      <w:rPr>
        <w:rFonts w:ascii="Arial" w:hAnsi="Arial" w:cs="Arial"/>
        <w:i/>
        <w:iCs/>
        <w:sz w:val="20"/>
        <w:szCs w:val="20"/>
      </w:rPr>
      <w:t>Supp</w:t>
    </w:r>
    <w:r>
      <w:rPr>
        <w:rFonts w:ascii="Arial" w:hAnsi="Arial" w:cs="Arial"/>
        <w:i/>
        <w:iCs/>
        <w:sz w:val="20"/>
        <w:szCs w:val="20"/>
      </w:rPr>
      <w:t>lementary</w:t>
    </w:r>
    <w:r w:rsidRPr="00B2432F">
      <w:rPr>
        <w:rFonts w:ascii="Arial" w:hAnsi="Arial" w:cs="Arial"/>
        <w:i/>
        <w:iCs/>
        <w:sz w:val="20"/>
        <w:szCs w:val="20"/>
      </w:rPr>
      <w:t xml:space="preserve"> Info</w:t>
    </w:r>
    <w:r>
      <w:rPr>
        <w:rFonts w:ascii="Arial" w:hAnsi="Arial" w:cs="Arial"/>
        <w:i/>
        <w:iCs/>
        <w:sz w:val="20"/>
        <w:szCs w:val="20"/>
      </w:rPr>
      <w:t>rmation Document</w:t>
    </w:r>
    <w:r w:rsidRPr="00B2432F">
      <w:rPr>
        <w:rFonts w:ascii="Arial" w:hAnsi="Arial" w:cs="Arial"/>
        <w:i/>
        <w:iCs/>
        <w:sz w:val="20"/>
        <w:szCs w:val="20"/>
      </w:rPr>
      <w:t xml:space="preserve">: </w:t>
    </w:r>
  </w:p>
  <w:p w14:paraId="35E2A929" w14:textId="7F186C05" w:rsidR="00C9794E" w:rsidRPr="00B2432F" w:rsidRDefault="00C9794E">
    <w:pPr>
      <w:pStyle w:val="Header"/>
      <w:rPr>
        <w:rFonts w:ascii="Arial" w:hAnsi="Arial" w:cs="Arial"/>
        <w:i/>
        <w:iCs/>
        <w:sz w:val="20"/>
        <w:szCs w:val="20"/>
      </w:rPr>
    </w:pPr>
    <w:r w:rsidRPr="00B2432F">
      <w:rPr>
        <w:rFonts w:ascii="Arial" w:hAnsi="Arial" w:cs="Arial"/>
        <w:i/>
        <w:iCs/>
        <w:sz w:val="20"/>
        <w:szCs w:val="20"/>
      </w:rPr>
      <w:t xml:space="preserve">S. Curtis et. al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0NLI0MzW0NDG1sLRU0lEKTi0uzszPAykwqwUA81Z+HSwAAAA="/>
  </w:docVars>
  <w:rsids>
    <w:rsidRoot w:val="00B2432F"/>
    <w:rsid w:val="00001EA4"/>
    <w:rsid w:val="00012941"/>
    <w:rsid w:val="00015D69"/>
    <w:rsid w:val="00066659"/>
    <w:rsid w:val="000B51E7"/>
    <w:rsid w:val="000D7A30"/>
    <w:rsid w:val="00105640"/>
    <w:rsid w:val="00120C86"/>
    <w:rsid w:val="00125F89"/>
    <w:rsid w:val="001411F7"/>
    <w:rsid w:val="001B250A"/>
    <w:rsid w:val="001C4DB0"/>
    <w:rsid w:val="00220FC6"/>
    <w:rsid w:val="0024135F"/>
    <w:rsid w:val="00246D39"/>
    <w:rsid w:val="0026558F"/>
    <w:rsid w:val="00277BC6"/>
    <w:rsid w:val="002A193C"/>
    <w:rsid w:val="002C2D53"/>
    <w:rsid w:val="002C73B9"/>
    <w:rsid w:val="002D1C4E"/>
    <w:rsid w:val="00346AEE"/>
    <w:rsid w:val="0035381F"/>
    <w:rsid w:val="00361286"/>
    <w:rsid w:val="00364D78"/>
    <w:rsid w:val="00381584"/>
    <w:rsid w:val="003B3AF7"/>
    <w:rsid w:val="00437DD9"/>
    <w:rsid w:val="00461F19"/>
    <w:rsid w:val="004E2D4A"/>
    <w:rsid w:val="004E5800"/>
    <w:rsid w:val="004E5ED3"/>
    <w:rsid w:val="00501C2B"/>
    <w:rsid w:val="005638FC"/>
    <w:rsid w:val="005802B2"/>
    <w:rsid w:val="00580466"/>
    <w:rsid w:val="005A738F"/>
    <w:rsid w:val="005B151C"/>
    <w:rsid w:val="005E64D7"/>
    <w:rsid w:val="00617E88"/>
    <w:rsid w:val="006410DE"/>
    <w:rsid w:val="00707BA2"/>
    <w:rsid w:val="00715EDA"/>
    <w:rsid w:val="00817B66"/>
    <w:rsid w:val="00820210"/>
    <w:rsid w:val="00841634"/>
    <w:rsid w:val="0086290E"/>
    <w:rsid w:val="0093686E"/>
    <w:rsid w:val="009638DD"/>
    <w:rsid w:val="009808AC"/>
    <w:rsid w:val="00981B18"/>
    <w:rsid w:val="00985C99"/>
    <w:rsid w:val="00992CE7"/>
    <w:rsid w:val="00994CB3"/>
    <w:rsid w:val="00A24FF2"/>
    <w:rsid w:val="00A25773"/>
    <w:rsid w:val="00A76351"/>
    <w:rsid w:val="00AC7EF1"/>
    <w:rsid w:val="00B003E4"/>
    <w:rsid w:val="00B0149D"/>
    <w:rsid w:val="00B16AC0"/>
    <w:rsid w:val="00B2432F"/>
    <w:rsid w:val="00B42C32"/>
    <w:rsid w:val="00B8477C"/>
    <w:rsid w:val="00BC7FAA"/>
    <w:rsid w:val="00BF49F5"/>
    <w:rsid w:val="00C00818"/>
    <w:rsid w:val="00C14921"/>
    <w:rsid w:val="00C23867"/>
    <w:rsid w:val="00C517A7"/>
    <w:rsid w:val="00C84AC8"/>
    <w:rsid w:val="00C9794E"/>
    <w:rsid w:val="00CC3601"/>
    <w:rsid w:val="00CD569B"/>
    <w:rsid w:val="00CE61D5"/>
    <w:rsid w:val="00D4301B"/>
    <w:rsid w:val="00D951E7"/>
    <w:rsid w:val="00DA3C73"/>
    <w:rsid w:val="00DC350A"/>
    <w:rsid w:val="00E43D2D"/>
    <w:rsid w:val="00EF0E1E"/>
    <w:rsid w:val="00F05251"/>
    <w:rsid w:val="00F30BF5"/>
    <w:rsid w:val="00F327BD"/>
    <w:rsid w:val="00F33DED"/>
    <w:rsid w:val="00FE0113"/>
    <w:rsid w:val="00FE6F3C"/>
    <w:rsid w:val="00FF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7614AA"/>
  <w15:chartTrackingRefBased/>
  <w15:docId w15:val="{24CED623-3786-46F6-85CC-F357FA33E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3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32F"/>
  </w:style>
  <w:style w:type="paragraph" w:styleId="Footer">
    <w:name w:val="footer"/>
    <w:basedOn w:val="Normal"/>
    <w:link w:val="FooterChar"/>
    <w:uiPriority w:val="99"/>
    <w:unhideWhenUsed/>
    <w:rsid w:val="00B2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32F"/>
  </w:style>
  <w:style w:type="paragraph" w:customStyle="1" w:styleId="ArticleTitle">
    <w:name w:val="&lt;Article_Title&gt;"/>
    <w:qFormat/>
    <w:rsid w:val="00B2432F"/>
    <w:pPr>
      <w:spacing w:before="660" w:after="460" w:line="320" w:lineRule="exact"/>
    </w:pPr>
    <w:rPr>
      <w:rFonts w:ascii="Minion Pro" w:eastAsia="Calibri" w:hAnsi="Minion Pro" w:cs="Latha"/>
      <w:color w:val="8B2F57"/>
      <w:sz w:val="32"/>
      <w:lang w:val="en-IN"/>
    </w:rPr>
  </w:style>
  <w:style w:type="paragraph" w:customStyle="1" w:styleId="Author">
    <w:name w:val="&lt;Author&gt;"/>
    <w:qFormat/>
    <w:rsid w:val="00B2432F"/>
    <w:pPr>
      <w:spacing w:before="460" w:after="340" w:line="220" w:lineRule="exact"/>
    </w:pPr>
    <w:rPr>
      <w:rFonts w:ascii="Minion Pro" w:hAnsi="Minion Pro"/>
      <w:sz w:val="18"/>
      <w:lang w:val="en-IN"/>
    </w:rPr>
  </w:style>
  <w:style w:type="paragraph" w:customStyle="1" w:styleId="Affiliation">
    <w:name w:val="&lt;Affiliation&gt;"/>
    <w:qFormat/>
    <w:rsid w:val="00B2432F"/>
    <w:pPr>
      <w:spacing w:before="340" w:after="400" w:line="200" w:lineRule="exact"/>
    </w:pPr>
    <w:rPr>
      <w:rFonts w:ascii="Minion Pro" w:hAnsi="Minion Pro"/>
      <w:i/>
      <w:sz w:val="16"/>
      <w:lang w:val="en-IN"/>
    </w:rPr>
  </w:style>
  <w:style w:type="character" w:styleId="Hyperlink">
    <w:name w:val="Hyperlink"/>
    <w:basedOn w:val="DefaultParagraphFont"/>
    <w:uiPriority w:val="99"/>
    <w:unhideWhenUsed/>
    <w:rsid w:val="00B2432F"/>
    <w:rPr>
      <w:color w:val="0563C1" w:themeColor="hyperlink"/>
      <w:u w:val="single"/>
    </w:rPr>
  </w:style>
  <w:style w:type="paragraph" w:styleId="BalloonText">
    <w:name w:val="Balloon Text"/>
    <w:basedOn w:val="Normal"/>
    <w:link w:val="BalloonTextChar"/>
    <w:uiPriority w:val="99"/>
    <w:semiHidden/>
    <w:unhideWhenUsed/>
    <w:rsid w:val="00B243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432F"/>
    <w:rPr>
      <w:rFonts w:ascii="Segoe UI" w:hAnsi="Segoe UI" w:cs="Segoe UI"/>
      <w:sz w:val="18"/>
      <w:szCs w:val="18"/>
    </w:rPr>
  </w:style>
  <w:style w:type="character" w:styleId="CommentReference">
    <w:name w:val="annotation reference"/>
    <w:basedOn w:val="DefaultParagraphFont"/>
    <w:uiPriority w:val="99"/>
    <w:semiHidden/>
    <w:unhideWhenUsed/>
    <w:qFormat/>
    <w:rsid w:val="00B2432F"/>
    <w:rPr>
      <w:sz w:val="16"/>
      <w:szCs w:val="16"/>
    </w:rPr>
  </w:style>
  <w:style w:type="paragraph" w:styleId="CommentText">
    <w:name w:val="annotation text"/>
    <w:basedOn w:val="Normal"/>
    <w:link w:val="CommentTextChar"/>
    <w:uiPriority w:val="99"/>
    <w:unhideWhenUsed/>
    <w:qFormat/>
    <w:rsid w:val="00B2432F"/>
    <w:pPr>
      <w:spacing w:line="240" w:lineRule="auto"/>
    </w:pPr>
    <w:rPr>
      <w:sz w:val="20"/>
      <w:szCs w:val="20"/>
    </w:rPr>
  </w:style>
  <w:style w:type="character" w:customStyle="1" w:styleId="CommentTextChar">
    <w:name w:val="Comment Text Char"/>
    <w:basedOn w:val="DefaultParagraphFont"/>
    <w:link w:val="CommentText"/>
    <w:uiPriority w:val="99"/>
    <w:qFormat/>
    <w:rsid w:val="00B2432F"/>
    <w:rPr>
      <w:sz w:val="20"/>
      <w:szCs w:val="20"/>
    </w:rPr>
  </w:style>
  <w:style w:type="paragraph" w:styleId="ListParagraph">
    <w:name w:val="List Paragraph"/>
    <w:basedOn w:val="Normal"/>
    <w:uiPriority w:val="34"/>
    <w:qFormat/>
    <w:rsid w:val="00B2432F"/>
    <w:pPr>
      <w:ind w:left="720"/>
      <w:contextualSpacing/>
    </w:pPr>
  </w:style>
  <w:style w:type="paragraph" w:styleId="CommentSubject">
    <w:name w:val="annotation subject"/>
    <w:basedOn w:val="CommentText"/>
    <w:next w:val="CommentText"/>
    <w:link w:val="CommentSubjectChar"/>
    <w:uiPriority w:val="99"/>
    <w:semiHidden/>
    <w:unhideWhenUsed/>
    <w:rsid w:val="00B42C32"/>
    <w:rPr>
      <w:b/>
      <w:bCs/>
    </w:rPr>
  </w:style>
  <w:style w:type="character" w:customStyle="1" w:styleId="CommentSubjectChar">
    <w:name w:val="Comment Subject Char"/>
    <w:basedOn w:val="CommentTextChar"/>
    <w:link w:val="CommentSubject"/>
    <w:uiPriority w:val="99"/>
    <w:semiHidden/>
    <w:rsid w:val="00B42C32"/>
    <w:rPr>
      <w:b/>
      <w:bCs/>
      <w:sz w:val="20"/>
      <w:szCs w:val="20"/>
    </w:rPr>
  </w:style>
  <w:style w:type="paragraph" w:customStyle="1" w:styleId="Para">
    <w:name w:val="&lt;Para&gt;"/>
    <w:qFormat/>
    <w:rsid w:val="00B42C32"/>
    <w:pPr>
      <w:spacing w:after="0" w:line="220" w:lineRule="exact"/>
      <w:ind w:firstLine="720"/>
      <w:jc w:val="both"/>
    </w:pPr>
    <w:rPr>
      <w:rFonts w:ascii="Minion Pro" w:hAnsi="Minion Pro"/>
      <w:sz w:val="19"/>
      <w:lang w:val="en-IN"/>
    </w:rPr>
  </w:style>
  <w:style w:type="paragraph" w:customStyle="1" w:styleId="Reference">
    <w:name w:val="&lt;Reference&gt;"/>
    <w:qFormat/>
    <w:rsid w:val="00246D39"/>
    <w:pPr>
      <w:spacing w:after="0" w:line="160" w:lineRule="exact"/>
      <w:ind w:left="720" w:hanging="720"/>
    </w:pPr>
    <w:rPr>
      <w:rFonts w:ascii="Minion Pro" w:hAnsi="Minion Pro"/>
      <w:sz w:val="17"/>
      <w:lang w:val="en-IN"/>
    </w:rPr>
  </w:style>
  <w:style w:type="paragraph" w:styleId="Bibliography">
    <w:name w:val="Bibliography"/>
    <w:basedOn w:val="Normal"/>
    <w:next w:val="Normal"/>
    <w:uiPriority w:val="37"/>
    <w:unhideWhenUsed/>
    <w:rsid w:val="00B16AC0"/>
  </w:style>
  <w:style w:type="character" w:styleId="UnresolvedMention">
    <w:name w:val="Unresolved Mention"/>
    <w:basedOn w:val="DefaultParagraphFont"/>
    <w:uiPriority w:val="99"/>
    <w:semiHidden/>
    <w:unhideWhenUsed/>
    <w:rsid w:val="00C979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mechanica.org/files/Vibrations%20of%20Cantilever%20Beams%20.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eq@tf.uni-kiel.de" TargetMode="Externa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hyperlink" Target="https://matthey.com/en/markets/pharmaceutical-and-medical/medical-device-components/resource-library/nitinol-technical-proper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23BD5AD-1A69-449E-B83B-7C9EAA3C8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10064</Words>
  <Characters>57366</Characters>
  <Application>Microsoft Office Word</Application>
  <DocSecurity>0</DocSecurity>
  <Lines>478</Lines>
  <Paragraphs>134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Curtis</dc:creator>
  <cp:keywords/>
  <dc:description/>
  <cp:lastModifiedBy>Sabrina Curtis</cp:lastModifiedBy>
  <cp:revision>2</cp:revision>
  <dcterms:created xsi:type="dcterms:W3CDTF">2020-05-04T16:48:00Z</dcterms:created>
  <dcterms:modified xsi:type="dcterms:W3CDTF">2020-05-04T16:48:00Z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aede8365-3e32-3d31-8b01-d37432eb89a5</vt:lpwstr>
  </property>
  <property fmtid="{D5CDD505-2E9C-101B-9397-08002B2CF9AE}" pid="4" name="Mendeley Citation Style_1">
    <vt:lpwstr>http://www.zotero.org/styles/journal-of-materials-research</vt:lpwstr>
  </property>
  <property fmtid="{D5CDD505-2E9C-101B-9397-08002B2CF9AE}" pid="5" name="Mendeley Recent Style Id 0_1">
    <vt:lpwstr>http://csl.mendeley.com/styles/510415971/nature</vt:lpwstr>
  </property>
  <property fmtid="{D5CDD505-2E9C-101B-9397-08002B2CF9AE}" pid="6" name="Mendeley Recent Style Name 0_1">
    <vt:lpwstr>JMR Manual Citation </vt:lpwstr>
  </property>
  <property fmtid="{D5CDD505-2E9C-101B-9397-08002B2CF9AE}" pid="7" name="Mendeley Recent Style Id 1_1">
    <vt:lpwstr>http://csl.mendeley.com/styles/510415971/JMR-SC-3</vt:lpwstr>
  </property>
  <property fmtid="{D5CDD505-2E9C-101B-9397-08002B2CF9AE}" pid="8" name="Mendeley Recent Style Name 1_1">
    <vt:lpwstr>JMR Manual Citation </vt:lpwstr>
  </property>
  <property fmtid="{D5CDD505-2E9C-101B-9397-08002B2CF9AE}" pid="9" name="Mendeley Recent Style Id 2_1">
    <vt:lpwstr>http://csl.mendeley.com/styles/510415971/JMR-SC-2</vt:lpwstr>
  </property>
  <property fmtid="{D5CDD505-2E9C-101B-9397-08002B2CF9AE}" pid="10" name="Mendeley Recent Style Name 2_1">
    <vt:lpwstr>JMR Manual Citation </vt:lpwstr>
  </property>
  <property fmtid="{D5CDD505-2E9C-101B-9397-08002B2CF9AE}" pid="11" name="Mendeley Recent Style Id 3_1">
    <vt:lpwstr>https://csl.mendeley.com/styles/510415971/JMR-SC-4</vt:lpwstr>
  </property>
  <property fmtid="{D5CDD505-2E9C-101B-9397-08002B2CF9AE}" pid="12" name="Mendeley Recent Style Name 3_1">
    <vt:lpwstr>JMR Manual Citation 2</vt:lpwstr>
  </property>
  <property fmtid="{D5CDD505-2E9C-101B-9397-08002B2CF9AE}" pid="13" name="Mendeley Recent Style Id 4_1">
    <vt:lpwstr>http://csl.mendeley.com/styles/510415971/JMR-SC-4</vt:lpwstr>
  </property>
  <property fmtid="{D5CDD505-2E9C-101B-9397-08002B2CF9AE}" pid="14" name="Mendeley Recent Style Name 4_1">
    <vt:lpwstr>JMR Manual Citation 2</vt:lpwstr>
  </property>
  <property fmtid="{D5CDD505-2E9C-101B-9397-08002B2CF9AE}" pid="15" name="Mendeley Recent Style Id 5_1">
    <vt:lpwstr>http://csl.mendeley.com/styles/510415971/JMR-SC-6</vt:lpwstr>
  </property>
  <property fmtid="{D5CDD505-2E9C-101B-9397-08002B2CF9AE}" pid="16" name="Mendeley Recent Style Name 5_1">
    <vt:lpwstr>JMR Manual Citation 2</vt:lpwstr>
  </property>
  <property fmtid="{D5CDD505-2E9C-101B-9397-08002B2CF9AE}" pid="17" name="Mendeley Recent Style Id 6_1">
    <vt:lpwstr>http://csl.mendeley.com/styles/510415971/JMR-SC-9</vt:lpwstr>
  </property>
  <property fmtid="{D5CDD505-2E9C-101B-9397-08002B2CF9AE}" pid="18" name="Mendeley Recent Style Name 6_1">
    <vt:lpwstr>JMR Manual Citation 2 - Sabrina Curtis</vt:lpwstr>
  </property>
  <property fmtid="{D5CDD505-2E9C-101B-9397-08002B2CF9AE}" pid="19" name="Mendeley Recent Style Id 7_1">
    <vt:lpwstr>http://www.zotero.org/styles/journal-of-materials-research</vt:lpwstr>
  </property>
  <property fmtid="{D5CDD505-2E9C-101B-9397-08002B2CF9AE}" pid="20" name="Mendeley Recent Style Name 7_1">
    <vt:lpwstr>Journal of Materials Research</vt:lpwstr>
  </property>
  <property fmtid="{D5CDD505-2E9C-101B-9397-08002B2CF9AE}" pid="21" name="Mendeley Recent Style Id 8_1">
    <vt:lpwstr>http://csl.mendeley.com/styles/510415971/journal-of-materials-research</vt:lpwstr>
  </property>
  <property fmtid="{D5CDD505-2E9C-101B-9397-08002B2CF9AE}" pid="22" name="Mendeley Recent Style Name 8_1">
    <vt:lpwstr>Journal of Materials Research - Sabrina Curtis</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