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AE" w:rsidRPr="0060222E" w:rsidRDefault="007042AE" w:rsidP="007042AE">
      <w:pPr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60222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Supplemental Material for</w:t>
      </w:r>
    </w:p>
    <w:p w:rsidR="007042AE" w:rsidRPr="0060222E" w:rsidRDefault="007042AE" w:rsidP="007042AE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222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Association between surgery with anesthesia and cognitive decline in older adults: analysis using shared parameter models for informative dropout</w:t>
      </w:r>
    </w:p>
    <w:p w:rsidR="007042AE" w:rsidRPr="0060222E" w:rsidRDefault="007042AE" w:rsidP="007042AE">
      <w:pPr>
        <w:spacing w:after="240" w:line="480" w:lineRule="auto"/>
        <w:rPr>
          <w:rFonts w:ascii="Arial" w:eastAsia="Times New Roman" w:hAnsi="Arial" w:cs="Arial"/>
          <w:sz w:val="24"/>
          <w:szCs w:val="24"/>
        </w:rPr>
      </w:pPr>
    </w:p>
    <w:p w:rsidR="007042AE" w:rsidRPr="0060222E" w:rsidRDefault="007042AE" w:rsidP="007042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</w:rPr>
      </w:pPr>
      <w:r w:rsidRPr="0060222E">
        <w:rPr>
          <w:rFonts w:ascii="Arial" w:eastAsia="Times New Roman" w:hAnsi="Arial" w:cs="Arial"/>
          <w:color w:val="000000"/>
          <w:sz w:val="24"/>
          <w:szCs w:val="24"/>
        </w:rPr>
        <w:t>Katrina L. Devick, PhD</w:t>
      </w:r>
      <w:r w:rsidRPr="0060222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, Juraj Sprung, MD, PhD</w:t>
      </w:r>
      <w:r w:rsidRPr="0060222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, Michelle Mielke, PhD</w:t>
      </w:r>
      <w:r w:rsidRPr="0060222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, Ronald C. Petersen</w:t>
      </w:r>
      <w:r w:rsidRPr="0060222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4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, MD, PhD, Phillip J.</w:t>
      </w:r>
      <w:r w:rsidR="000A3C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Schulte, PhD</w:t>
      </w:r>
      <w:r w:rsidRPr="0060222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</w:p>
    <w:p w:rsidR="007042AE" w:rsidRPr="0060222E" w:rsidRDefault="007042AE" w:rsidP="007042A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42AE" w:rsidRPr="0060222E" w:rsidRDefault="007042AE" w:rsidP="007042A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0222E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60222E">
        <w:rPr>
          <w:rFonts w:ascii="Arial" w:eastAsia="Times New Roman" w:hAnsi="Arial" w:cs="Arial"/>
          <w:sz w:val="24"/>
          <w:szCs w:val="24"/>
        </w:rPr>
        <w:t xml:space="preserve">Department of Health Sciences Research, Division of Biomedical Statistics and Informatics, </w:t>
      </w:r>
      <w:r w:rsidRPr="0060222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60222E">
        <w:rPr>
          <w:rFonts w:ascii="Arial" w:eastAsia="Times New Roman" w:hAnsi="Arial" w:cs="Arial"/>
          <w:sz w:val="24"/>
          <w:szCs w:val="24"/>
        </w:rPr>
        <w:t xml:space="preserve">Department of Anesthesiology and Perioperative Medicine, </w:t>
      </w:r>
      <w:r w:rsidRPr="0060222E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60222E">
        <w:rPr>
          <w:rFonts w:ascii="Arial" w:eastAsia="Times New Roman" w:hAnsi="Arial" w:cs="Arial"/>
          <w:sz w:val="24"/>
          <w:szCs w:val="24"/>
        </w:rPr>
        <w:t xml:space="preserve">Department of Health Sciences Research, Division of Epidemiology, </w:t>
      </w:r>
      <w:r w:rsidRPr="0060222E">
        <w:rPr>
          <w:rFonts w:ascii="Arial" w:eastAsia="Times New Roman" w:hAnsi="Arial" w:cs="Arial"/>
          <w:sz w:val="24"/>
          <w:szCs w:val="24"/>
          <w:vertAlign w:val="superscript"/>
        </w:rPr>
        <w:t>4</w:t>
      </w:r>
      <w:r w:rsidRPr="0060222E">
        <w:rPr>
          <w:rFonts w:ascii="Arial" w:eastAsia="Times New Roman" w:hAnsi="Arial" w:cs="Arial"/>
          <w:sz w:val="24"/>
          <w:szCs w:val="24"/>
        </w:rPr>
        <w:t xml:space="preserve">Department of Neurology, </w:t>
      </w:r>
      <w:r w:rsidRPr="0060222E">
        <w:rPr>
          <w:rFonts w:ascii="Arial" w:eastAsia="Times New Roman" w:hAnsi="Arial" w:cs="Arial"/>
          <w:color w:val="000000"/>
          <w:sz w:val="24"/>
          <w:szCs w:val="24"/>
        </w:rPr>
        <w:t>Mayo Clinic College of Medicine and Science, Rochester, Minnesota, USA</w:t>
      </w:r>
    </w:p>
    <w:p w:rsidR="007042AE" w:rsidRPr="0060222E" w:rsidRDefault="007042AE" w:rsidP="007042AE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42AE" w:rsidRPr="0060222E" w:rsidRDefault="007042AE" w:rsidP="007042AE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42AE" w:rsidRPr="0060222E" w:rsidRDefault="007042AE" w:rsidP="007042AE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042AE" w:rsidRPr="0060222E" w:rsidRDefault="007042AE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EC378B" w:rsidRPr="0060222E" w:rsidRDefault="00EC378B" w:rsidP="00EC378B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Supplemental Material 1: </w:t>
      </w:r>
    </w:p>
    <w:p w:rsidR="00493794" w:rsidRPr="0060222E" w:rsidRDefault="00493794" w:rsidP="00952CD5">
      <w:r w:rsidRPr="0060222E">
        <w:rPr>
          <w:rFonts w:ascii="Arial" w:eastAsia="Times New Roman" w:hAnsi="Arial" w:cs="Arial"/>
          <w:iCs/>
          <w:color w:val="000000"/>
          <w:sz w:val="18"/>
          <w:szCs w:val="20"/>
        </w:rPr>
        <w:t>Supplemental Table 1: Baseline characteristics according to observed study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1388"/>
        <w:gridCol w:w="1388"/>
        <w:gridCol w:w="1264"/>
        <w:gridCol w:w="1613"/>
        <w:gridCol w:w="1254"/>
      </w:tblGrid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493794" w:rsidRPr="0060222E" w:rsidRDefault="00493794" w:rsidP="00952C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No Observed Death or Dementia</w:t>
            </w:r>
          </w:p>
        </w:tc>
        <w:tc>
          <w:tcPr>
            <w:tcW w:w="2877" w:type="dxa"/>
            <w:gridSpan w:val="2"/>
            <w:vAlign w:val="center"/>
          </w:tcPr>
          <w:p w:rsidR="00493794" w:rsidRPr="0060222E" w:rsidRDefault="00493794" w:rsidP="00952C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Death or Dementia</w:t>
            </w:r>
          </w:p>
        </w:tc>
        <w:tc>
          <w:tcPr>
            <w:tcW w:w="0" w:type="auto"/>
            <w:vAlign w:val="center"/>
          </w:tcPr>
          <w:p w:rsidR="00493794" w:rsidRPr="0060222E" w:rsidRDefault="00493794" w:rsidP="00952CD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93794" w:rsidRPr="0060222E" w:rsidRDefault="00D572A9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</w:t>
            </w:r>
            <w:r w:rsidR="00493794" w:rsidRPr="0060222E">
              <w:rPr>
                <w:rFonts w:cstheme="minorHAnsi"/>
                <w:sz w:val="18"/>
                <w:szCs w:val="18"/>
              </w:rPr>
              <w:t>-4 Study Visits (N=722)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≥5 Study Visits (N=784)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Dementia (N=172)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Death (N=270)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Total (N=1948)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Age, Median (Q1, Q3)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80 (75, 83)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77 (73, 81)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82 (79, 85)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82 (78, 86)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79 (74, 83)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Female Sex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379 (52.5%)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389 (49.6%)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81 (47.1%)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105 (38.9%)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954 (49.0%)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Marital Status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Single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72 (10.0%)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76 (9.7%)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15 (8.7%)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29 (10.7%)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192 (9.9%)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Married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445 (61.6%)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537 (68.5%)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108 (62.8%)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143 (53.0%)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1233 (63.3%)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Widowed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205 (28.4%)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171 (21.8%)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49 (28.5%)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98 (36.3%)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523 (26.8%)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Education Status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Less than 12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82 (11.4%)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47 (6.0%)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28 (16.3%)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34 (12.6%)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191 (9.8%)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12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286 (39.6%)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235 (30.0%)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54 (31.4%)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87 (32.2%)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662 (34.0%)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13-15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168 (23.3%)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201 (25.6%)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39 (22.7%)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68 (25.2%)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476 (24.4%)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16 years and above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186 (25.8%)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301 (38.4%)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51 (29.7%)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81 (30.0%)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619 (31.8%)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Smoking Status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Never Smoker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375 (51.9%)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440 (56.1%)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86 (50.0%)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117 (43.3%)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1018 (52.3%)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Former Smoker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325 (45.0%)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319 (40.7%)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84 (48.8%)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131 (48.5%)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859 (44.1%)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Current Smoker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22 (3.0%)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25 (3.2%)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 (1.2%)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22 (8.1%)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71 (3.6%)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60222E">
              <w:rPr>
                <w:rFonts w:cstheme="minorHAnsi"/>
                <w:sz w:val="18"/>
                <w:szCs w:val="18"/>
              </w:rPr>
              <w:t>Hx</w:t>
            </w:r>
            <w:proofErr w:type="spellEnd"/>
            <w:r w:rsidRPr="0060222E">
              <w:rPr>
                <w:rFonts w:cstheme="minorHAnsi"/>
                <w:sz w:val="18"/>
                <w:szCs w:val="18"/>
              </w:rPr>
              <w:t xml:space="preserve"> Alcohol Problems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30 (4.2%)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27 (3.4%)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 (2.9%)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12 (4.4%)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74 (3.8%)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60222E">
              <w:rPr>
                <w:rFonts w:cstheme="minorHAnsi"/>
                <w:sz w:val="18"/>
                <w:szCs w:val="18"/>
              </w:rPr>
              <w:t>Charlson</w:t>
            </w:r>
            <w:proofErr w:type="spellEnd"/>
            <w:r w:rsidRPr="0060222E">
              <w:rPr>
                <w:rFonts w:cstheme="minorHAnsi"/>
                <w:sz w:val="18"/>
                <w:szCs w:val="18"/>
              </w:rPr>
              <w:t xml:space="preserve"> Index, Median (Q1, Q3)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 (2, 5)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 (1, 5)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 (3, 7)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 (3, 7)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 (2, 6)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Midlife Diabetes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45 (6.2%)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35 (4.5%)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 (5.8%)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14 (5.2%)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104 (5.3%)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Midlife Hypertension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265 (36.7%)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277 (35.3%)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55 (32.0%)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102 (37.8%)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699 (35.9%)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Midlife Dyslipidemia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294 (40.7%)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375 (47.8%)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67 (39.0%)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108 (40.0%)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844 (43.3%)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Atrial Fibrillation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119 (16.5%)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98 (12.5%)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37 (21.5%)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78 (28.9%)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332 (17.0%)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Congestive Heart Failure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81 (11.2%)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41 (5.2%)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29 (16.9%)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69 (25.6%)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220 (11.3%)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Stroke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47 (6.5%)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16 (2.0%)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16 (9.3%)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33 (12.2%)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112 (5.7%)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Coronary Artery Disease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281 (38.9%)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259 (33.0%)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81 (47.1%)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155 (57.4%)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776 (39.8%)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i/>
                <w:sz w:val="18"/>
                <w:szCs w:val="18"/>
              </w:rPr>
              <w:t>APOE ε4</w:t>
            </w:r>
            <w:r w:rsidRPr="0060222E">
              <w:rPr>
                <w:rFonts w:cstheme="minorHAnsi"/>
                <w:sz w:val="18"/>
                <w:szCs w:val="18"/>
              </w:rPr>
              <w:t xml:space="preserve"> allele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206 (28.5%)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191 (24.4%)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62 (36.0%)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59 (21.9%)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518 (26.6%)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Baseline Cognitive Status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Cognitively Unimpaired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594 (82.3%)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757 (96.6%)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68 (39.5%)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226 (83.7%)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1645 (84.4%)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 xml:space="preserve">        Mild Cognitive Impairment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128 (17.7%)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27 (3.4%)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104 (60.5%)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44 (16.3%)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303 (15.6%)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Surgery with Anesthesia in Prior 5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228 (31.6%)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234 (29.8%)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68 (39.5%)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111 (41.1%)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641 (32.9%)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Surgery with Anesthesia in Prior 10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363 (50.3%)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357 (45.5%)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99 (57.6%)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160 (59.3%)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979 (50.3%)</w:t>
            </w:r>
          </w:p>
        </w:tc>
      </w:tr>
      <w:tr w:rsidR="00493794" w:rsidRPr="0060222E" w:rsidTr="00952CD5">
        <w:tc>
          <w:tcPr>
            <w:tcW w:w="0" w:type="auto"/>
            <w:vAlign w:val="center"/>
          </w:tcPr>
          <w:p w:rsidR="00493794" w:rsidRPr="0060222E" w:rsidRDefault="00493794" w:rsidP="00952CD5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Surgery with Anesthesia in Prior 20 Years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470 (65.1%)</w:t>
            </w:r>
          </w:p>
        </w:tc>
        <w:tc>
          <w:tcPr>
            <w:tcW w:w="1388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507 (64.7%)</w:t>
            </w:r>
          </w:p>
        </w:tc>
        <w:tc>
          <w:tcPr>
            <w:tcW w:w="126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131 (76.2%)</w:t>
            </w:r>
          </w:p>
        </w:tc>
        <w:tc>
          <w:tcPr>
            <w:tcW w:w="1613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205 (75.9%)</w:t>
            </w:r>
          </w:p>
        </w:tc>
        <w:tc>
          <w:tcPr>
            <w:tcW w:w="1254" w:type="dxa"/>
            <w:vAlign w:val="center"/>
          </w:tcPr>
          <w:p w:rsidR="00493794" w:rsidRPr="0060222E" w:rsidRDefault="00493794" w:rsidP="00952CD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60222E">
              <w:rPr>
                <w:rFonts w:cstheme="minorHAnsi"/>
                <w:sz w:val="18"/>
                <w:szCs w:val="18"/>
              </w:rPr>
              <w:t>1313 (67.4%)</w:t>
            </w:r>
          </w:p>
        </w:tc>
      </w:tr>
    </w:tbl>
    <w:p w:rsidR="00EC378B" w:rsidRPr="0060222E" w:rsidRDefault="00EC378B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:rsidR="007042AE" w:rsidRPr="0060222E" w:rsidRDefault="007042AE" w:rsidP="007042AE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Supplemental Material </w:t>
      </w:r>
      <w:r w:rsidR="00EC378B"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60222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2732"/>
        <w:gridCol w:w="2320"/>
      </w:tblGrid>
      <w:tr w:rsidR="006413DF" w:rsidRPr="0060222E" w:rsidTr="00906C2F">
        <w:trPr>
          <w:cantSplit/>
          <w:tblHeader/>
          <w:jc w:val="center"/>
        </w:trPr>
        <w:tc>
          <w:tcPr>
            <w:tcW w:w="5000" w:type="pct"/>
            <w:gridSpan w:val="3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6413DF" w:rsidRPr="0060222E" w:rsidRDefault="006413DF" w:rsidP="00952CD5">
            <w:pPr>
              <w:keepNext/>
              <w:adjustRightInd w:val="0"/>
              <w:spacing w:before="67" w:after="67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</w:rPr>
              <w:t>Supplemental Table</w:t>
            </w:r>
            <w:r w:rsidR="00493794" w:rsidRPr="0060222E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</w:rPr>
              <w:t xml:space="preserve"> 2</w:t>
            </w:r>
            <w:r w:rsidRPr="0060222E">
              <w:rPr>
                <w:rFonts w:ascii="Arial" w:eastAsia="Times New Roman" w:hAnsi="Arial" w:cs="Arial"/>
                <w:iCs/>
                <w:color w:val="000000"/>
                <w:sz w:val="18"/>
                <w:szCs w:val="20"/>
              </w:rPr>
              <w:t>: Association of Subject Characteristics and Cognitive Scores</w:t>
            </w:r>
          </w:p>
        </w:tc>
      </w:tr>
      <w:tr w:rsidR="007042AE" w:rsidRPr="0060222E" w:rsidTr="00906C2F">
        <w:trPr>
          <w:cantSplit/>
          <w:tblHeader/>
          <w:jc w:val="center"/>
        </w:trPr>
        <w:tc>
          <w:tcPr>
            <w:tcW w:w="2339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439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Linear Mixed Effects Model</w:t>
            </w:r>
          </w:p>
        </w:tc>
        <w:tc>
          <w:tcPr>
            <w:tcW w:w="1222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Shared Parameter Model</w:t>
            </w:r>
          </w:p>
        </w:tc>
      </w:tr>
      <w:tr w:rsidR="007042AE" w:rsidRPr="0060222E" w:rsidTr="00906C2F">
        <w:trPr>
          <w:cantSplit/>
          <w:tblHeader/>
          <w:jc w:val="center"/>
        </w:trPr>
        <w:tc>
          <w:tcPr>
            <w:tcW w:w="2339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Variable</w:t>
            </w:r>
          </w:p>
        </w:tc>
        <w:tc>
          <w:tcPr>
            <w:tcW w:w="1439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est. (95% CI)*</w:t>
            </w:r>
          </w:p>
        </w:tc>
        <w:tc>
          <w:tcPr>
            <w:tcW w:w="1222" w:type="pct"/>
            <w:tcBorders>
              <w:bottom w:val="single" w:sz="8" w:space="0" w:color="000000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7042AE" w:rsidRPr="0060222E" w:rsidRDefault="007042AE" w:rsidP="00493794">
            <w:pPr>
              <w:keepNext/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est. (95% CI)*</w:t>
            </w:r>
          </w:p>
        </w:tc>
      </w:tr>
      <w:tr w:rsidR="004015E1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4015E1" w:rsidRPr="0060222E" w:rsidRDefault="004015E1" w:rsidP="00391368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Intercept</w:t>
            </w:r>
            <w:r w:rsidR="00391368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-related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 xml:space="preserve"> </w:t>
            </w:r>
            <w:r w:rsidR="00391368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t</w:t>
            </w:r>
            <w:r w:rsidR="00391368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erms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*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4015E1" w:rsidRPr="0060222E" w:rsidRDefault="004015E1" w:rsidP="00493794">
            <w:pPr>
              <w:adjustRightInd w:val="0"/>
              <w:spacing w:before="67" w:after="67" w:line="240" w:lineRule="auto"/>
              <w:jc w:val="center"/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4015E1" w:rsidRPr="0060222E" w:rsidRDefault="004015E1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</w:tc>
      </w:tr>
      <w:tr w:rsidR="007042AE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Intercept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4.197 (3.589, 4.805)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4.173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3.561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4.765)</w:t>
            </w:r>
          </w:p>
        </w:tc>
      </w:tr>
      <w:tr w:rsidR="007042AE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Age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-0.058 (-0.066, -0.05)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-0.064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-0.05)</w:t>
            </w:r>
          </w:p>
        </w:tc>
      </w:tr>
      <w:tr w:rsidR="007042AE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Female Sex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0.15 (0.074, 0.226)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7042AE" w:rsidRPr="0060222E" w:rsidRDefault="007042AE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0.146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0.071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0.221)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Former Smoker (REF=Non-smoker)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-0.038 (-0.107, 0.031)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-0.042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-0.108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0.023)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Current Smoker (REF=Non-smoker</w:t>
            </w:r>
            <w:r w:rsidR="00192CCE"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-0.118 (-0.296, 0.06)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-0.111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-0.28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0.066)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Midlife Diabetes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-0.105 (-0.254, 0.044)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-0.094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-0.246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0.047)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Midlife Dyslipidemia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0.004 (-0.067, 0.075)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-0.071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0.063)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Midlife Hypertension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-0.013 (-0.086, 0.06)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-0.075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0.061)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Atrial Fibrillation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0.058 (-0.036, 0.152)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-0.033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0.151)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Congestive Heart Failure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-0.049 (-0.165, 0.067)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-0.169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0.061)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Stroke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-0.098 (-0.239, 0.043)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-0.096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-0.238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0.041)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Coronary Artery Disease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-0.047 (-0.12, 0.026)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-0.041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-0.109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0.031)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Married (REF=Single)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E40883">
            <w:pPr>
              <w:tabs>
                <w:tab w:val="left" w:pos="870"/>
              </w:tabs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0.19 (0.074, 0.306)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0.179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0.29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Widowed (REF=Single)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0.102 (-0.02, 0.224)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0.216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6413DF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Alcohol Problems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-0.234 (-0.405, -0.063)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-0.237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-0.409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Education – 12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0.39 (0.27, 0.51)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0.395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0.276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0.52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Education – 13-15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0.598 (0.473, 0.723)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0.603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0.479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0.727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Education – ≥16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0.924 (0.804, 1.044)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0.935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0.819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1.057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Charlson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Comorbidity Index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-0.006 (-0.018, 0.006)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0.008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APOE ε4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-0.13 (-0.203, -0.057)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-0.125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MCI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-1.229 (-1.321, -1.137)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-1.216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-1.307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-1.125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Prior exposure in last 20 years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0.014 (-0.029, 0.057)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0.004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4015E1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Slope</w:t>
            </w:r>
            <w:r w:rsidR="00391368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-related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 xml:space="preserve"> </w:t>
            </w:r>
            <w:r w:rsidR="00391368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t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u w:val="single"/>
              </w:rPr>
              <w:t>erms**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 after enrollment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0.68 (0.564, 0.796)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0.819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0.357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1.307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Years*Age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-0.009 (-0.011, -0.007)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Years*Female Sex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-0.021 (-0.035, -0.007)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-0.081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Years*Former Smoker (REF=Non-smoker)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-0.003 (-0.015, 0.009)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Years*Current Smoker (REF=Non-smoker</w:t>
            </w:r>
            <w:r w:rsidR="00192CCE"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-0.014 (-0.049, 0.021)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-0.065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-0.196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0.068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Years*Midlife Diabetes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-0.023 (-0.05, 0.004)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-0.142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0.097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Years*Midlife Dyslipidemia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0.007 (-0.007, 0.021) 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0.023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-0.033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0.078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Years*Midlife Hypertension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-0.009 (-0.023, 0.005)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-0.077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Atrial Fibrillation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 (-0.038, -0.002)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-0.093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lastRenderedPageBreak/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Congestive Heart Failure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0.009 (-0.015, 0.033)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-0.087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0.102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Stroke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-0.029 (-0.06, 0.002)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-0.133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0.093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Coronary Artery Disease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-0.001 (-0.015, 0.013)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-0.074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0.041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Years*Married (REF=Single)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0.005 (-0.017, 0.027)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0.127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Years*Widowed (REF=Single)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0.01 (-0.014, 0.034)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0.137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) 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Hx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Alcohol Problems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-0.019 (-0.05, 0.012)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0.124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Years*Education – 12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-0.027 (-0.052, -0.002)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-0.039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-0.134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0.053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Years*Education – 13-15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-0.04 (-0.065, -0.015)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-0.152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0.048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Years*Education – ≥16 years (REF= &lt;12 years)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-0.034 (-0.058, -0.01)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-0.055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-0.152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0.036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Years*</w:t>
            </w:r>
            <w:proofErr w:type="spellStart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Charlson</w:t>
            </w:r>
            <w:proofErr w:type="spellEnd"/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Comorbidity Index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-0.001 (-0.003, 0.001)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-0.002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-0.011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0.007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Years*APOE ε4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-0.033 (-0.047, -0.019)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-0.027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-0.084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0.031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Years*MCI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-0.071 (-0.093, -0.049)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-0.107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-0.179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-0.037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Years*Prior exposure in last 20 years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0222E">
              <w:rPr>
                <w:rStyle w:val="gd15mcfceub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0.002 (-0.01, 0.014)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-0.023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-0.063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0.017</w:t>
            </w:r>
            <w:r w:rsidR="006C26D3"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4015E1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60222E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Change in Slope after Exposure***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6413DF" w:rsidRPr="0060222E" w:rsidTr="00906C2F">
        <w:trPr>
          <w:cantSplit/>
          <w:jc w:val="center"/>
        </w:trPr>
        <w:tc>
          <w:tcPr>
            <w:tcW w:w="23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7042AE">
            <w:pPr>
              <w:adjustRightInd w:val="0"/>
              <w:spacing w:before="67" w:after="67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Years after a Post-enrollment exposure</w:t>
            </w:r>
          </w:p>
        </w:tc>
        <w:tc>
          <w:tcPr>
            <w:tcW w:w="1439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C26D3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60222E">
              <w:rPr>
                <w:rStyle w:val="gd15mcfceub"/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-0.063 (-0.079, -0.047)</w:t>
            </w:r>
          </w:p>
        </w:tc>
        <w:tc>
          <w:tcPr>
            <w:tcW w:w="1222" w:type="pct"/>
            <w:shd w:val="clear" w:color="auto" w:fill="FFFFFF"/>
            <w:tcMar>
              <w:left w:w="67" w:type="dxa"/>
              <w:right w:w="67" w:type="dxa"/>
            </w:tcMar>
          </w:tcPr>
          <w:p w:rsidR="006413DF" w:rsidRPr="0060222E" w:rsidRDefault="006413DF" w:rsidP="00493794">
            <w:pPr>
              <w:adjustRightInd w:val="0"/>
              <w:spacing w:before="67" w:after="67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-0.081</w:t>
            </w:r>
            <w:r w:rsidR="006C26D3"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-0.136</w:t>
            </w:r>
            <w:r w:rsidR="006C26D3"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-0.026</w:t>
            </w:r>
            <w:r w:rsidR="006C26D3" w:rsidRPr="0060222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</w:tbl>
    <w:p w:rsidR="006413DF" w:rsidRPr="0060222E" w:rsidRDefault="006413DF" w:rsidP="00704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</w:p>
    <w:p w:rsidR="006413DF" w:rsidRPr="0060222E" w:rsidRDefault="004015E1" w:rsidP="004015E1">
      <w:pPr>
        <w:spacing w:after="0" w:line="48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0222E">
        <w:rPr>
          <w:rFonts w:ascii="Arial" w:eastAsia="Times New Roman" w:hAnsi="Arial" w:cs="Arial"/>
          <w:color w:val="000000"/>
          <w:sz w:val="18"/>
          <w:szCs w:val="18"/>
        </w:rPr>
        <w:t>*Intercept</w:t>
      </w:r>
      <w:r w:rsidR="00391368">
        <w:rPr>
          <w:rFonts w:ascii="Arial" w:eastAsia="Times New Roman" w:hAnsi="Arial" w:cs="Arial"/>
          <w:color w:val="000000"/>
          <w:sz w:val="18"/>
          <w:szCs w:val="18"/>
        </w:rPr>
        <w:t>-related terms are those that relate</w:t>
      </w:r>
      <w:r w:rsidR="00E01A1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0222E">
        <w:rPr>
          <w:rFonts w:ascii="Arial" w:eastAsia="Times New Roman" w:hAnsi="Arial" w:cs="Arial"/>
          <w:color w:val="000000"/>
          <w:sz w:val="18"/>
          <w:szCs w:val="18"/>
        </w:rPr>
        <w:t>to the estimated intercept of the linear mixed effects model (expected cognitive z-scores at enrollment).  Estimates reflect standard deviations (SDs) associated with the given variable.</w:t>
      </w:r>
    </w:p>
    <w:p w:rsidR="004015E1" w:rsidRPr="0060222E" w:rsidRDefault="004015E1" w:rsidP="004015E1">
      <w:pPr>
        <w:spacing w:after="0" w:line="48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0222E">
        <w:rPr>
          <w:rFonts w:ascii="Arial" w:eastAsia="Times New Roman" w:hAnsi="Arial" w:cs="Arial"/>
          <w:color w:val="000000"/>
          <w:sz w:val="18"/>
          <w:szCs w:val="18"/>
        </w:rPr>
        <w:t>**Slope</w:t>
      </w:r>
      <w:r w:rsidR="00391368">
        <w:rPr>
          <w:rFonts w:ascii="Arial" w:eastAsia="Times New Roman" w:hAnsi="Arial" w:cs="Arial"/>
          <w:color w:val="000000"/>
          <w:sz w:val="18"/>
          <w:szCs w:val="18"/>
        </w:rPr>
        <w:t>-related terms are those</w:t>
      </w:r>
      <w:r w:rsidRPr="0060222E">
        <w:rPr>
          <w:rFonts w:ascii="Arial" w:eastAsia="Times New Roman" w:hAnsi="Arial" w:cs="Arial"/>
          <w:color w:val="000000"/>
          <w:sz w:val="18"/>
          <w:szCs w:val="18"/>
        </w:rPr>
        <w:t xml:space="preserve"> related to the estimated change in cognitive z-scores (SD per year) after enrollment</w:t>
      </w:r>
      <w:r w:rsidR="00E01A1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015E1" w:rsidRPr="0060222E" w:rsidRDefault="004015E1" w:rsidP="004015E1">
      <w:pPr>
        <w:spacing w:after="0" w:line="480" w:lineRule="auto"/>
        <w:rPr>
          <w:rFonts w:ascii="Arial" w:eastAsia="Times New Roman" w:hAnsi="Arial" w:cs="Arial"/>
          <w:sz w:val="18"/>
          <w:szCs w:val="18"/>
        </w:rPr>
      </w:pPr>
      <w:r w:rsidRPr="0060222E">
        <w:rPr>
          <w:rFonts w:ascii="Arial" w:eastAsia="Times New Roman" w:hAnsi="Arial" w:cs="Arial"/>
          <w:color w:val="000000"/>
          <w:sz w:val="18"/>
          <w:szCs w:val="18"/>
        </w:rPr>
        <w:t xml:space="preserve">***Change in Slope after Exposure is the primary exposure of the current investigation, assessing the association with a post-enrollment exposure </w:t>
      </w:r>
      <w:r w:rsidR="00391368">
        <w:rPr>
          <w:rFonts w:ascii="Arial" w:eastAsia="Times New Roman" w:hAnsi="Arial" w:cs="Arial"/>
          <w:color w:val="000000"/>
          <w:sz w:val="18"/>
          <w:szCs w:val="18"/>
        </w:rPr>
        <w:t xml:space="preserve">to surgery with general anesthesia </w:t>
      </w:r>
      <w:r w:rsidRPr="0060222E">
        <w:rPr>
          <w:rFonts w:ascii="Arial" w:eastAsia="Times New Roman" w:hAnsi="Arial" w:cs="Arial"/>
          <w:color w:val="000000"/>
          <w:sz w:val="18"/>
          <w:szCs w:val="18"/>
        </w:rPr>
        <w:t>and subsequent change in cognitive z-scores</w:t>
      </w:r>
      <w:r w:rsidR="00E01A1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042AE" w:rsidRPr="0060222E" w:rsidRDefault="007042AE" w:rsidP="007042AE">
      <w:pPr>
        <w:spacing w:after="0" w:line="480" w:lineRule="auto"/>
        <w:rPr>
          <w:rFonts w:ascii="Arial" w:eastAsia="Times New Roman" w:hAnsi="Arial" w:cs="Arial"/>
          <w:sz w:val="18"/>
          <w:szCs w:val="18"/>
        </w:rPr>
      </w:pPr>
    </w:p>
    <w:p w:rsidR="00906C2F" w:rsidRPr="0060222E" w:rsidRDefault="00906C2F">
      <w:pPr>
        <w:rPr>
          <w:rFonts w:ascii="Arial" w:eastAsia="Times New Roman" w:hAnsi="Arial" w:cs="Arial"/>
        </w:rPr>
      </w:pPr>
      <w:r w:rsidRPr="0060222E">
        <w:rPr>
          <w:rFonts w:ascii="Arial" w:eastAsia="Times New Roman" w:hAnsi="Arial" w:cs="Arial"/>
          <w:sz w:val="18"/>
          <w:szCs w:val="18"/>
        </w:rPr>
        <w:br w:type="page"/>
      </w:r>
    </w:p>
    <w:p w:rsidR="007042AE" w:rsidRPr="0060222E" w:rsidRDefault="00906C2F" w:rsidP="007042AE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60222E">
        <w:rPr>
          <w:rFonts w:ascii="Arial" w:eastAsia="Times New Roman" w:hAnsi="Arial" w:cs="Arial"/>
          <w:sz w:val="24"/>
          <w:szCs w:val="24"/>
        </w:rPr>
        <w:lastRenderedPageBreak/>
        <w:t xml:space="preserve">Supplemental Material </w:t>
      </w:r>
      <w:r w:rsidR="00EC378B" w:rsidRPr="0060222E">
        <w:rPr>
          <w:rFonts w:ascii="Arial" w:eastAsia="Times New Roman" w:hAnsi="Arial" w:cs="Arial"/>
          <w:sz w:val="24"/>
          <w:szCs w:val="24"/>
        </w:rPr>
        <w:t>3</w:t>
      </w:r>
      <w:r w:rsidRPr="0060222E">
        <w:rPr>
          <w:rFonts w:ascii="Arial" w:eastAsia="Times New Roman" w:hAnsi="Arial" w:cs="Arial"/>
          <w:sz w:val="24"/>
          <w:szCs w:val="24"/>
        </w:rPr>
        <w:t>: R Code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library(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JMbayes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#Dataset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lng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##one row per observation (multiple rows per subject)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 'id' is the subject identifier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##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zglobal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is the primary outcome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 year is time after enrollment for the given study visit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##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yearsafter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is the time after a post-enrollment exposure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 Other covariates: age, female gender, smoking status, etc.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MixedModelFit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&lt;-</w:t>
      </w:r>
      <w:proofErr w:type="spellStart"/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lme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(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zglobal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~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age + gender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smokestat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midlifediabetes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midlifehtn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midlifedyslipid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bsel_afib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bsel_chf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bsel_stroke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bsel_cad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maritalgrp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alcoholproblemhx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educgrp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bsel_ch_index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any_e4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bsel_mci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pr20_any_anes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year*age + year*gender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smokestat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midlifediabetes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midlifehtn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midlifedyslipid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bsel_afib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bsel_chf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bsel_stroke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bsel_cad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maritalgrp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alcoholproblemhx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educgrp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 +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bsel_ch_index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year*any_e4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year*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bsel_mci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year*pr20_any_anes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yearsafter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,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random = ~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year+yearsafter|id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,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         data=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lng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#Dataset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srv</w:t>
      </w:r>
      <w:proofErr w:type="spellEnd"/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##one row per subject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dthdementia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= 1 if death or dementia, =0 if not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dthdemyrs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= years to death or dementia (if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dthdementia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=1) or censoring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>## Other covariates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spellStart"/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survFit</w:t>
      </w:r>
      <w:proofErr w:type="spellEnd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&lt;-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coxph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Surv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dthdemyrs,dthdementia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~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age + gender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smokestat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midlifediabetes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midlifehtn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midlifedyslipid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bsel_afib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bsel_chf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bsel_stroke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bsel_cad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maritalgrp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alcoholproblemhx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factor(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educgrp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) +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bsel_ch_index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any_e4 +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 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bsel_mci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+ pr20_any_anes, 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                 </w:t>
      </w:r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data=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srv,x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=TRUE)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r w:rsidRPr="0060222E">
        <w:rPr>
          <w:rFonts w:ascii="Courier New" w:eastAsia="Times New Roman" w:hAnsi="Courier New" w:cs="Courier New"/>
          <w:sz w:val="16"/>
          <w:szCs w:val="18"/>
        </w:rPr>
        <w:t xml:space="preserve">#Fit Shared Parameter Model using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JMbayes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functions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JMBFit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&lt;-</w:t>
      </w:r>
      <w:proofErr w:type="spellStart"/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jointModelBayes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(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MixedModelFit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,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survFit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, 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timeVar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 xml:space="preserve"> = "year",</w:t>
      </w:r>
      <w:proofErr w:type="spellStart"/>
      <w:r w:rsidRPr="0060222E">
        <w:rPr>
          <w:rFonts w:ascii="Courier New" w:eastAsia="Times New Roman" w:hAnsi="Courier New" w:cs="Courier New"/>
          <w:sz w:val="16"/>
          <w:szCs w:val="18"/>
        </w:rPr>
        <w:t>param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="shared-RE")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summary(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MixedModelFit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</w:t>
      </w:r>
    </w:p>
    <w:p w:rsidR="00906C2F" w:rsidRPr="0060222E" w:rsidRDefault="00906C2F" w:rsidP="00906C2F">
      <w:pPr>
        <w:spacing w:after="0"/>
        <w:rPr>
          <w:rFonts w:ascii="Courier New" w:eastAsia="Times New Roman" w:hAnsi="Courier New" w:cs="Courier New"/>
          <w:sz w:val="16"/>
          <w:szCs w:val="18"/>
        </w:rPr>
      </w:pPr>
      <w:proofErr w:type="gramStart"/>
      <w:r w:rsidRPr="0060222E">
        <w:rPr>
          <w:rFonts w:ascii="Courier New" w:eastAsia="Times New Roman" w:hAnsi="Courier New" w:cs="Courier New"/>
          <w:sz w:val="16"/>
          <w:szCs w:val="18"/>
        </w:rPr>
        <w:t>summary(</w:t>
      </w:r>
      <w:proofErr w:type="spellStart"/>
      <w:proofErr w:type="gramEnd"/>
      <w:r w:rsidRPr="0060222E">
        <w:rPr>
          <w:rFonts w:ascii="Courier New" w:eastAsia="Times New Roman" w:hAnsi="Courier New" w:cs="Courier New"/>
          <w:sz w:val="16"/>
          <w:szCs w:val="18"/>
        </w:rPr>
        <w:t>JMBFit</w:t>
      </w:r>
      <w:proofErr w:type="spellEnd"/>
      <w:r w:rsidRPr="0060222E">
        <w:rPr>
          <w:rFonts w:ascii="Courier New" w:eastAsia="Times New Roman" w:hAnsi="Courier New" w:cs="Courier New"/>
          <w:sz w:val="16"/>
          <w:szCs w:val="18"/>
        </w:rPr>
        <w:t>)</w:t>
      </w:r>
    </w:p>
    <w:p w:rsidR="00906C2F" w:rsidRPr="0060222E" w:rsidRDefault="00906C2F" w:rsidP="007042AE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906C2F" w:rsidRPr="0060222E" w:rsidRDefault="00906C2F">
      <w:pPr>
        <w:rPr>
          <w:rFonts w:ascii="Arial" w:eastAsia="Times New Roman" w:hAnsi="Arial" w:cs="Arial"/>
          <w:sz w:val="24"/>
          <w:szCs w:val="24"/>
        </w:rPr>
      </w:pPr>
      <w:r w:rsidRPr="0060222E">
        <w:rPr>
          <w:rFonts w:ascii="Arial" w:eastAsia="Times New Roman" w:hAnsi="Arial" w:cs="Arial"/>
          <w:sz w:val="24"/>
          <w:szCs w:val="24"/>
        </w:rPr>
        <w:br w:type="page"/>
      </w:r>
    </w:p>
    <w:p w:rsidR="00906C2F" w:rsidRPr="0060222E" w:rsidRDefault="00906C2F" w:rsidP="000B6B4B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60222E">
        <w:rPr>
          <w:rFonts w:ascii="Arial" w:eastAsia="Times New Roman" w:hAnsi="Arial" w:cs="Arial"/>
          <w:sz w:val="24"/>
          <w:szCs w:val="24"/>
        </w:rPr>
        <w:lastRenderedPageBreak/>
        <w:t xml:space="preserve">Supplemental Material </w:t>
      </w:r>
      <w:r w:rsidR="00EC378B" w:rsidRPr="0060222E">
        <w:rPr>
          <w:rFonts w:ascii="Arial" w:eastAsia="Times New Roman" w:hAnsi="Arial" w:cs="Arial"/>
          <w:sz w:val="24"/>
          <w:szCs w:val="24"/>
        </w:rPr>
        <w:t>4</w:t>
      </w:r>
      <w:r w:rsidRPr="0060222E">
        <w:rPr>
          <w:rFonts w:ascii="Arial" w:eastAsia="Times New Roman" w:hAnsi="Arial" w:cs="Arial"/>
          <w:sz w:val="24"/>
          <w:szCs w:val="24"/>
        </w:rPr>
        <w:t>: Model Formulation</w:t>
      </w:r>
    </w:p>
    <w:p w:rsidR="009F023A" w:rsidRPr="0060222E" w:rsidRDefault="009F023A" w:rsidP="000B6B4B">
      <w:pPr>
        <w:spacing w:after="0" w:line="480" w:lineRule="auto"/>
        <w:ind w:right="720" w:firstLine="720"/>
        <w:rPr>
          <w:rFonts w:ascii="Arial" w:hAnsi="Arial" w:cs="Arial"/>
          <w:sz w:val="24"/>
          <w:szCs w:val="24"/>
        </w:rPr>
      </w:pPr>
      <w:r w:rsidRPr="0060222E">
        <w:rPr>
          <w:rFonts w:ascii="Arial" w:hAnsi="Arial" w:cs="Arial"/>
          <w:sz w:val="24"/>
          <w:szCs w:val="24"/>
        </w:rPr>
        <w:t>First, we fit linear mixed effects models to assess the relationship between post-enrollment exposure to surgery with general anesthesia and the slope (trajectory) of cognitive z-scores over time.  Subject-specific random intercept</w:t>
      </w:r>
      <w:r w:rsidR="00AC3186">
        <w:rPr>
          <w:rFonts w:ascii="Arial" w:hAnsi="Arial" w:cs="Arial"/>
          <w:sz w:val="24"/>
          <w:szCs w:val="24"/>
        </w:rPr>
        <w:t>s</w:t>
      </w:r>
      <w:r w:rsidRPr="0060222E">
        <w:rPr>
          <w:rFonts w:ascii="Arial" w:hAnsi="Arial" w:cs="Arial"/>
          <w:sz w:val="24"/>
          <w:szCs w:val="24"/>
        </w:rPr>
        <w:t>, random slope</w:t>
      </w:r>
      <w:r w:rsidR="00AC3186">
        <w:rPr>
          <w:rFonts w:ascii="Arial" w:hAnsi="Arial" w:cs="Arial"/>
          <w:sz w:val="24"/>
          <w:szCs w:val="24"/>
        </w:rPr>
        <w:t>s</w:t>
      </w:r>
      <w:r w:rsidRPr="0060222E">
        <w:rPr>
          <w:rFonts w:ascii="Arial" w:hAnsi="Arial" w:cs="Arial"/>
          <w:sz w:val="24"/>
          <w:szCs w:val="24"/>
        </w:rPr>
        <w:t>, and random change in slope</w:t>
      </w:r>
      <w:r w:rsidR="00AC3186">
        <w:rPr>
          <w:rFonts w:ascii="Arial" w:hAnsi="Arial" w:cs="Arial"/>
          <w:sz w:val="24"/>
          <w:szCs w:val="24"/>
        </w:rPr>
        <w:t>s</w:t>
      </w:r>
      <w:r w:rsidRPr="0060222E">
        <w:rPr>
          <w:rFonts w:ascii="Arial" w:hAnsi="Arial" w:cs="Arial"/>
          <w:sz w:val="24"/>
          <w:szCs w:val="24"/>
        </w:rPr>
        <w:t xml:space="preserve"> after exposure</w:t>
      </w:r>
      <w:r w:rsidR="00AC3186">
        <w:rPr>
          <w:rFonts w:ascii="Arial" w:hAnsi="Arial" w:cs="Arial"/>
          <w:sz w:val="24"/>
          <w:szCs w:val="24"/>
        </w:rPr>
        <w:t xml:space="preserve"> to anesthesia</w:t>
      </w:r>
      <w:r w:rsidRPr="0060222E">
        <w:rPr>
          <w:rFonts w:ascii="Arial" w:hAnsi="Arial" w:cs="Arial"/>
          <w:sz w:val="24"/>
          <w:szCs w:val="24"/>
        </w:rPr>
        <w:t xml:space="preserve"> were included with an unstructured covariance</w:t>
      </w:r>
      <w:r w:rsidR="00AC3186">
        <w:rPr>
          <w:rFonts w:ascii="Arial" w:hAnsi="Arial" w:cs="Arial"/>
          <w:sz w:val="24"/>
          <w:szCs w:val="24"/>
        </w:rPr>
        <w:t xml:space="preserve"> matrix</w:t>
      </w:r>
      <w:r w:rsidRPr="0060222E">
        <w:rPr>
          <w:rFonts w:ascii="Arial" w:hAnsi="Arial" w:cs="Arial"/>
          <w:sz w:val="24"/>
          <w:szCs w:val="24"/>
        </w:rPr>
        <w:t xml:space="preserve">. </w:t>
      </w:r>
    </w:p>
    <w:p w:rsidR="00AE1DA8" w:rsidRPr="0060222E" w:rsidRDefault="00AE1DA8" w:rsidP="000B6B4B">
      <w:pPr>
        <w:spacing w:after="0" w:line="480" w:lineRule="auto"/>
        <w:ind w:right="720" w:firstLine="720"/>
        <w:rPr>
          <w:rFonts w:ascii="Arial" w:hAnsi="Arial" w:cs="Arial"/>
          <w:sz w:val="24"/>
          <w:szCs w:val="24"/>
        </w:rPr>
      </w:pPr>
      <w:r w:rsidRPr="0060222E">
        <w:rPr>
          <w:rFonts w:ascii="Arial" w:hAnsi="Arial" w:cs="Arial"/>
          <w:sz w:val="24"/>
          <w:szCs w:val="24"/>
        </w:rPr>
        <w:t xml:space="preserve">Let </w:t>
      </w:r>
      <m:oMath>
        <m:r>
          <w:rPr>
            <w:rFonts w:ascii="Cambria Math" w:hAnsi="Cambria Math" w:cs="Arial"/>
            <w:sz w:val="24"/>
            <w:szCs w:val="24"/>
          </w:rPr>
          <m:t>i=1,…, N</m:t>
        </m:r>
      </m:oMath>
      <w:r w:rsidRPr="0060222E">
        <w:rPr>
          <w:rFonts w:ascii="Arial" w:hAnsi="Arial" w:cs="Arial"/>
          <w:sz w:val="24"/>
          <w:szCs w:val="24"/>
        </w:rPr>
        <w:t xml:space="preserve"> denote independent subjects, </w:t>
      </w:r>
      <w:r w:rsidRPr="0060222E">
        <w:rPr>
          <w:rFonts w:ascii="Arial" w:eastAsiaTheme="minorEastAsia" w:hAnsi="Arial" w:cs="Arial"/>
          <w:sz w:val="24"/>
          <w:szCs w:val="24"/>
        </w:rPr>
        <w:t xml:space="preserve">and </w:t>
      </w:r>
      <m:oMath>
        <m:r>
          <w:rPr>
            <w:rFonts w:ascii="Cambria Math" w:hAnsi="Cambria Math" w:cs="Arial"/>
            <w:sz w:val="24"/>
            <w:szCs w:val="24"/>
          </w:rPr>
          <m:t xml:space="preserve">j=1,…,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Pr="0060222E">
        <w:rPr>
          <w:rFonts w:ascii="Arial" w:hAnsi="Arial" w:cs="Arial"/>
          <w:sz w:val="24"/>
          <w:szCs w:val="24"/>
        </w:rPr>
        <w:t xml:space="preserve"> index the </w:t>
      </w:r>
      <m:oMath>
        <m:r>
          <w:rPr>
            <w:rFonts w:ascii="Cambria Math" w:hAnsi="Cambria Math" w:cs="Arial"/>
            <w:sz w:val="24"/>
            <w:szCs w:val="24"/>
          </w:rPr>
          <m:t>j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60222E">
        <w:rPr>
          <w:rFonts w:ascii="Arial" w:hAnsi="Arial" w:cs="Arial"/>
          <w:sz w:val="24"/>
          <w:szCs w:val="24"/>
        </w:rPr>
        <w:t xml:space="preserve">observation for subject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60222E">
        <w:rPr>
          <w:rFonts w:ascii="Arial" w:hAnsi="Arial" w:cs="Arial"/>
          <w:sz w:val="24"/>
          <w:szCs w:val="24"/>
        </w:rPr>
        <w:t xml:space="preserve">. Define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ij</m:t>
            </m:r>
          </m:sub>
        </m:sSub>
      </m:oMath>
      <w:r w:rsidRPr="0060222E">
        <w:rPr>
          <w:rFonts w:ascii="Arial" w:eastAsiaTheme="minorEastAsia" w:hAnsi="Arial" w:cs="Arial"/>
          <w:sz w:val="24"/>
          <w:szCs w:val="24"/>
        </w:rPr>
        <w:t xml:space="preserve"> as </w:t>
      </w:r>
      <w:r w:rsidRPr="0060222E">
        <w:rPr>
          <w:rFonts w:ascii="Arial" w:hAnsi="Arial" w:cs="Arial"/>
          <w:sz w:val="24"/>
          <w:szCs w:val="24"/>
        </w:rPr>
        <w:t xml:space="preserve">the </w:t>
      </w:r>
      <m:oMath>
        <m:r>
          <w:rPr>
            <w:rFonts w:ascii="Cambria Math" w:hAnsi="Cambria Math" w:cs="Arial"/>
            <w:sz w:val="24"/>
            <w:szCs w:val="24"/>
          </w:rPr>
          <m:t>j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>th</w:t>
      </w:r>
      <w:r w:rsidRPr="0060222E">
        <w:rPr>
          <w:rFonts w:ascii="Arial" w:hAnsi="Arial" w:cs="Arial"/>
          <w:sz w:val="24"/>
          <w:szCs w:val="24"/>
        </w:rPr>
        <w:t xml:space="preserve"> cognitive z-score for the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60222E">
        <w:rPr>
          <w:rFonts w:ascii="Arial" w:hAnsi="Arial" w:cs="Arial"/>
          <w:sz w:val="24"/>
          <w:szCs w:val="24"/>
        </w:rPr>
        <w:t xml:space="preserve">subject measured at a study visit occurring at time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Time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ij</m:t>
            </m:r>
          </m:sub>
        </m:sSub>
      </m:oMath>
      <w:r w:rsidRPr="0060222E">
        <w:rPr>
          <w:rFonts w:ascii="Arial" w:hAnsi="Arial" w:cs="Arial"/>
          <w:sz w:val="24"/>
          <w:szCs w:val="24"/>
        </w:rPr>
        <w:t xml:space="preserve">, the time in years from enrollment for the </w:t>
      </w:r>
      <m:oMath>
        <m:r>
          <w:rPr>
            <w:rFonts w:ascii="Cambria Math" w:hAnsi="Cambria Math" w:cs="Arial"/>
            <w:sz w:val="24"/>
            <w:szCs w:val="24"/>
          </w:rPr>
          <m:t>j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60222E">
        <w:rPr>
          <w:rFonts w:ascii="Arial" w:hAnsi="Arial" w:cs="Arial"/>
          <w:sz w:val="24"/>
          <w:szCs w:val="24"/>
        </w:rPr>
        <w:t xml:space="preserve">observation of the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60222E">
        <w:rPr>
          <w:rFonts w:ascii="Arial" w:hAnsi="Arial" w:cs="Arial"/>
          <w:sz w:val="24"/>
          <w:szCs w:val="24"/>
        </w:rPr>
        <w:t xml:space="preserve">subject. </w:t>
      </w:r>
    </w:p>
    <w:p w:rsidR="00AE1DA8" w:rsidRPr="0060222E" w:rsidRDefault="00AE1DA8" w:rsidP="000B6B4B">
      <w:pPr>
        <w:spacing w:after="0" w:line="480" w:lineRule="auto"/>
        <w:ind w:right="720" w:firstLine="720"/>
        <w:rPr>
          <w:rFonts w:ascii="Arial" w:eastAsiaTheme="minorEastAsia" w:hAnsi="Arial" w:cs="Arial"/>
          <w:sz w:val="24"/>
          <w:szCs w:val="24"/>
        </w:rPr>
      </w:pPr>
      <w:r w:rsidRPr="0060222E">
        <w:rPr>
          <w:rFonts w:ascii="Arial" w:hAnsi="Arial" w:cs="Arial"/>
          <w:sz w:val="24"/>
          <w:szCs w:val="24"/>
        </w:rPr>
        <w:t xml:space="preserve">We define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TimeAfter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ij</m:t>
            </m:r>
          </m:sub>
        </m:sSub>
      </m:oMath>
      <w:r w:rsidRPr="0060222E">
        <w:rPr>
          <w:rFonts w:ascii="Arial" w:hAnsi="Arial" w:cs="Arial"/>
          <w:sz w:val="24"/>
          <w:szCs w:val="24"/>
        </w:rPr>
        <w:t xml:space="preserve"> as a time-dependent variable for the time in years after a post-enrollment exposure to </w:t>
      </w:r>
      <w:r w:rsidR="00CA2A2B">
        <w:rPr>
          <w:rFonts w:ascii="Arial" w:hAnsi="Arial" w:cs="Arial"/>
          <w:sz w:val="24"/>
          <w:szCs w:val="24"/>
        </w:rPr>
        <w:t xml:space="preserve">surgery with general </w:t>
      </w:r>
      <w:r w:rsidRPr="0060222E">
        <w:rPr>
          <w:rFonts w:ascii="Arial" w:hAnsi="Arial" w:cs="Arial"/>
          <w:sz w:val="24"/>
          <w:szCs w:val="24"/>
        </w:rPr>
        <w:t xml:space="preserve">anesthesia.  That is,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TimeAfter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ij</m:t>
            </m:r>
          </m:sub>
        </m:sSub>
      </m:oMath>
      <w:r w:rsidRPr="0060222E">
        <w:rPr>
          <w:rFonts w:ascii="Arial" w:hAnsi="Arial" w:cs="Arial"/>
          <w:sz w:val="24"/>
          <w:szCs w:val="24"/>
        </w:rPr>
        <w:t xml:space="preserve"> is always zero for a subject who does not have any exposure to</w:t>
      </w:r>
      <w:r w:rsidR="00CA2A2B">
        <w:rPr>
          <w:rFonts w:ascii="Arial" w:hAnsi="Arial" w:cs="Arial"/>
          <w:sz w:val="24"/>
          <w:szCs w:val="24"/>
        </w:rPr>
        <w:t xml:space="preserve"> surgery with general</w:t>
      </w:r>
      <w:r w:rsidRPr="0060222E">
        <w:rPr>
          <w:rFonts w:ascii="Arial" w:hAnsi="Arial" w:cs="Arial"/>
          <w:sz w:val="24"/>
          <w:szCs w:val="24"/>
        </w:rPr>
        <w:t xml:space="preserve"> anesthesia in the study period.  For the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60222E">
        <w:rPr>
          <w:rFonts w:ascii="Arial" w:eastAsiaTheme="minorEastAsia" w:hAnsi="Arial" w:cs="Arial"/>
          <w:sz w:val="24"/>
          <w:szCs w:val="24"/>
          <w:vertAlign w:val="superscript"/>
        </w:rPr>
        <w:t>th</w:t>
      </w:r>
      <w:r w:rsidRPr="0060222E">
        <w:rPr>
          <w:rFonts w:ascii="Arial" w:eastAsiaTheme="minorEastAsia" w:hAnsi="Arial" w:cs="Arial"/>
          <w:sz w:val="24"/>
          <w:szCs w:val="24"/>
        </w:rPr>
        <w:t xml:space="preserve"> subject with exposure to surgery with general anesthesia at time</w:t>
      </w:r>
      <w:r w:rsidR="00CA2A2B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k</m:t>
        </m:r>
      </m:oMath>
      <w:r w:rsidR="00493CC0" w:rsidRPr="0060222E">
        <w:rPr>
          <w:rFonts w:ascii="Arial" w:hAnsi="Arial" w:cs="Arial"/>
          <w:sz w:val="24"/>
          <w:szCs w:val="24"/>
        </w:rPr>
        <w:t xml:space="preserve"> </w:t>
      </w:r>
      <w:r w:rsidR="00CA2A2B">
        <w:rPr>
          <w:rFonts w:ascii="Arial" w:eastAsiaTheme="minorEastAsia" w:hAnsi="Arial" w:cs="Arial"/>
          <w:sz w:val="24"/>
          <w:szCs w:val="24"/>
        </w:rPr>
        <w:t>(in years since enrollment)</w:t>
      </w:r>
      <w:proofErr w:type="gramStart"/>
      <w:r w:rsidR="00493CC0">
        <w:rPr>
          <w:rFonts w:ascii="Arial" w:eastAsiaTheme="minorEastAsia" w:hAnsi="Arial" w:cs="Arial"/>
          <w:sz w:val="24"/>
          <w:szCs w:val="24"/>
        </w:rPr>
        <w:t>,</w:t>
      </w:r>
      <w:r w:rsidRPr="0060222E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TimeAfter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ij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max</m:t>
            </m:r>
          </m:fName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(Tim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-k, 0)</m:t>
            </m:r>
          </m:e>
        </m:func>
      </m:oMath>
      <w:r w:rsidRPr="0060222E">
        <w:rPr>
          <w:rFonts w:ascii="Arial" w:eastAsiaTheme="minorEastAsia" w:hAnsi="Arial" w:cs="Arial"/>
          <w:sz w:val="24"/>
          <w:szCs w:val="24"/>
        </w:rPr>
        <w:t>.</w:t>
      </w:r>
    </w:p>
    <w:p w:rsidR="009F023A" w:rsidRPr="0060222E" w:rsidRDefault="00AE1DA8" w:rsidP="000B6B4B">
      <w:pPr>
        <w:spacing w:after="0" w:line="480" w:lineRule="auto"/>
        <w:ind w:right="720" w:firstLine="720"/>
        <w:rPr>
          <w:rFonts w:ascii="Arial" w:eastAsiaTheme="minorEastAsia" w:hAnsi="Arial" w:cs="Arial"/>
          <w:sz w:val="24"/>
          <w:szCs w:val="24"/>
        </w:rPr>
      </w:pPr>
      <w:r w:rsidRPr="0060222E">
        <w:rPr>
          <w:rFonts w:ascii="Arial" w:hAnsi="Arial" w:cs="Arial"/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hAnsi="Cambria Math" w:cs="Arial"/>
                <w:b/>
                <w:i/>
                <w:sz w:val="24"/>
                <w:szCs w:val="24"/>
                <w:vertAlign w:val="super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vertAlign w:val="superscript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</m:t>
            </m:r>
          </m:sub>
        </m:sSub>
      </m:oMath>
      <w:r w:rsidRPr="0060222E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60222E">
        <w:rPr>
          <w:rFonts w:ascii="Arial" w:hAnsi="Arial" w:cs="Arial"/>
          <w:sz w:val="24"/>
          <w:szCs w:val="24"/>
        </w:rPr>
        <w:t xml:space="preserve">be the vector </w:t>
      </w:r>
      <w:r w:rsidR="00CA2A2B">
        <w:rPr>
          <w:rFonts w:ascii="Arial" w:hAnsi="Arial" w:cs="Arial"/>
          <w:sz w:val="24"/>
          <w:szCs w:val="24"/>
        </w:rPr>
        <w:t xml:space="preserve">of adjustment covariates </w:t>
      </w:r>
      <w:r w:rsidRPr="0060222E">
        <w:rPr>
          <w:rFonts w:ascii="Arial" w:hAnsi="Arial" w:cs="Arial"/>
          <w:sz w:val="24"/>
          <w:szCs w:val="24"/>
        </w:rPr>
        <w:t xml:space="preserve">for the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60222E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60222E">
        <w:rPr>
          <w:rFonts w:ascii="Arial" w:hAnsi="Arial" w:cs="Arial"/>
          <w:sz w:val="24"/>
          <w:szCs w:val="24"/>
        </w:rPr>
        <w:t>subject at baseline.</w:t>
      </w:r>
      <w:r w:rsidRPr="0060222E">
        <w:rPr>
          <w:rFonts w:ascii="Arial" w:eastAsiaTheme="minorEastAsia" w:hAnsi="Arial" w:cs="Arial"/>
          <w:sz w:val="24"/>
          <w:szCs w:val="24"/>
        </w:rPr>
        <w:t xml:space="preserve"> </w:t>
      </w:r>
      <w:r w:rsidR="009F023A" w:rsidRPr="0060222E">
        <w:rPr>
          <w:rFonts w:ascii="Arial" w:hAnsi="Arial" w:cs="Arial"/>
          <w:sz w:val="24"/>
          <w:szCs w:val="24"/>
        </w:rPr>
        <w:t>Then, the linear mixed effects model for the cognitive z-scores</w:t>
      </w:r>
      <w:r w:rsidRPr="0060222E">
        <w:rPr>
          <w:rFonts w:ascii="Arial" w:hAnsi="Arial" w:cs="Arial"/>
          <w:sz w:val="24"/>
          <w:szCs w:val="24"/>
        </w:rPr>
        <w:t xml:space="preserve"> assuming </w:t>
      </w:r>
      <w:r w:rsidR="00E40883" w:rsidRPr="0060222E">
        <w:rPr>
          <w:rFonts w:ascii="Arial" w:hAnsi="Arial" w:cs="Arial"/>
          <w:sz w:val="24"/>
          <w:szCs w:val="24"/>
        </w:rPr>
        <w:t xml:space="preserve">missing </w:t>
      </w:r>
      <w:r w:rsidRPr="0060222E">
        <w:rPr>
          <w:rFonts w:ascii="Arial" w:hAnsi="Arial" w:cs="Arial"/>
          <w:sz w:val="24"/>
          <w:szCs w:val="24"/>
        </w:rPr>
        <w:t xml:space="preserve">at </w:t>
      </w:r>
      <w:r w:rsidR="00E40883" w:rsidRPr="0060222E">
        <w:rPr>
          <w:rFonts w:ascii="Arial" w:hAnsi="Arial" w:cs="Arial"/>
          <w:sz w:val="24"/>
          <w:szCs w:val="24"/>
        </w:rPr>
        <w:t>random</w:t>
      </w:r>
      <w:r w:rsidRPr="0060222E">
        <w:rPr>
          <w:rFonts w:ascii="Arial" w:hAnsi="Arial" w:cs="Arial"/>
          <w:sz w:val="24"/>
          <w:szCs w:val="24"/>
        </w:rPr>
        <w:t xml:space="preserve"> (MAR)</w:t>
      </w:r>
      <w:r w:rsidR="009F023A" w:rsidRPr="0060222E">
        <w:rPr>
          <w:rFonts w:ascii="Arial" w:hAnsi="Arial" w:cs="Arial"/>
          <w:sz w:val="24"/>
          <w:szCs w:val="24"/>
        </w:rPr>
        <w:t xml:space="preserve">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8787"/>
        <w:gridCol w:w="412"/>
      </w:tblGrid>
      <w:tr w:rsidR="00FC1B8E" w:rsidTr="00485AF8">
        <w:tc>
          <w:tcPr>
            <w:tcW w:w="378" w:type="dxa"/>
            <w:vAlign w:val="center"/>
          </w:tcPr>
          <w:p w:rsidR="00FC1B8E" w:rsidRDefault="00FC1B8E" w:rsidP="00FC1B8E">
            <w:pPr>
              <w:tabs>
                <w:tab w:val="left" w:pos="12150"/>
                <w:tab w:val="left" w:pos="12960"/>
              </w:tabs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820" w:type="dxa"/>
            <w:vAlign w:val="center"/>
          </w:tcPr>
          <w:p w:rsidR="00FC1B8E" w:rsidRPr="0060222E" w:rsidRDefault="005308D5" w:rsidP="00485AF8">
            <w:pPr>
              <w:tabs>
                <w:tab w:val="left" w:pos="12150"/>
                <w:tab w:val="left" w:pos="12960"/>
              </w:tabs>
              <w:spacing w:line="480" w:lineRule="auto"/>
              <w:jc w:val="center"/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(β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0i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 xml:space="preserve">)+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(β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Time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2i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TimeAfter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</m:oMath>
            </m:oMathPara>
          </w:p>
          <w:p w:rsidR="00FC1B8E" w:rsidRPr="00485AF8" w:rsidRDefault="005308D5" w:rsidP="00485AF8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β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Time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vertAlign w:val="superscript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vertAlign w:val="superscript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378" w:type="dxa"/>
            <w:vAlign w:val="center"/>
          </w:tcPr>
          <w:p w:rsidR="00FC1B8E" w:rsidRDefault="00FC1B8E" w:rsidP="00485AF8">
            <w:pPr>
              <w:tabs>
                <w:tab w:val="left" w:pos="12150"/>
                <w:tab w:val="left" w:pos="12960"/>
              </w:tabs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(1)</w:t>
            </w:r>
          </w:p>
        </w:tc>
      </w:tr>
    </w:tbl>
    <w:p w:rsidR="00DA40F8" w:rsidRPr="0060222E" w:rsidRDefault="009F023A" w:rsidP="00C34E68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60222E">
        <w:rPr>
          <w:rFonts w:ascii="Arial" w:eastAsiaTheme="minorEastAsia" w:hAnsi="Arial" w:cs="Arial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ε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>~N(0,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σ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>I)</m:t>
        </m:r>
      </m:oMath>
      <w:r w:rsidRPr="0060222E">
        <w:rPr>
          <w:rFonts w:ascii="Arial" w:eastAsiaTheme="minorEastAsia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perscript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vertAlign w:val="superscript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=(b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0i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 xml:space="preserve">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1i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 xml:space="preserve">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b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  <w:vertAlign w:val="superscript"/>
              </w:rPr>
              <m:t>2i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>)~N(0,D)</m:t>
        </m:r>
      </m:oMath>
      <w:r w:rsidR="000B6B4B" w:rsidRPr="0060222E">
        <w:rPr>
          <w:rFonts w:ascii="Arial" w:eastAsiaTheme="minorEastAsia" w:hAnsi="Arial" w:cs="Arial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>I</m:t>
        </m:r>
      </m:oMath>
      <w:r w:rsidR="000B6B4B" w:rsidRPr="0060222E">
        <w:rPr>
          <w:rFonts w:ascii="Arial" w:eastAsiaTheme="minorEastAsia" w:hAnsi="Arial" w:cs="Arial"/>
          <w:sz w:val="24"/>
          <w:szCs w:val="24"/>
        </w:rPr>
        <w:t xml:space="preserve"> is an identity matrix of dimension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</m:oMath>
      <w:r w:rsidR="000B6B4B" w:rsidRPr="0060222E">
        <w:rPr>
          <w:rFonts w:ascii="Arial" w:eastAsiaTheme="minorEastAsia" w:hAnsi="Arial" w:cs="Arial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4"/>
            <w:vertAlign w:val="superscript"/>
          </w:rPr>
          <m:t>D</m:t>
        </m:r>
      </m:oMath>
      <w:r w:rsidRPr="0060222E">
        <w:rPr>
          <w:rFonts w:ascii="Arial" w:eastAsiaTheme="minorEastAsia" w:hAnsi="Arial" w:cs="Arial"/>
          <w:sz w:val="24"/>
          <w:szCs w:val="24"/>
        </w:rPr>
        <w:t xml:space="preserve"> </w:t>
      </w:r>
      <w:r w:rsidR="000B6B4B" w:rsidRPr="0060222E">
        <w:rPr>
          <w:rFonts w:ascii="Arial" w:eastAsiaTheme="minorEastAsia" w:hAnsi="Arial" w:cs="Arial"/>
          <w:sz w:val="24"/>
          <w:szCs w:val="24"/>
        </w:rPr>
        <w:t>is an unstructured covariance matrix.</w:t>
      </w:r>
      <w:r w:rsidR="00DA40F8" w:rsidRPr="0060222E">
        <w:rPr>
          <w:rFonts w:ascii="Arial" w:eastAsiaTheme="minorEastAsia" w:hAnsi="Arial" w:cs="Arial"/>
          <w:sz w:val="24"/>
          <w:szCs w:val="24"/>
        </w:rPr>
        <w:t xml:space="preserve">  Alternative considerations for the </w:t>
      </w:r>
      <w:r w:rsidR="00DA40F8" w:rsidRPr="0060222E">
        <w:rPr>
          <w:rFonts w:ascii="Arial" w:eastAsiaTheme="minorEastAsia" w:hAnsi="Arial" w:cs="Arial"/>
          <w:sz w:val="24"/>
          <w:szCs w:val="24"/>
        </w:rPr>
        <w:lastRenderedPageBreak/>
        <w:t xml:space="preserve">random effects were considered, including exclusion of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vertAlign w:val="superscript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b</m:t>
            </m:r>
          </m:e>
          <m:sub>
            <m:r>
              <w:rPr>
                <w:rFonts w:ascii="Cambria Math" w:hAnsi="Cambria Math" w:cs="Arial"/>
                <w:sz w:val="24"/>
                <w:szCs w:val="24"/>
                <w:vertAlign w:val="superscript"/>
              </w:rPr>
              <m:t>2i</m:t>
            </m:r>
          </m:sub>
        </m:sSub>
      </m:oMath>
      <w:r w:rsidR="00DA40F8" w:rsidRPr="0060222E">
        <w:rPr>
          <w:rFonts w:ascii="Arial" w:eastAsiaTheme="minorEastAsia" w:hAnsi="Arial" w:cs="Arial"/>
          <w:sz w:val="24"/>
          <w:szCs w:val="24"/>
        </w:rPr>
        <w:t>.  Akaike Information Criterion (AIC) was used to choose the model fitting the data best.</w:t>
      </w:r>
    </w:p>
    <w:p w:rsidR="009F023A" w:rsidRPr="00C34E68" w:rsidRDefault="009F023A" w:rsidP="00C34E68">
      <w:pPr>
        <w:spacing w:after="0" w:line="480" w:lineRule="auto"/>
        <w:ind w:firstLine="720"/>
        <w:rPr>
          <w:rFonts w:ascii="Arial" w:eastAsiaTheme="minorEastAsia" w:hAnsi="Arial" w:cs="Arial"/>
          <w:sz w:val="24"/>
          <w:szCs w:val="24"/>
        </w:rPr>
      </w:pPr>
      <w:r w:rsidRPr="00C34E68">
        <w:rPr>
          <w:rFonts w:ascii="Arial" w:eastAsiaTheme="minorEastAsia" w:hAnsi="Arial" w:cs="Arial"/>
          <w:sz w:val="24"/>
          <w:szCs w:val="24"/>
        </w:rPr>
        <w:t xml:space="preserve">Further, let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</m:oMath>
      <w:r w:rsidRPr="00C34E68">
        <w:rPr>
          <w:rFonts w:ascii="Arial" w:eastAsiaTheme="minorEastAsia" w:hAnsi="Arial" w:cs="Arial"/>
          <w:sz w:val="24"/>
          <w:szCs w:val="24"/>
        </w:rPr>
        <w:t xml:space="preserve"> denote the time to dementia diagnosis</w:t>
      </w:r>
      <w:r w:rsidR="000B6B4B" w:rsidRPr="00C34E68">
        <w:rPr>
          <w:rFonts w:ascii="Arial" w:eastAsiaTheme="minorEastAsia" w:hAnsi="Arial" w:cs="Arial"/>
          <w:sz w:val="24"/>
          <w:szCs w:val="24"/>
        </w:rPr>
        <w:t>,</w:t>
      </w:r>
      <w:r w:rsidRPr="00C34E68">
        <w:rPr>
          <w:rFonts w:ascii="Arial" w:eastAsiaTheme="minorEastAsia" w:hAnsi="Arial" w:cs="Arial"/>
          <w:sz w:val="24"/>
          <w:szCs w:val="24"/>
        </w:rPr>
        <w:t xml:space="preserve"> death</w:t>
      </w:r>
      <w:r w:rsidR="000B6B4B" w:rsidRPr="00C34E68">
        <w:rPr>
          <w:rFonts w:ascii="Arial" w:eastAsiaTheme="minorEastAsia" w:hAnsi="Arial" w:cs="Arial"/>
          <w:sz w:val="24"/>
          <w:szCs w:val="24"/>
        </w:rPr>
        <w:t>, or censoring</w:t>
      </w:r>
      <w:r w:rsidRPr="00C34E68">
        <w:rPr>
          <w:rFonts w:ascii="Arial" w:eastAsiaTheme="minorEastAsia" w:hAnsi="Arial" w:cs="Arial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</m:oMath>
      <w:r w:rsidRPr="00C34E68">
        <w:rPr>
          <w:rFonts w:ascii="Arial" w:eastAsiaTheme="minorEastAsia" w:hAnsi="Arial" w:cs="Arial"/>
          <w:sz w:val="24"/>
          <w:szCs w:val="24"/>
        </w:rPr>
        <w:t xml:space="preserve"> be an indicator of dropout (1 for dementia or death, 0 otherwise). Then, the Cox proportional hazards model for the time to </w:t>
      </w:r>
      <w:r w:rsidR="000B6B4B" w:rsidRPr="00C34E68">
        <w:rPr>
          <w:rFonts w:ascii="Arial" w:eastAsiaTheme="minorEastAsia" w:hAnsi="Arial" w:cs="Arial"/>
          <w:sz w:val="24"/>
          <w:szCs w:val="24"/>
        </w:rPr>
        <w:t xml:space="preserve">(possibly </w:t>
      </w:r>
      <w:r w:rsidRPr="00C34E68">
        <w:rPr>
          <w:rFonts w:ascii="Arial" w:eastAsiaTheme="minorEastAsia" w:hAnsi="Arial" w:cs="Arial"/>
          <w:sz w:val="24"/>
          <w:szCs w:val="24"/>
        </w:rPr>
        <w:t>informative</w:t>
      </w:r>
      <w:r w:rsidR="000B6B4B" w:rsidRPr="00C34E68">
        <w:rPr>
          <w:rFonts w:ascii="Arial" w:eastAsiaTheme="minorEastAsia" w:hAnsi="Arial" w:cs="Arial"/>
          <w:sz w:val="24"/>
          <w:szCs w:val="24"/>
        </w:rPr>
        <w:t>)</w:t>
      </w:r>
      <w:r w:rsidRPr="00C34E68">
        <w:rPr>
          <w:rFonts w:ascii="Arial" w:eastAsiaTheme="minorEastAsia" w:hAnsi="Arial" w:cs="Arial"/>
          <w:sz w:val="24"/>
          <w:szCs w:val="24"/>
        </w:rPr>
        <w:t xml:space="preserve"> dropout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8787"/>
        <w:gridCol w:w="412"/>
      </w:tblGrid>
      <w:tr w:rsidR="00FC1B8E" w:rsidRPr="00C34E68" w:rsidTr="00485AF8">
        <w:tc>
          <w:tcPr>
            <w:tcW w:w="378" w:type="dxa"/>
            <w:vAlign w:val="center"/>
          </w:tcPr>
          <w:p w:rsidR="00FC1B8E" w:rsidRPr="00C34E68" w:rsidRDefault="00FC1B8E" w:rsidP="00C34E68">
            <w:pPr>
              <w:tabs>
                <w:tab w:val="left" w:pos="12150"/>
                <w:tab w:val="left" w:pos="12960"/>
              </w:tabs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8820" w:type="dxa"/>
            <w:vAlign w:val="center"/>
          </w:tcPr>
          <w:p w:rsidR="00FC1B8E" w:rsidRPr="00C34E68" w:rsidRDefault="005308D5" w:rsidP="00C34E68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exp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0i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1i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2i</m:t>
                        </m:r>
                      </m:sub>
                    </m:s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γ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vertAlign w:val="superscript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378" w:type="dxa"/>
            <w:vAlign w:val="center"/>
          </w:tcPr>
          <w:p w:rsidR="00FC1B8E" w:rsidRPr="00C34E68" w:rsidRDefault="00FC1B8E" w:rsidP="00C34E68">
            <w:pPr>
              <w:tabs>
                <w:tab w:val="left" w:pos="12150"/>
                <w:tab w:val="left" w:pos="12960"/>
              </w:tabs>
              <w:spacing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C34E68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(2)</w:t>
            </w:r>
          </w:p>
        </w:tc>
      </w:tr>
    </w:tbl>
    <w:p w:rsidR="00315617" w:rsidRPr="00C34E68" w:rsidRDefault="009F023A" w:rsidP="00C34E68">
      <w:pPr>
        <w:spacing w:line="480" w:lineRule="auto"/>
        <w:rPr>
          <w:rFonts w:ascii="Arial" w:hAnsi="Arial" w:cs="Arial"/>
          <w:sz w:val="24"/>
          <w:szCs w:val="24"/>
        </w:rPr>
      </w:pPr>
      <w:r w:rsidRPr="00C34E68">
        <w:rPr>
          <w:rFonts w:ascii="Arial" w:hAnsi="Arial" w:cs="Arial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</m:oMath>
      <w:r w:rsidRPr="00C34E68">
        <w:rPr>
          <w:rFonts w:ascii="Arial" w:hAnsi="Arial" w:cs="Arial"/>
          <w:sz w:val="24"/>
          <w:szCs w:val="24"/>
        </w:rPr>
        <w:t xml:space="preserve"> is the hazard at time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C34E68">
        <w:rPr>
          <w:rFonts w:ascii="Arial" w:hAnsi="Arial" w:cs="Arial"/>
          <w:sz w:val="24"/>
          <w:szCs w:val="24"/>
        </w:rPr>
        <w:t xml:space="preserve"> for subject </w:t>
      </w:r>
      <m:oMath>
        <m:r>
          <w:rPr>
            <w:rFonts w:ascii="Cambria Math" w:hAnsi="Cambria Math" w:cs="Arial"/>
            <w:sz w:val="24"/>
            <w:szCs w:val="24"/>
          </w:rPr>
          <m:t>i</m:t>
        </m:r>
      </m:oMath>
      <w:r w:rsidRPr="00C34E68">
        <w:rPr>
          <w:rFonts w:ascii="Arial" w:hAnsi="Arial" w:cs="Arial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</m:oMath>
      <w:r w:rsidRPr="00C34E68">
        <w:rPr>
          <w:rFonts w:ascii="Arial" w:hAnsi="Arial" w:cs="Arial"/>
          <w:sz w:val="24"/>
          <w:szCs w:val="24"/>
        </w:rPr>
        <w:t xml:space="preserve"> is the baseline hazard (i.e. the hazard when all predictors are equal to zero). The </w:t>
      </w:r>
      <w:r w:rsidR="000B6B4B" w:rsidRPr="00C34E68">
        <w:rPr>
          <w:rFonts w:ascii="Arial" w:hAnsi="Arial" w:cs="Arial"/>
          <w:sz w:val="24"/>
          <w:szCs w:val="24"/>
        </w:rPr>
        <w:t>linear mixed effects</w:t>
      </w:r>
      <w:r w:rsidRPr="00C34E68">
        <w:rPr>
          <w:rFonts w:ascii="Arial" w:hAnsi="Arial" w:cs="Arial"/>
          <w:sz w:val="24"/>
          <w:szCs w:val="24"/>
        </w:rPr>
        <w:t xml:space="preserve"> model for cognitive z-scores and the Cox proportional hazards model for time to informative dropout are fit jointly using the </w:t>
      </w:r>
      <w:proofErr w:type="spellStart"/>
      <w:r w:rsidRPr="00C34E68">
        <w:rPr>
          <w:rFonts w:ascii="Arial" w:hAnsi="Arial" w:cs="Arial"/>
          <w:i/>
          <w:sz w:val="24"/>
          <w:szCs w:val="24"/>
        </w:rPr>
        <w:t>JMbayes</w:t>
      </w:r>
      <w:proofErr w:type="spellEnd"/>
      <w:r w:rsidRPr="00C34E68">
        <w:rPr>
          <w:rFonts w:ascii="Arial" w:hAnsi="Arial" w:cs="Arial"/>
          <w:i/>
          <w:sz w:val="24"/>
          <w:szCs w:val="24"/>
        </w:rPr>
        <w:t xml:space="preserve"> R</w:t>
      </w:r>
      <w:r w:rsidRPr="00C34E68">
        <w:rPr>
          <w:rFonts w:ascii="Arial" w:hAnsi="Arial" w:cs="Arial"/>
          <w:sz w:val="24"/>
          <w:szCs w:val="24"/>
        </w:rPr>
        <w:t xml:space="preserve"> package</w:t>
      </w:r>
      <w:r w:rsidR="000B6B4B" w:rsidRPr="00C34E68">
        <w:rPr>
          <w:rFonts w:ascii="Arial" w:hAnsi="Arial" w:cs="Arial"/>
          <w:sz w:val="24"/>
          <w:szCs w:val="24"/>
        </w:rPr>
        <w:t>.</w:t>
      </w:r>
      <w:r w:rsidRPr="00C34E68">
        <w:rPr>
          <w:rFonts w:ascii="Arial" w:hAnsi="Arial" w:cs="Arial"/>
          <w:sz w:val="24"/>
          <w:szCs w:val="24"/>
        </w:rPr>
        <w:t xml:space="preserve"> We use the “shared-RE” option for association structure between the two models</w:t>
      </w:r>
      <w:r w:rsidR="000B6B4B" w:rsidRPr="00C34E68">
        <w:rPr>
          <w:rFonts w:ascii="Arial" w:hAnsi="Arial" w:cs="Arial"/>
          <w:sz w:val="24"/>
          <w:szCs w:val="24"/>
        </w:rPr>
        <w:t xml:space="preserve"> as described in </w:t>
      </w:r>
      <w:r w:rsidR="00FC1B8E" w:rsidRPr="00C34E68">
        <w:rPr>
          <w:rFonts w:ascii="Arial" w:hAnsi="Arial" w:cs="Arial"/>
          <w:sz w:val="24"/>
          <w:szCs w:val="24"/>
        </w:rPr>
        <w:t xml:space="preserve">the </w:t>
      </w:r>
      <w:r w:rsidR="000B6B4B" w:rsidRPr="00C34E68">
        <w:rPr>
          <w:rFonts w:ascii="Arial" w:hAnsi="Arial" w:cs="Arial"/>
          <w:sz w:val="24"/>
          <w:szCs w:val="24"/>
        </w:rPr>
        <w:t>formulation of the hazard function</w:t>
      </w:r>
      <w:r w:rsidR="00FC1B8E" w:rsidRPr="00C34E68">
        <w:rPr>
          <w:rFonts w:ascii="Arial" w:hAnsi="Arial" w:cs="Arial"/>
          <w:sz w:val="24"/>
          <w:szCs w:val="24"/>
        </w:rPr>
        <w:t xml:space="preserve"> (2) above</w:t>
      </w:r>
      <w:r w:rsidR="00DA40F8" w:rsidRPr="00C34E68">
        <w:rPr>
          <w:rFonts w:ascii="Arial" w:hAnsi="Arial" w:cs="Arial"/>
          <w:sz w:val="24"/>
          <w:szCs w:val="24"/>
        </w:rPr>
        <w:t>, based on model Deviance Information Criterion (DIC)</w:t>
      </w:r>
      <w:r w:rsidRPr="00C34E68">
        <w:rPr>
          <w:rFonts w:ascii="Arial" w:hAnsi="Arial" w:cs="Arial"/>
          <w:sz w:val="24"/>
          <w:szCs w:val="24"/>
        </w:rPr>
        <w:t xml:space="preserve">. </w:t>
      </w:r>
      <w:r w:rsidR="00BE54A1">
        <w:rPr>
          <w:rFonts w:ascii="Arial" w:hAnsi="Arial" w:cs="Arial"/>
          <w:sz w:val="24"/>
          <w:szCs w:val="24"/>
        </w:rPr>
        <w:t>This shared parameter model is fit with</w:t>
      </w:r>
      <w:r w:rsidR="00BE54A1" w:rsidRPr="00C34E68">
        <w:rPr>
          <w:rFonts w:ascii="Arial" w:hAnsi="Arial" w:cs="Arial"/>
          <w:sz w:val="24"/>
          <w:szCs w:val="24"/>
        </w:rPr>
        <w:t xml:space="preserve"> </w:t>
      </w:r>
      <w:r w:rsidR="00C34E68" w:rsidRPr="00C34E68">
        <w:rPr>
          <w:rFonts w:ascii="Arial" w:hAnsi="Arial" w:cs="Arial"/>
          <w:sz w:val="24"/>
          <w:szCs w:val="24"/>
        </w:rPr>
        <w:t>a Bayesian MCMC approach, with diffuse priors.  Details</w:t>
      </w:r>
      <w:r w:rsidR="00E157BC">
        <w:rPr>
          <w:rFonts w:ascii="Arial" w:hAnsi="Arial" w:cs="Arial"/>
          <w:sz w:val="24"/>
          <w:szCs w:val="24"/>
        </w:rPr>
        <w:t xml:space="preserve"> can be found in </w:t>
      </w:r>
      <w:proofErr w:type="spellStart"/>
      <w:r w:rsidR="00E157BC">
        <w:rPr>
          <w:rFonts w:ascii="Arial" w:hAnsi="Arial" w:cs="Arial"/>
          <w:sz w:val="24"/>
          <w:szCs w:val="24"/>
        </w:rPr>
        <w:t>Rizopoulos</w:t>
      </w:r>
      <w:proofErr w:type="spellEnd"/>
      <w:r w:rsidR="00E157BC">
        <w:rPr>
          <w:rFonts w:ascii="Arial" w:hAnsi="Arial" w:cs="Arial"/>
          <w:sz w:val="24"/>
          <w:szCs w:val="24"/>
        </w:rPr>
        <w:t xml:space="preserve"> (2016)</w:t>
      </w:r>
      <w:r w:rsidR="00E157BC">
        <w:rPr>
          <w:rFonts w:ascii="Arial" w:hAnsi="Arial" w:cs="Arial"/>
          <w:sz w:val="24"/>
          <w:szCs w:val="24"/>
        </w:rPr>
        <w:fldChar w:fldCharType="begin"/>
      </w:r>
      <w:r w:rsidR="00E157BC">
        <w:rPr>
          <w:rFonts w:ascii="Arial" w:hAnsi="Arial" w:cs="Arial"/>
          <w:sz w:val="24"/>
          <w:szCs w:val="24"/>
        </w:rPr>
        <w:instrText xml:space="preserve"> ADDIN EN.CITE &lt;EndNote&gt;&lt;Cite&gt;&lt;Author&gt;Rizopoulos&lt;/Author&gt;&lt;Year&gt;2016&lt;/Year&gt;&lt;RecNum&gt;36&lt;/RecNum&gt;&lt;DisplayText&gt;&lt;style face="superscript"&gt;1&lt;/style&gt;&lt;/DisplayText&gt;&lt;record&gt;&lt;rec-number&gt;36&lt;/rec-number&gt;&lt;foreign-keys&gt;&lt;key app="EN" db-id="z02wt9tvfpxw9uewdz8p5ws4rwdxaetpet9t" timestamp="1583937258"&gt;36&lt;/key&gt;&lt;/foreign-keys&gt;&lt;ref-type name="Journal Article"&gt;17&lt;/ref-type&gt;&lt;contributors&gt;&lt;authors&gt;&lt;author&gt;Rizopoulos, Dimitris&lt;/author&gt;&lt;/authors&gt;&lt;/contributors&gt;&lt;titles&gt;&lt;title&gt;The R Package JMbayes for Fitting Joint Models for Longitudinal and Time-to-Event Data Using MCMC&lt;/title&gt;&lt;secondary-title&gt;Journal of Statistical Software&lt;/secondary-title&gt;&lt;/titles&gt;&lt;periodical&gt;&lt;full-title&gt;Journal of Statistical Software&lt;/full-title&gt;&lt;/periodical&gt;&lt;volume&gt;72&lt;/volume&gt;&lt;number&gt;i07&lt;/number&gt;&lt;dates&gt;&lt;year&gt;2016&lt;/year&gt;&lt;/dates&gt;&lt;urls&gt;&lt;/urls&gt;&lt;/record&gt;&lt;/Cite&gt;&lt;/EndNote&gt;</w:instrText>
      </w:r>
      <w:r w:rsidR="00E157BC">
        <w:rPr>
          <w:rFonts w:ascii="Arial" w:hAnsi="Arial" w:cs="Arial"/>
          <w:sz w:val="24"/>
          <w:szCs w:val="24"/>
        </w:rPr>
        <w:fldChar w:fldCharType="separate"/>
      </w:r>
      <w:r w:rsidR="00E157BC" w:rsidRPr="00E157BC">
        <w:rPr>
          <w:rFonts w:ascii="Arial" w:hAnsi="Arial" w:cs="Arial"/>
          <w:noProof/>
          <w:sz w:val="24"/>
          <w:szCs w:val="24"/>
          <w:vertAlign w:val="superscript"/>
        </w:rPr>
        <w:t>1</w:t>
      </w:r>
      <w:r w:rsidR="00E157BC">
        <w:rPr>
          <w:rFonts w:ascii="Arial" w:hAnsi="Arial" w:cs="Arial"/>
          <w:sz w:val="24"/>
          <w:szCs w:val="24"/>
        </w:rPr>
        <w:fldChar w:fldCharType="end"/>
      </w:r>
      <w:r w:rsidR="00E157BC">
        <w:rPr>
          <w:rFonts w:ascii="Arial" w:hAnsi="Arial" w:cs="Arial"/>
          <w:sz w:val="24"/>
          <w:szCs w:val="24"/>
        </w:rPr>
        <w:t>.</w:t>
      </w:r>
    </w:p>
    <w:p w:rsidR="00E157BC" w:rsidRDefault="00BE54A1" w:rsidP="000B6B4B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 w:rsidR="00FC1B8E" w:rsidRPr="00C34E68">
        <w:rPr>
          <w:rFonts w:ascii="Arial" w:eastAsiaTheme="minorEastAsia" w:hAnsi="Arial" w:cs="Arial"/>
          <w:sz w:val="24"/>
          <w:szCs w:val="24"/>
        </w:rPr>
        <w:t xml:space="preserve">Operationally, this software </w:t>
      </w:r>
      <w:r w:rsidR="00FC1B8E">
        <w:rPr>
          <w:rFonts w:ascii="Arial" w:eastAsiaTheme="minorEastAsia" w:hAnsi="Arial" w:cs="Arial"/>
          <w:sz w:val="24"/>
          <w:szCs w:val="24"/>
        </w:rPr>
        <w:t xml:space="preserve">package accepts inputs from other R functions </w:t>
      </w:r>
      <w:proofErr w:type="spellStart"/>
      <w:r w:rsidR="00FC1B8E">
        <w:rPr>
          <w:rFonts w:ascii="Arial" w:eastAsiaTheme="minorEastAsia" w:hAnsi="Arial" w:cs="Arial"/>
          <w:sz w:val="24"/>
          <w:szCs w:val="24"/>
        </w:rPr>
        <w:t>nlme</w:t>
      </w:r>
      <w:proofErr w:type="spellEnd"/>
      <w:r w:rsidR="00FC1B8E">
        <w:rPr>
          <w:rFonts w:ascii="Arial" w:eastAsiaTheme="minorEastAsia" w:hAnsi="Arial" w:cs="Arial"/>
          <w:sz w:val="24"/>
          <w:szCs w:val="24"/>
        </w:rPr>
        <w:t>::</w:t>
      </w:r>
      <w:proofErr w:type="spellStart"/>
      <w:proofErr w:type="gramStart"/>
      <w:r w:rsidR="00FC1B8E">
        <w:rPr>
          <w:rFonts w:ascii="Arial" w:eastAsiaTheme="minorEastAsia" w:hAnsi="Arial" w:cs="Arial"/>
          <w:sz w:val="24"/>
          <w:szCs w:val="24"/>
        </w:rPr>
        <w:t>lme</w:t>
      </w:r>
      <w:proofErr w:type="spellEnd"/>
      <w:r w:rsidR="00FC1B8E">
        <w:rPr>
          <w:rFonts w:ascii="Arial" w:eastAsiaTheme="minorEastAsia" w:hAnsi="Arial" w:cs="Arial"/>
          <w:sz w:val="24"/>
          <w:szCs w:val="24"/>
        </w:rPr>
        <w:t>(</w:t>
      </w:r>
      <w:proofErr w:type="gramEnd"/>
      <w:r w:rsidR="00FC1B8E">
        <w:rPr>
          <w:rFonts w:ascii="Arial" w:eastAsiaTheme="minorEastAsia" w:hAnsi="Arial" w:cs="Arial"/>
          <w:sz w:val="24"/>
          <w:szCs w:val="24"/>
        </w:rPr>
        <w:t>) and survival::</w:t>
      </w:r>
      <w:proofErr w:type="spellStart"/>
      <w:r w:rsidR="00FC1B8E">
        <w:rPr>
          <w:rFonts w:ascii="Arial" w:eastAsiaTheme="minorEastAsia" w:hAnsi="Arial" w:cs="Arial"/>
          <w:sz w:val="24"/>
          <w:szCs w:val="24"/>
        </w:rPr>
        <w:t>coxph</w:t>
      </w:r>
      <w:proofErr w:type="spellEnd"/>
      <w:r w:rsidR="00FC1B8E">
        <w:rPr>
          <w:rFonts w:ascii="Arial" w:eastAsiaTheme="minorEastAsia" w:hAnsi="Arial" w:cs="Arial"/>
          <w:sz w:val="24"/>
          <w:szCs w:val="24"/>
        </w:rPr>
        <w:t xml:space="preserve">().  </w:t>
      </w:r>
      <w:r w:rsidR="008768B6">
        <w:rPr>
          <w:rFonts w:ascii="Arial" w:eastAsiaTheme="minorEastAsia" w:hAnsi="Arial" w:cs="Arial"/>
          <w:sz w:val="24"/>
          <w:szCs w:val="24"/>
        </w:rPr>
        <w:t xml:space="preserve">The input models would be of the form (1) for </w:t>
      </w:r>
      <w:proofErr w:type="spellStart"/>
      <w:proofErr w:type="gramStart"/>
      <w:r w:rsidR="008768B6">
        <w:rPr>
          <w:rFonts w:ascii="Arial" w:eastAsiaTheme="minorEastAsia" w:hAnsi="Arial" w:cs="Arial"/>
          <w:sz w:val="24"/>
          <w:szCs w:val="24"/>
        </w:rPr>
        <w:t>lme</w:t>
      </w:r>
      <w:proofErr w:type="spellEnd"/>
      <w:r w:rsidR="008768B6">
        <w:rPr>
          <w:rFonts w:ascii="Arial" w:eastAsiaTheme="minorEastAsia" w:hAnsi="Arial" w:cs="Arial"/>
          <w:sz w:val="24"/>
          <w:szCs w:val="24"/>
        </w:rPr>
        <w:t>(</w:t>
      </w:r>
      <w:proofErr w:type="gramEnd"/>
      <w:r w:rsidR="008768B6">
        <w:rPr>
          <w:rFonts w:ascii="Arial" w:eastAsiaTheme="minorEastAsia" w:hAnsi="Arial" w:cs="Arial"/>
          <w:sz w:val="24"/>
          <w:szCs w:val="24"/>
        </w:rPr>
        <w:t xml:space="preserve">) and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exp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γ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</m:sub>
            </m:sSub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vertAlign w:val="superscript"/>
              </w:rPr>
              <m:t>C</m:t>
            </m:r>
          </m:e>
        </m:d>
      </m:oMath>
      <w:r w:rsidR="008768B6">
        <w:rPr>
          <w:rFonts w:ascii="Arial" w:eastAsiaTheme="minorEastAsia" w:hAnsi="Arial" w:cs="Arial"/>
          <w:sz w:val="24"/>
          <w:szCs w:val="24"/>
        </w:rPr>
        <w:t xml:space="preserve"> for </w:t>
      </w:r>
      <w:proofErr w:type="spellStart"/>
      <w:r w:rsidR="008768B6">
        <w:rPr>
          <w:rFonts w:ascii="Arial" w:eastAsiaTheme="minorEastAsia" w:hAnsi="Arial" w:cs="Arial"/>
          <w:sz w:val="24"/>
          <w:szCs w:val="24"/>
        </w:rPr>
        <w:t>coxph</w:t>
      </w:r>
      <w:proofErr w:type="spellEnd"/>
      <w:r w:rsidR="008768B6">
        <w:rPr>
          <w:rFonts w:ascii="Arial" w:eastAsiaTheme="minorEastAsia" w:hAnsi="Arial" w:cs="Arial"/>
          <w:sz w:val="24"/>
          <w:szCs w:val="24"/>
        </w:rPr>
        <w:t xml:space="preserve">(). The </w:t>
      </w:r>
      <w:proofErr w:type="spellStart"/>
      <w:r w:rsidR="008768B6" w:rsidRPr="0060222E">
        <w:rPr>
          <w:rFonts w:ascii="Arial" w:eastAsiaTheme="minorEastAsia" w:hAnsi="Arial" w:cs="Arial"/>
          <w:i/>
          <w:sz w:val="24"/>
          <w:szCs w:val="24"/>
        </w:rPr>
        <w:t>J</w:t>
      </w:r>
      <w:bookmarkStart w:id="0" w:name="_GoBack"/>
      <w:bookmarkEnd w:id="0"/>
      <w:r w:rsidR="008768B6" w:rsidRPr="0060222E">
        <w:rPr>
          <w:rFonts w:ascii="Arial" w:eastAsiaTheme="minorEastAsia" w:hAnsi="Arial" w:cs="Arial"/>
          <w:i/>
          <w:sz w:val="24"/>
          <w:szCs w:val="24"/>
        </w:rPr>
        <w:t>Mbayes</w:t>
      </w:r>
      <w:proofErr w:type="spellEnd"/>
      <w:r w:rsidR="008768B6" w:rsidRPr="0060222E">
        <w:rPr>
          <w:rFonts w:ascii="Arial" w:eastAsiaTheme="minorEastAsia" w:hAnsi="Arial" w:cs="Arial"/>
          <w:i/>
          <w:sz w:val="24"/>
          <w:szCs w:val="24"/>
        </w:rPr>
        <w:t xml:space="preserve"> R</w:t>
      </w:r>
      <w:r w:rsidR="008768B6" w:rsidRPr="0060222E">
        <w:rPr>
          <w:rFonts w:ascii="Arial" w:eastAsiaTheme="minorEastAsia" w:hAnsi="Arial" w:cs="Arial"/>
          <w:sz w:val="24"/>
          <w:szCs w:val="24"/>
        </w:rPr>
        <w:t xml:space="preserve"> package</w:t>
      </w:r>
      <w:r w:rsidR="008768B6">
        <w:rPr>
          <w:rFonts w:ascii="Arial" w:eastAsiaTheme="minorEastAsia" w:hAnsi="Arial" w:cs="Arial"/>
          <w:sz w:val="24"/>
          <w:szCs w:val="24"/>
        </w:rPr>
        <w:t xml:space="preserve"> uses these model formulas and other arguments to fit the joint </w:t>
      </w:r>
      <w:r>
        <w:rPr>
          <w:rFonts w:ascii="Arial" w:eastAsiaTheme="minorEastAsia" w:hAnsi="Arial" w:cs="Arial"/>
          <w:sz w:val="24"/>
          <w:szCs w:val="24"/>
        </w:rPr>
        <w:t xml:space="preserve">shared parameter </w:t>
      </w:r>
      <w:r w:rsidR="008768B6">
        <w:rPr>
          <w:rFonts w:ascii="Arial" w:eastAsiaTheme="minorEastAsia" w:hAnsi="Arial" w:cs="Arial"/>
          <w:sz w:val="24"/>
          <w:szCs w:val="24"/>
        </w:rPr>
        <w:t>model for (1) and (2).</w:t>
      </w:r>
    </w:p>
    <w:p w:rsidR="00E157BC" w:rsidRPr="00E157BC" w:rsidRDefault="00E157BC" w:rsidP="000B6B4B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</w:p>
    <w:p w:rsidR="00E157BC" w:rsidRDefault="00E157BC" w:rsidP="000B6B4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157BC" w:rsidRPr="00E157BC" w:rsidRDefault="00E157BC" w:rsidP="00E157BC">
      <w:pPr>
        <w:pStyle w:val="EndNoteBibliography"/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ADDIN EN.REFLIST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157BC">
        <w:t>1.</w:t>
      </w:r>
      <w:r w:rsidRPr="00E157BC">
        <w:tab/>
        <w:t xml:space="preserve">Rizopoulos D. The R Package JMbayes for Fitting Joint Models for Longitudinal and Time-to-Event Data Using MCMC. </w:t>
      </w:r>
      <w:r w:rsidRPr="00E157BC">
        <w:rPr>
          <w:i/>
        </w:rPr>
        <w:t>Journal of Statistical Software</w:t>
      </w:r>
      <w:r w:rsidRPr="00E157BC">
        <w:t xml:space="preserve"> 2016; </w:t>
      </w:r>
      <w:r w:rsidRPr="00E157BC">
        <w:rPr>
          <w:b/>
        </w:rPr>
        <w:t>72</w:t>
      </w:r>
      <w:r w:rsidRPr="00E157BC">
        <w:t>(i07).</w:t>
      </w:r>
    </w:p>
    <w:p w:rsidR="00C34E68" w:rsidRPr="000B6B4B" w:rsidRDefault="00E157BC" w:rsidP="000B6B4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sectPr w:rsidR="00C34E68" w:rsidRPr="000B6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1370"/>
    <w:multiLevelType w:val="multilevel"/>
    <w:tmpl w:val="D57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61767"/>
    <w:multiLevelType w:val="multilevel"/>
    <w:tmpl w:val="25AA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vick, Katrina L., Ph.D.">
    <w15:presenceInfo w15:providerId="AD" w15:userId="S::devick.katrina@mayo.edu::a8e65658-d3be-4bad-b014-d0708fe68c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2wt9tvfpxw9uewdz8p5ws4rwdxaetpet9t&quot;&gt;TrajDropout&lt;record-ids&gt;&lt;item&gt;36&lt;/item&gt;&lt;/record-ids&gt;&lt;/item&gt;&lt;/Libraries&gt;"/>
  </w:docVars>
  <w:rsids>
    <w:rsidRoot w:val="007042AE"/>
    <w:rsid w:val="000A3C57"/>
    <w:rsid w:val="000B6B4B"/>
    <w:rsid w:val="00152433"/>
    <w:rsid w:val="00192CCE"/>
    <w:rsid w:val="001D7B59"/>
    <w:rsid w:val="00253CB6"/>
    <w:rsid w:val="0026511D"/>
    <w:rsid w:val="00315617"/>
    <w:rsid w:val="00391368"/>
    <w:rsid w:val="004015E1"/>
    <w:rsid w:val="00485AF8"/>
    <w:rsid w:val="00493794"/>
    <w:rsid w:val="00493CC0"/>
    <w:rsid w:val="005308D5"/>
    <w:rsid w:val="0060222E"/>
    <w:rsid w:val="006413DF"/>
    <w:rsid w:val="006A3612"/>
    <w:rsid w:val="006C26D3"/>
    <w:rsid w:val="007042AE"/>
    <w:rsid w:val="007D40B6"/>
    <w:rsid w:val="008768B6"/>
    <w:rsid w:val="00906C2F"/>
    <w:rsid w:val="00952CD5"/>
    <w:rsid w:val="009F023A"/>
    <w:rsid w:val="00A25440"/>
    <w:rsid w:val="00AA2AEE"/>
    <w:rsid w:val="00AC3186"/>
    <w:rsid w:val="00AE1DA8"/>
    <w:rsid w:val="00B93CA2"/>
    <w:rsid w:val="00BE54A1"/>
    <w:rsid w:val="00C34E68"/>
    <w:rsid w:val="00CA2A2B"/>
    <w:rsid w:val="00D572A9"/>
    <w:rsid w:val="00DA40F8"/>
    <w:rsid w:val="00E01A1D"/>
    <w:rsid w:val="00E157BC"/>
    <w:rsid w:val="00E40883"/>
    <w:rsid w:val="00EC378B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2AE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7042AE"/>
  </w:style>
  <w:style w:type="paragraph" w:styleId="ListParagraph">
    <w:name w:val="List Paragraph"/>
    <w:basedOn w:val="Normal"/>
    <w:uiPriority w:val="34"/>
    <w:qFormat/>
    <w:rsid w:val="00401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1D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3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C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157B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57B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57B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57BC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2AE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7042AE"/>
  </w:style>
  <w:style w:type="paragraph" w:styleId="ListParagraph">
    <w:name w:val="List Paragraph"/>
    <w:basedOn w:val="Normal"/>
    <w:uiPriority w:val="34"/>
    <w:qFormat/>
    <w:rsid w:val="00401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1DA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3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C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157B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57B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57B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57BC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1AF7-F605-4F8A-B14E-B6E3556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J Schulte</dc:creator>
  <cp:lastModifiedBy>Schulte, Phillip J., Ph.D.</cp:lastModifiedBy>
  <cp:revision>7</cp:revision>
  <dcterms:created xsi:type="dcterms:W3CDTF">2020-06-09T22:35:00Z</dcterms:created>
  <dcterms:modified xsi:type="dcterms:W3CDTF">2020-06-09T23:51:00Z</dcterms:modified>
</cp:coreProperties>
</file>