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64" w:rsidRDefault="00EF4A13" w:rsidP="00513319">
      <w:pPr>
        <w:spacing w:after="0"/>
        <w:rPr>
          <w:b/>
        </w:rPr>
      </w:pPr>
      <w:r w:rsidRPr="00EC0BAC">
        <w:rPr>
          <w:b/>
        </w:rPr>
        <w:t xml:space="preserve">Supplement </w:t>
      </w:r>
      <w:r w:rsidR="008B455A" w:rsidRPr="00EC0BAC">
        <w:rPr>
          <w:b/>
        </w:rPr>
        <w:t xml:space="preserve">Table: </w:t>
      </w:r>
      <w:r w:rsidR="008A5764" w:rsidRPr="00EC0BAC">
        <w:rPr>
          <w:b/>
        </w:rPr>
        <w:t xml:space="preserve">Comparison of </w:t>
      </w:r>
      <w:r w:rsidR="00BE7D72" w:rsidRPr="00EC0BAC">
        <w:rPr>
          <w:b/>
        </w:rPr>
        <w:t xml:space="preserve">catheterized </w:t>
      </w:r>
      <w:r w:rsidR="008A5764" w:rsidRPr="00EC0BAC">
        <w:rPr>
          <w:b/>
        </w:rPr>
        <w:t>patient</w:t>
      </w:r>
      <w:r w:rsidR="00BE7D72" w:rsidRPr="00EC0BAC">
        <w:rPr>
          <w:b/>
        </w:rPr>
        <w:t>s</w:t>
      </w:r>
      <w:r w:rsidR="008A5764" w:rsidRPr="00EC0BAC">
        <w:rPr>
          <w:b/>
        </w:rPr>
        <w:t xml:space="preserve"> by study period</w:t>
      </w:r>
      <w:r w:rsidR="008B455A" w:rsidRPr="00EC0BAC">
        <w:rPr>
          <w:b/>
        </w:rPr>
        <w:t xml:space="preserve"> for the intervention and control floors</w:t>
      </w:r>
    </w:p>
    <w:p w:rsidR="00EC0BAC" w:rsidRPr="00EC0BAC" w:rsidRDefault="00EC0BAC" w:rsidP="00513319">
      <w:pPr>
        <w:spacing w:after="0"/>
        <w:rPr>
          <w:b/>
        </w:rPr>
      </w:pPr>
    </w:p>
    <w:tbl>
      <w:tblPr>
        <w:tblStyle w:val="TableGrid"/>
        <w:tblW w:w="9613" w:type="dxa"/>
        <w:jc w:val="center"/>
        <w:tblInd w:w="-2136" w:type="dxa"/>
        <w:tblLook w:val="04A0" w:firstRow="1" w:lastRow="0" w:firstColumn="1" w:lastColumn="0" w:noHBand="0" w:noVBand="1"/>
      </w:tblPr>
      <w:tblGrid>
        <w:gridCol w:w="3817"/>
        <w:gridCol w:w="2340"/>
        <w:gridCol w:w="2340"/>
        <w:gridCol w:w="1116"/>
      </w:tblGrid>
      <w:tr w:rsidR="00EC0BAC" w:rsidRPr="00EC0BAC" w:rsidTr="00124867">
        <w:trPr>
          <w:jc w:val="center"/>
        </w:trPr>
        <w:tc>
          <w:tcPr>
            <w:tcW w:w="9613" w:type="dxa"/>
            <w:gridSpan w:val="4"/>
          </w:tcPr>
          <w:p w:rsidR="00EC0BAC" w:rsidRPr="00EC0BAC" w:rsidRDefault="00EC0BAC" w:rsidP="00EC0BAC">
            <w:pPr>
              <w:spacing w:line="480" w:lineRule="auto"/>
              <w:jc w:val="center"/>
              <w:rPr>
                <w:b/>
              </w:rPr>
            </w:pPr>
            <w:r w:rsidRPr="00EC0BAC">
              <w:rPr>
                <w:b/>
              </w:rPr>
              <w:t>Intervention Floors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Pre-Intervention</w:t>
            </w:r>
          </w:p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7/2012 – 9/2012</w:t>
            </w:r>
          </w:p>
          <w:p w:rsidR="00DA311A" w:rsidRPr="00EC0BAC" w:rsidRDefault="00DE47C5" w:rsidP="00EC0BAC">
            <w:pPr>
              <w:spacing w:line="480" w:lineRule="auto"/>
              <w:jc w:val="center"/>
            </w:pPr>
            <w:r>
              <w:t>n</w:t>
            </w:r>
            <w:r w:rsidR="00DA311A" w:rsidRPr="00EC0BAC">
              <w:t xml:space="preserve"> = 480 (%)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Intervention/Follow-Up 10/2012-12/2013</w:t>
            </w:r>
          </w:p>
          <w:p w:rsidR="00DA311A" w:rsidRPr="00EC0BAC" w:rsidRDefault="00DE47C5" w:rsidP="00EC0BAC">
            <w:pPr>
              <w:spacing w:line="480" w:lineRule="auto"/>
              <w:jc w:val="center"/>
            </w:pPr>
            <w:r>
              <w:t>n</w:t>
            </w:r>
            <w:r w:rsidR="00DA311A" w:rsidRPr="00EC0BAC">
              <w:t xml:space="preserve"> = 2258 (%)</w:t>
            </w:r>
          </w:p>
        </w:tc>
        <w:tc>
          <w:tcPr>
            <w:tcW w:w="1116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 xml:space="preserve">P-value </w:t>
            </w:r>
          </w:p>
          <w:p w:rsidR="00DA311A" w:rsidRPr="00EC0BAC" w:rsidRDefault="00DA311A" w:rsidP="00EC0BAC">
            <w:pPr>
              <w:spacing w:line="480" w:lineRule="auto"/>
              <w:jc w:val="center"/>
            </w:pP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  <w:r w:rsidRPr="00EC0BAC">
              <w:t>Female Sex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260 (54.2%)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1296 (57.4%)</w:t>
            </w:r>
          </w:p>
        </w:tc>
        <w:tc>
          <w:tcPr>
            <w:tcW w:w="1116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.195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tabs>
                <w:tab w:val="center" w:pos="1200"/>
              </w:tabs>
              <w:spacing w:line="480" w:lineRule="auto"/>
            </w:pPr>
            <w:r w:rsidRPr="00EC0BAC">
              <w:t>Race</w:t>
            </w:r>
          </w:p>
          <w:p w:rsidR="00DA311A" w:rsidRPr="00EC0BAC" w:rsidRDefault="00DA311A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Caucasian</w:t>
            </w:r>
          </w:p>
          <w:p w:rsidR="00DA311A" w:rsidRPr="00EC0BAC" w:rsidRDefault="00DA311A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Black</w:t>
            </w:r>
          </w:p>
          <w:p w:rsidR="00DA311A" w:rsidRPr="00EC0BAC" w:rsidRDefault="00DA311A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Other/Unknown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259 (54.0%)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190 (39.6%)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31 (6.4%)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1180 (52.3%)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921 (40.8%)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157 (7.0%)</w:t>
            </w:r>
          </w:p>
        </w:tc>
        <w:tc>
          <w:tcPr>
            <w:tcW w:w="1116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.779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tabs>
                <w:tab w:val="center" w:pos="1200"/>
              </w:tabs>
              <w:spacing w:line="480" w:lineRule="auto"/>
            </w:pPr>
            <w:r w:rsidRPr="00EC0BAC">
              <w:t>Age – mean (SD)</w:t>
            </w:r>
          </w:p>
        </w:tc>
        <w:tc>
          <w:tcPr>
            <w:tcW w:w="2340" w:type="dxa"/>
          </w:tcPr>
          <w:p w:rsidR="00DA311A" w:rsidRPr="00EC0BAC" w:rsidRDefault="00023A27" w:rsidP="00EC0BAC">
            <w:pPr>
              <w:spacing w:line="480" w:lineRule="auto"/>
              <w:jc w:val="center"/>
            </w:pPr>
            <w:r w:rsidRPr="00EC0BAC">
              <w:t>54.05 (16.69)</w:t>
            </w:r>
          </w:p>
        </w:tc>
        <w:tc>
          <w:tcPr>
            <w:tcW w:w="2340" w:type="dxa"/>
          </w:tcPr>
          <w:p w:rsidR="00DA311A" w:rsidRPr="00EC0BAC" w:rsidRDefault="00023A27" w:rsidP="00EC0BAC">
            <w:pPr>
              <w:spacing w:line="480" w:lineRule="auto"/>
              <w:jc w:val="center"/>
            </w:pPr>
            <w:r w:rsidRPr="00EC0BAC">
              <w:t>55.06 (16.75)</w:t>
            </w:r>
          </w:p>
        </w:tc>
        <w:tc>
          <w:tcPr>
            <w:tcW w:w="1116" w:type="dxa"/>
          </w:tcPr>
          <w:p w:rsidR="00DA311A" w:rsidRPr="00EC0BAC" w:rsidRDefault="00023A27" w:rsidP="00EC0BAC">
            <w:pPr>
              <w:spacing w:line="480" w:lineRule="auto"/>
              <w:jc w:val="center"/>
            </w:pPr>
            <w:r w:rsidRPr="00EC0BAC">
              <w:t>.227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  <w:r w:rsidRPr="00EC0BAC">
              <w:t>Neutropenia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11 (2.3%)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45 (2.0%)</w:t>
            </w:r>
          </w:p>
        </w:tc>
        <w:tc>
          <w:tcPr>
            <w:tcW w:w="1116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.675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  <w:r w:rsidRPr="00EC0BAC">
              <w:t>Chemotherapy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22 (4.6%)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141 (6.2%)</w:t>
            </w:r>
          </w:p>
        </w:tc>
        <w:tc>
          <w:tcPr>
            <w:tcW w:w="1116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.162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  <w:r w:rsidRPr="00EC0BAC">
              <w:t>Cor</w:t>
            </w:r>
            <w:r w:rsidR="004E2BC9" w:rsidRPr="00EC0BAC">
              <w:t>t</w:t>
            </w:r>
            <w:r w:rsidRPr="00EC0BAC">
              <w:t>icosteroids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124 (25.8%)</w:t>
            </w:r>
          </w:p>
        </w:tc>
        <w:tc>
          <w:tcPr>
            <w:tcW w:w="2340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570 (25.2%)</w:t>
            </w:r>
          </w:p>
        </w:tc>
        <w:tc>
          <w:tcPr>
            <w:tcW w:w="1116" w:type="dxa"/>
          </w:tcPr>
          <w:p w:rsidR="00DA311A" w:rsidRPr="00EC0BAC" w:rsidRDefault="00EF4A13" w:rsidP="00EC0BAC">
            <w:pPr>
              <w:spacing w:line="480" w:lineRule="auto"/>
              <w:jc w:val="center"/>
            </w:pPr>
            <w:r w:rsidRPr="00EC0BAC">
              <w:t>.787</w:t>
            </w:r>
          </w:p>
        </w:tc>
      </w:tr>
      <w:tr w:rsidR="00EC0BAC" w:rsidRPr="00EC0BAC" w:rsidTr="00124867">
        <w:trPr>
          <w:jc w:val="center"/>
        </w:trPr>
        <w:tc>
          <w:tcPr>
            <w:tcW w:w="3817" w:type="dxa"/>
          </w:tcPr>
          <w:p w:rsidR="00DA311A" w:rsidRPr="00EC0BAC" w:rsidRDefault="00DA311A" w:rsidP="00EC0BAC">
            <w:pPr>
              <w:spacing w:line="480" w:lineRule="auto"/>
            </w:pPr>
            <w:r w:rsidRPr="00EC0BAC">
              <w:t>Line days per admission – median (IQR)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3 (2–6)</w:t>
            </w:r>
          </w:p>
        </w:tc>
        <w:tc>
          <w:tcPr>
            <w:tcW w:w="2340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3 (2-6)</w:t>
            </w:r>
          </w:p>
        </w:tc>
        <w:tc>
          <w:tcPr>
            <w:tcW w:w="1116" w:type="dxa"/>
          </w:tcPr>
          <w:p w:rsidR="00DA311A" w:rsidRPr="00EC0BAC" w:rsidRDefault="00DA311A" w:rsidP="00EC0BAC">
            <w:pPr>
              <w:spacing w:line="480" w:lineRule="auto"/>
              <w:jc w:val="center"/>
            </w:pPr>
            <w:r w:rsidRPr="00EC0BAC">
              <w:t>.636</w:t>
            </w:r>
          </w:p>
        </w:tc>
      </w:tr>
    </w:tbl>
    <w:p w:rsidR="00DE47C5" w:rsidRDefault="00DE47C5" w:rsidP="00EC0BAC">
      <w:pPr>
        <w:spacing w:after="0" w:line="480" w:lineRule="auto"/>
        <w:rPr>
          <w:b/>
        </w:rPr>
      </w:pPr>
    </w:p>
    <w:p w:rsidR="00DE47C5" w:rsidRDefault="00DE47C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658" w:type="dxa"/>
        <w:jc w:val="center"/>
        <w:tblInd w:w="-2406" w:type="dxa"/>
        <w:tblLook w:val="04A0" w:firstRow="1" w:lastRow="0" w:firstColumn="1" w:lastColumn="0" w:noHBand="0" w:noVBand="1"/>
      </w:tblPr>
      <w:tblGrid>
        <w:gridCol w:w="3749"/>
        <w:gridCol w:w="2385"/>
        <w:gridCol w:w="2385"/>
        <w:gridCol w:w="1139"/>
      </w:tblGrid>
      <w:tr w:rsidR="00EC0BAC" w:rsidRPr="00EC0BAC" w:rsidTr="00124867">
        <w:trPr>
          <w:jc w:val="center"/>
        </w:trPr>
        <w:tc>
          <w:tcPr>
            <w:tcW w:w="9658" w:type="dxa"/>
            <w:gridSpan w:val="4"/>
          </w:tcPr>
          <w:p w:rsidR="00EC0BAC" w:rsidRPr="00EC0BAC" w:rsidRDefault="00EC0BAC" w:rsidP="00EC0BAC">
            <w:pPr>
              <w:spacing w:line="480" w:lineRule="auto"/>
              <w:jc w:val="center"/>
              <w:rPr>
                <w:b/>
              </w:rPr>
            </w:pPr>
            <w:r w:rsidRPr="00EC0BAC">
              <w:rPr>
                <w:b/>
              </w:rPr>
              <w:t>Control Floors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Pre-Intervention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7/2012 – 9/2012</w:t>
            </w:r>
          </w:p>
          <w:p w:rsidR="00EF4A13" w:rsidRPr="00EC0BAC" w:rsidRDefault="00DE47C5" w:rsidP="00EC0BAC">
            <w:pPr>
              <w:spacing w:line="480" w:lineRule="auto"/>
              <w:jc w:val="center"/>
            </w:pPr>
            <w:r>
              <w:t>n</w:t>
            </w:r>
            <w:r w:rsidR="00EF4A13" w:rsidRPr="00EC0BAC">
              <w:t xml:space="preserve"> = </w:t>
            </w:r>
            <w:r w:rsidR="00023A27" w:rsidRPr="00EC0BAC">
              <w:t>424</w:t>
            </w:r>
            <w:r w:rsidR="00EF4A13" w:rsidRPr="00EC0BAC">
              <w:t xml:space="preserve"> (%)</w:t>
            </w: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Intervention/Follow-Up 10/2012-12/2013</w:t>
            </w:r>
          </w:p>
          <w:p w:rsidR="00EF4A13" w:rsidRPr="00EC0BAC" w:rsidRDefault="00DE47C5" w:rsidP="00EC0BAC">
            <w:pPr>
              <w:spacing w:line="480" w:lineRule="auto"/>
              <w:jc w:val="center"/>
            </w:pPr>
            <w:r>
              <w:t>n</w:t>
            </w:r>
            <w:r w:rsidR="00EF4A13" w:rsidRPr="00EC0BAC">
              <w:t xml:space="preserve"> = </w:t>
            </w:r>
            <w:r w:rsidR="00023A27" w:rsidRPr="00EC0BAC">
              <w:t>2008</w:t>
            </w:r>
            <w:r w:rsidR="00EF4A13" w:rsidRPr="00EC0BAC">
              <w:t xml:space="preserve"> (%)</w:t>
            </w:r>
          </w:p>
        </w:tc>
        <w:tc>
          <w:tcPr>
            <w:tcW w:w="1139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 xml:space="preserve">P-value </w:t>
            </w:r>
          </w:p>
          <w:p w:rsidR="00EF4A13" w:rsidRPr="00EC0BAC" w:rsidRDefault="00EF4A13" w:rsidP="00EC0BAC">
            <w:pPr>
              <w:spacing w:line="480" w:lineRule="auto"/>
              <w:jc w:val="center"/>
            </w:pP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  <w:r w:rsidRPr="00EC0BAC">
              <w:t>Female Sex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244 (57.5%)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1087 (54.1%)</w:t>
            </w:r>
          </w:p>
        </w:tc>
        <w:tc>
          <w:tcPr>
            <w:tcW w:w="1139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.199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tabs>
                <w:tab w:val="center" w:pos="1200"/>
              </w:tabs>
              <w:spacing w:line="480" w:lineRule="auto"/>
            </w:pPr>
            <w:r w:rsidRPr="00EC0BAC">
              <w:t>Race</w:t>
            </w:r>
          </w:p>
          <w:p w:rsidR="00EF4A13" w:rsidRPr="00EC0BAC" w:rsidRDefault="00EF4A13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Caucasian</w:t>
            </w:r>
          </w:p>
          <w:p w:rsidR="00EF4A13" w:rsidRPr="00EC0BAC" w:rsidRDefault="00EF4A13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Black</w:t>
            </w:r>
          </w:p>
          <w:p w:rsidR="00EF4A13" w:rsidRPr="00EC0BAC" w:rsidRDefault="00EF4A13" w:rsidP="00EC0BAC">
            <w:pPr>
              <w:tabs>
                <w:tab w:val="center" w:pos="1200"/>
              </w:tabs>
              <w:spacing w:line="480" w:lineRule="auto"/>
            </w:pPr>
            <w:r w:rsidRPr="00EC0BAC">
              <w:t xml:space="preserve">   Other/Unknown</w:t>
            </w: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221 (52.1%)</w:t>
            </w: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175 (41.3%)</w:t>
            </w: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28 (6.6%)</w:t>
            </w: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1111 (55.3%)</w:t>
            </w: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751 (37.4%)</w:t>
            </w:r>
          </w:p>
          <w:p w:rsidR="00023A27" w:rsidRPr="00EC0BAC" w:rsidRDefault="00023A27" w:rsidP="00EC0BAC">
            <w:pPr>
              <w:spacing w:line="480" w:lineRule="auto"/>
              <w:jc w:val="center"/>
            </w:pPr>
            <w:r w:rsidRPr="00EC0BAC">
              <w:t>146 (7.3%)</w:t>
            </w:r>
          </w:p>
        </w:tc>
        <w:tc>
          <w:tcPr>
            <w:tcW w:w="1139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.324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tabs>
                <w:tab w:val="center" w:pos="1200"/>
              </w:tabs>
              <w:spacing w:line="480" w:lineRule="auto"/>
            </w:pPr>
            <w:r w:rsidRPr="00EC0BAC">
              <w:t>Age – mean (SD)</w:t>
            </w:r>
          </w:p>
        </w:tc>
        <w:tc>
          <w:tcPr>
            <w:tcW w:w="2385" w:type="dxa"/>
          </w:tcPr>
          <w:p w:rsidR="00EF4A13" w:rsidRPr="00EC0BAC" w:rsidRDefault="00B1716F" w:rsidP="00EC0BAC">
            <w:pPr>
              <w:spacing w:line="480" w:lineRule="auto"/>
              <w:jc w:val="center"/>
            </w:pPr>
            <w:r w:rsidRPr="00EC0BAC">
              <w:t>55.02 (17.36)</w:t>
            </w:r>
          </w:p>
        </w:tc>
        <w:tc>
          <w:tcPr>
            <w:tcW w:w="2385" w:type="dxa"/>
          </w:tcPr>
          <w:p w:rsidR="00EF4A13" w:rsidRPr="00EC0BAC" w:rsidRDefault="00B1716F" w:rsidP="00EC0BAC">
            <w:pPr>
              <w:spacing w:line="480" w:lineRule="auto"/>
              <w:jc w:val="center"/>
            </w:pPr>
            <w:r w:rsidRPr="00EC0BAC">
              <w:t>55.57 (17.08)</w:t>
            </w:r>
          </w:p>
        </w:tc>
        <w:tc>
          <w:tcPr>
            <w:tcW w:w="1139" w:type="dxa"/>
          </w:tcPr>
          <w:p w:rsidR="00EF4A13" w:rsidRPr="00EC0BAC" w:rsidRDefault="00B1716F" w:rsidP="00EC0BAC">
            <w:pPr>
              <w:spacing w:line="480" w:lineRule="auto"/>
              <w:jc w:val="center"/>
            </w:pPr>
            <w:r w:rsidRPr="00EC0BAC">
              <w:t>.552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  <w:r w:rsidRPr="00EC0BAC">
              <w:t>Neutropenia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10 (2.4%)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57 (2.8%)</w:t>
            </w:r>
          </w:p>
        </w:tc>
        <w:tc>
          <w:tcPr>
            <w:tcW w:w="1139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.583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  <w:r w:rsidRPr="00EC0BAC">
              <w:t>Chemotherapy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23 (5.4%)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138 (6.9%)</w:t>
            </w:r>
          </w:p>
        </w:tc>
        <w:tc>
          <w:tcPr>
            <w:tcW w:w="1139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.276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  <w:r w:rsidRPr="00EC0BAC">
              <w:t>Cor</w:t>
            </w:r>
            <w:r w:rsidR="004E2BC9" w:rsidRPr="00EC0BAC">
              <w:t>t</w:t>
            </w:r>
            <w:r w:rsidRPr="00EC0BAC">
              <w:t>icosteroids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105 (24.8%)</w:t>
            </w:r>
          </w:p>
        </w:tc>
        <w:tc>
          <w:tcPr>
            <w:tcW w:w="2385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492 (24.5%)</w:t>
            </w:r>
          </w:p>
        </w:tc>
        <w:tc>
          <w:tcPr>
            <w:tcW w:w="1139" w:type="dxa"/>
          </w:tcPr>
          <w:p w:rsidR="00EF4A13" w:rsidRPr="00EC0BAC" w:rsidRDefault="00023A27" w:rsidP="00EC0BAC">
            <w:pPr>
              <w:spacing w:line="480" w:lineRule="auto"/>
              <w:jc w:val="center"/>
            </w:pPr>
            <w:r w:rsidRPr="00EC0BAC">
              <w:t>.909</w:t>
            </w:r>
          </w:p>
        </w:tc>
      </w:tr>
      <w:tr w:rsidR="00EC0BAC" w:rsidRPr="00EC0BAC" w:rsidTr="00124867">
        <w:trPr>
          <w:jc w:val="center"/>
        </w:trPr>
        <w:tc>
          <w:tcPr>
            <w:tcW w:w="3749" w:type="dxa"/>
          </w:tcPr>
          <w:p w:rsidR="00EF4A13" w:rsidRPr="00EC0BAC" w:rsidRDefault="00EF4A13" w:rsidP="00EC0BAC">
            <w:pPr>
              <w:spacing w:line="480" w:lineRule="auto"/>
            </w:pPr>
            <w:r w:rsidRPr="00EC0BAC">
              <w:t>Line days per admission – median (IQR)</w:t>
            </w: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4 (2–6)</w:t>
            </w:r>
          </w:p>
        </w:tc>
        <w:tc>
          <w:tcPr>
            <w:tcW w:w="2385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3 (2-6)</w:t>
            </w:r>
          </w:p>
        </w:tc>
        <w:tc>
          <w:tcPr>
            <w:tcW w:w="1139" w:type="dxa"/>
          </w:tcPr>
          <w:p w:rsidR="00EF4A13" w:rsidRPr="00EC0BAC" w:rsidRDefault="00EF4A13" w:rsidP="00EC0BAC">
            <w:pPr>
              <w:spacing w:line="480" w:lineRule="auto"/>
              <w:jc w:val="center"/>
            </w:pPr>
            <w:r w:rsidRPr="00EC0BAC">
              <w:t>.396</w:t>
            </w:r>
          </w:p>
        </w:tc>
      </w:tr>
    </w:tbl>
    <w:p w:rsidR="00DE47C5" w:rsidRDefault="00DE47C5" w:rsidP="00DE47C5">
      <w:pPr>
        <w:spacing w:after="0" w:line="480" w:lineRule="auto"/>
        <w:rPr>
          <w:color w:val="000000" w:themeColor="text1"/>
        </w:rPr>
      </w:pPr>
    </w:p>
    <w:p w:rsidR="00DE47C5" w:rsidRDefault="00DE47C5" w:rsidP="00DE47C5">
      <w:pPr>
        <w:spacing w:after="0" w:line="48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24867">
        <w:rPr>
          <w:color w:val="000000" w:themeColor="text1"/>
        </w:rPr>
        <w:t xml:space="preserve">Note: </w:t>
      </w:r>
      <w:r>
        <w:rPr>
          <w:color w:val="000000" w:themeColor="text1"/>
        </w:rPr>
        <w:t xml:space="preserve"> SD, Standard deviation</w:t>
      </w:r>
      <w:r w:rsidR="00124867">
        <w:rPr>
          <w:color w:val="000000" w:themeColor="text1"/>
        </w:rPr>
        <w:t xml:space="preserve">; </w:t>
      </w:r>
      <w:r>
        <w:rPr>
          <w:color w:val="000000" w:themeColor="text1"/>
        </w:rPr>
        <w:t>IQR, Interquartile range</w:t>
      </w:r>
    </w:p>
    <w:p w:rsidR="00EF4A13" w:rsidRDefault="00EF4A13" w:rsidP="00EC0BAC">
      <w:pPr>
        <w:spacing w:after="0" w:line="480" w:lineRule="auto"/>
        <w:rPr>
          <w:b/>
          <w:color w:val="0070C0"/>
        </w:rPr>
      </w:pPr>
    </w:p>
    <w:p w:rsidR="00EC0BAC" w:rsidRDefault="00EC0BAC">
      <w:pPr>
        <w:spacing w:after="0" w:line="480" w:lineRule="auto"/>
        <w:rPr>
          <w:b/>
          <w:color w:val="0070C0"/>
        </w:rPr>
      </w:pPr>
    </w:p>
    <w:sectPr w:rsidR="00EC0BAC" w:rsidSect="00EC0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24A4"/>
    <w:multiLevelType w:val="hybridMultilevel"/>
    <w:tmpl w:val="FC9C7A02"/>
    <w:lvl w:ilvl="0" w:tplc="4F3631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0F"/>
    <w:rsid w:val="000126BC"/>
    <w:rsid w:val="0001731B"/>
    <w:rsid w:val="00020E20"/>
    <w:rsid w:val="000225F8"/>
    <w:rsid w:val="00023A27"/>
    <w:rsid w:val="0003546E"/>
    <w:rsid w:val="000524AE"/>
    <w:rsid w:val="00063E31"/>
    <w:rsid w:val="00066CC9"/>
    <w:rsid w:val="0008099C"/>
    <w:rsid w:val="00082A82"/>
    <w:rsid w:val="000A310C"/>
    <w:rsid w:val="000D5C7F"/>
    <w:rsid w:val="000E42F0"/>
    <w:rsid w:val="000E4693"/>
    <w:rsid w:val="000E6D61"/>
    <w:rsid w:val="000F6A8E"/>
    <w:rsid w:val="00124867"/>
    <w:rsid w:val="00127337"/>
    <w:rsid w:val="00141F8C"/>
    <w:rsid w:val="00190BC0"/>
    <w:rsid w:val="001A3385"/>
    <w:rsid w:val="001A39A7"/>
    <w:rsid w:val="001A5591"/>
    <w:rsid w:val="001A5984"/>
    <w:rsid w:val="001C208C"/>
    <w:rsid w:val="001D1BBC"/>
    <w:rsid w:val="00203383"/>
    <w:rsid w:val="00207037"/>
    <w:rsid w:val="002277EB"/>
    <w:rsid w:val="002E2123"/>
    <w:rsid w:val="002E2E84"/>
    <w:rsid w:val="002E5365"/>
    <w:rsid w:val="002F2AF2"/>
    <w:rsid w:val="00302F8B"/>
    <w:rsid w:val="00305166"/>
    <w:rsid w:val="00306FF7"/>
    <w:rsid w:val="003127AA"/>
    <w:rsid w:val="003462FB"/>
    <w:rsid w:val="003555B2"/>
    <w:rsid w:val="00367D7F"/>
    <w:rsid w:val="00383060"/>
    <w:rsid w:val="00390972"/>
    <w:rsid w:val="00390C86"/>
    <w:rsid w:val="003E4382"/>
    <w:rsid w:val="00401B2D"/>
    <w:rsid w:val="00410CCB"/>
    <w:rsid w:val="00412A81"/>
    <w:rsid w:val="00427F86"/>
    <w:rsid w:val="004452DC"/>
    <w:rsid w:val="004564FC"/>
    <w:rsid w:val="00466869"/>
    <w:rsid w:val="00472342"/>
    <w:rsid w:val="00486E13"/>
    <w:rsid w:val="00487F9C"/>
    <w:rsid w:val="00496E69"/>
    <w:rsid w:val="004C6B30"/>
    <w:rsid w:val="004E2BC9"/>
    <w:rsid w:val="005026F1"/>
    <w:rsid w:val="00513319"/>
    <w:rsid w:val="00516CEE"/>
    <w:rsid w:val="005410E5"/>
    <w:rsid w:val="00555970"/>
    <w:rsid w:val="0058032F"/>
    <w:rsid w:val="00594E54"/>
    <w:rsid w:val="005B674A"/>
    <w:rsid w:val="005E5B0D"/>
    <w:rsid w:val="006464C4"/>
    <w:rsid w:val="0065439E"/>
    <w:rsid w:val="006658D9"/>
    <w:rsid w:val="00677AF7"/>
    <w:rsid w:val="006B49D3"/>
    <w:rsid w:val="006C7EB7"/>
    <w:rsid w:val="0070411A"/>
    <w:rsid w:val="00724E26"/>
    <w:rsid w:val="007378A2"/>
    <w:rsid w:val="0074206B"/>
    <w:rsid w:val="00746448"/>
    <w:rsid w:val="00786524"/>
    <w:rsid w:val="00796932"/>
    <w:rsid w:val="007A0DE7"/>
    <w:rsid w:val="007B62C1"/>
    <w:rsid w:val="007E24BF"/>
    <w:rsid w:val="0083542B"/>
    <w:rsid w:val="00842546"/>
    <w:rsid w:val="00844DE0"/>
    <w:rsid w:val="00861069"/>
    <w:rsid w:val="00865B75"/>
    <w:rsid w:val="008A5764"/>
    <w:rsid w:val="008A60C2"/>
    <w:rsid w:val="008A70DE"/>
    <w:rsid w:val="008B411A"/>
    <w:rsid w:val="008B4547"/>
    <w:rsid w:val="008B455A"/>
    <w:rsid w:val="008C6F43"/>
    <w:rsid w:val="008D402B"/>
    <w:rsid w:val="008F396B"/>
    <w:rsid w:val="00902BBA"/>
    <w:rsid w:val="00915556"/>
    <w:rsid w:val="009213BA"/>
    <w:rsid w:val="0092511D"/>
    <w:rsid w:val="0093085C"/>
    <w:rsid w:val="00961795"/>
    <w:rsid w:val="00995467"/>
    <w:rsid w:val="009A2A01"/>
    <w:rsid w:val="009F0478"/>
    <w:rsid w:val="009F41BE"/>
    <w:rsid w:val="00A123D7"/>
    <w:rsid w:val="00A3340B"/>
    <w:rsid w:val="00A52E89"/>
    <w:rsid w:val="00A81F94"/>
    <w:rsid w:val="00AD476F"/>
    <w:rsid w:val="00AE1653"/>
    <w:rsid w:val="00AE733A"/>
    <w:rsid w:val="00AF0EBB"/>
    <w:rsid w:val="00B1228B"/>
    <w:rsid w:val="00B1716F"/>
    <w:rsid w:val="00B2452F"/>
    <w:rsid w:val="00B40272"/>
    <w:rsid w:val="00B65165"/>
    <w:rsid w:val="00B846D9"/>
    <w:rsid w:val="00B87155"/>
    <w:rsid w:val="00B94958"/>
    <w:rsid w:val="00BE3AF0"/>
    <w:rsid w:val="00BE7D72"/>
    <w:rsid w:val="00BF58EB"/>
    <w:rsid w:val="00C100C3"/>
    <w:rsid w:val="00C24401"/>
    <w:rsid w:val="00C638F2"/>
    <w:rsid w:val="00C7217E"/>
    <w:rsid w:val="00C74581"/>
    <w:rsid w:val="00CD6B42"/>
    <w:rsid w:val="00D0201A"/>
    <w:rsid w:val="00D04F9B"/>
    <w:rsid w:val="00D11EA9"/>
    <w:rsid w:val="00D2197C"/>
    <w:rsid w:val="00D475CE"/>
    <w:rsid w:val="00D5019E"/>
    <w:rsid w:val="00D71529"/>
    <w:rsid w:val="00DA311A"/>
    <w:rsid w:val="00DD7907"/>
    <w:rsid w:val="00DE47C5"/>
    <w:rsid w:val="00DE6FB0"/>
    <w:rsid w:val="00DF13CE"/>
    <w:rsid w:val="00DF4777"/>
    <w:rsid w:val="00DF764C"/>
    <w:rsid w:val="00E066B6"/>
    <w:rsid w:val="00E15756"/>
    <w:rsid w:val="00E21EDE"/>
    <w:rsid w:val="00E444A3"/>
    <w:rsid w:val="00E44FBF"/>
    <w:rsid w:val="00E601C3"/>
    <w:rsid w:val="00E85338"/>
    <w:rsid w:val="00E940D6"/>
    <w:rsid w:val="00EA6BA7"/>
    <w:rsid w:val="00EC0BAC"/>
    <w:rsid w:val="00EC42DC"/>
    <w:rsid w:val="00EF4A13"/>
    <w:rsid w:val="00F16670"/>
    <w:rsid w:val="00F27115"/>
    <w:rsid w:val="00F5650F"/>
    <w:rsid w:val="00F65B4E"/>
    <w:rsid w:val="00F728D1"/>
    <w:rsid w:val="00F73282"/>
    <w:rsid w:val="00F92A05"/>
    <w:rsid w:val="00FA1223"/>
    <w:rsid w:val="00FB11A0"/>
    <w:rsid w:val="00FD7F5E"/>
    <w:rsid w:val="00FE752D"/>
    <w:rsid w:val="00FF0807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5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650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650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C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5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650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650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F490-4EB2-4D2B-AF31-9B6187D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2015-11-25T18:50:00Z</cp:lastPrinted>
  <dcterms:created xsi:type="dcterms:W3CDTF">2016-01-21T17:21:00Z</dcterms:created>
  <dcterms:modified xsi:type="dcterms:W3CDTF">2016-01-21T20:35:00Z</dcterms:modified>
</cp:coreProperties>
</file>