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9F" w:rsidRDefault="00C3149F" w:rsidP="00C3149F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>Supplemental Information</w:t>
      </w:r>
    </w:p>
    <w:p w:rsidR="007034B0" w:rsidRDefault="007034B0" w:rsidP="007034B0">
      <w:pPr>
        <w:jc w:val="both"/>
        <w:rPr>
          <w:lang w:val="en-GB"/>
        </w:rPr>
      </w:pPr>
      <w:bookmarkStart w:id="0" w:name="_GoBack"/>
      <w:bookmarkEnd w:id="0"/>
      <w:r>
        <w:rPr>
          <w:b/>
          <w:lang w:val="en-GB"/>
        </w:rPr>
        <w:t>Supplemental Table 1</w:t>
      </w:r>
      <w:r>
        <w:rPr>
          <w:lang w:val="en-GB"/>
        </w:rPr>
        <w:t xml:space="preserve"> Clinical characteristics of  VLBW infants enrolled in GNN stratified into subgroups </w:t>
      </w:r>
      <w:r>
        <w:rPr>
          <w:lang w:val="en-US"/>
        </w:rPr>
        <w:t>discharged in the time periods before and after</w:t>
      </w:r>
      <w:r>
        <w:rPr>
          <w:lang w:val="en-GB"/>
        </w:rPr>
        <w:t xml:space="preserve"> outbreak reports in the public media</w:t>
      </w:r>
      <w:r>
        <w:rPr>
          <w:lang w:val="en-US"/>
        </w:rPr>
        <w:t xml:space="preserve"> (0-3 and 4-6 months before outbreak; 0-3 and 4-6 months after outbreak)</w:t>
      </w:r>
      <w:r>
        <w:rPr>
          <w:lang w:val="en-GB"/>
        </w:rPr>
        <w:t>.</w:t>
      </w:r>
    </w:p>
    <w:p w:rsidR="007034B0" w:rsidRDefault="007034B0" w:rsidP="007034B0">
      <w:pPr>
        <w:jc w:val="both"/>
        <w:rPr>
          <w:b/>
          <w:lang w:val="en-GB"/>
        </w:rPr>
      </w:pPr>
    </w:p>
    <w:tbl>
      <w:tblPr>
        <w:tblW w:w="1528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79"/>
        <w:gridCol w:w="1098"/>
        <w:gridCol w:w="1097"/>
        <w:gridCol w:w="1178"/>
        <w:gridCol w:w="1048"/>
        <w:gridCol w:w="1134"/>
        <w:gridCol w:w="993"/>
        <w:gridCol w:w="1167"/>
        <w:gridCol w:w="1175"/>
        <w:gridCol w:w="1179"/>
        <w:gridCol w:w="1071"/>
        <w:gridCol w:w="1094"/>
        <w:gridCol w:w="1070"/>
      </w:tblGrid>
      <w:tr w:rsidR="007034B0" w:rsidTr="002D637F">
        <w:trPr>
          <w:trHeight w:val="262"/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tabs>
                <w:tab w:val="right" w:pos="3088"/>
              </w:tabs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Clinical characteristics</w:t>
            </w:r>
            <w:r>
              <w:rPr>
                <w:b/>
                <w:sz w:val="16"/>
                <w:szCs w:val="16"/>
                <w:lang w:val="en-GB"/>
              </w:rPr>
              <w:tab/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Before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1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Feb-April 2010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Before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1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May-July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2010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1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reported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Aug-Oct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2010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After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1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Nov 2010-Jan 2011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Before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2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May-July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2011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Before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2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Aug-Oct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2011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2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reported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Nov 2011-Jan 2012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After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2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Feb-April 15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b/>
                <w:sz w:val="16"/>
                <w:szCs w:val="16"/>
                <w:lang w:val="en-GB"/>
              </w:rPr>
              <w:t xml:space="preserve"> 2012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Before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3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April 16</w:t>
            </w:r>
            <w:r>
              <w:rPr>
                <w:b/>
                <w:bCs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16"/>
                <w:szCs w:val="16"/>
                <w:lang w:val="en-GB"/>
              </w:rPr>
              <w:t>-June 2012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Before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3</w:t>
            </w:r>
          </w:p>
          <w:p w:rsidR="007034B0" w:rsidRDefault="007034B0" w:rsidP="002D637F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July-Sept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2012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3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reported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Oct 2012-Dec 2012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After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Outbr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3</w:t>
            </w:r>
          </w:p>
          <w:p w:rsidR="007034B0" w:rsidRDefault="007034B0" w:rsidP="002D637F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Jan 2013-Mar 2013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No. of infants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369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365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464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512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494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pStyle w:val="Fuzeile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448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Gestational age (weeks), mean (SD)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28.9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(2.7)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28.6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(2.8)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28.7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(2.7)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28.7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(2.5)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28.7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(2.7)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28.6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(2.8)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28.6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(2.8)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28.8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(2.7)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28.9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(2.8)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(2.6)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28.5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(2.7)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28.6 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(2.8)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Birth weight (grams), Mean (SD)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1075 (304)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1061 (318)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1061 (307)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1059 (291)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1040 (306)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1066 (303)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1055 (312)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1042 (303)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1072 (315)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 (308)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1031 (303)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1043 (304)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Clinical sepsis (%)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36.3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33.8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36.0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35.5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33.3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32.8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27.2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26.2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30.6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25.3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Culture proven sepsis (%)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Gram-negative sepsis (%)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Late-onset sepsis (%)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12.3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11.3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11.2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3.2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12.3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2.1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4.1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14.4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14.7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2.7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11.5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1.9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9.5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9.8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2.0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8.6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12.8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4.1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11.4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12.7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NEC or FIP (%)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5.3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4.7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6.5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3.2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Antibiotics (%)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82.0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82.5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81.6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84.9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85.7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84.4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86.8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86.5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87.6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86.8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87.6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85.7</w:t>
            </w:r>
          </w:p>
        </w:tc>
      </w:tr>
      <w:tr w:rsidR="007034B0" w:rsidTr="002D637F">
        <w:trPr>
          <w:tblCellSpacing w:w="20" w:type="dxa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Carbapenems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(%)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Third-line antibiotics (%)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15.3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17.3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15.2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17.8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18.7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15.4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22.5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22.8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20.9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17.6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18.6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22.7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25.3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20.9</w:t>
            </w:r>
          </w:p>
          <w:p w:rsidR="007034B0" w:rsidRDefault="007034B0" w:rsidP="002D637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22.5</w:t>
            </w:r>
          </w:p>
        </w:tc>
      </w:tr>
    </w:tbl>
    <w:p w:rsidR="007034B0" w:rsidRDefault="007034B0" w:rsidP="007034B0">
      <w:pPr>
        <w:jc w:val="both"/>
        <w:rPr>
          <w:lang w:val="en-GB"/>
        </w:rPr>
      </w:pPr>
    </w:p>
    <w:p w:rsidR="007034B0" w:rsidRDefault="007034B0" w:rsidP="007034B0">
      <w:pPr>
        <w:jc w:val="both"/>
        <w:rPr>
          <w:b/>
          <w:bCs/>
          <w:lang w:val="en-GB"/>
        </w:rPr>
      </w:pPr>
    </w:p>
    <w:p w:rsidR="007034B0" w:rsidRDefault="007034B0" w:rsidP="007034B0">
      <w:pPr>
        <w:jc w:val="both"/>
        <w:rPr>
          <w:lang w:val="en-GB"/>
        </w:rPr>
      </w:pPr>
      <w:r>
        <w:rPr>
          <w:lang w:val="en-GB"/>
        </w:rPr>
        <w:t>The time periods started at the first day of month if not otherwise declared.</w:t>
      </w:r>
    </w:p>
    <w:p w:rsidR="007034B0" w:rsidRDefault="007034B0" w:rsidP="007034B0">
      <w:pPr>
        <w:rPr>
          <w:lang w:val="en-GB"/>
        </w:rPr>
      </w:pPr>
    </w:p>
    <w:p w:rsidR="007034B0" w:rsidRDefault="007034B0" w:rsidP="007034B0">
      <w:pPr>
        <w:jc w:val="both"/>
        <w:rPr>
          <w:b/>
          <w:lang w:val="en-GB"/>
        </w:rPr>
      </w:pPr>
    </w:p>
    <w:p w:rsidR="007034B0" w:rsidRDefault="007034B0" w:rsidP="007034B0">
      <w:pPr>
        <w:jc w:val="both"/>
        <w:rPr>
          <w:b/>
          <w:lang w:val="en-GB"/>
        </w:rPr>
      </w:pPr>
    </w:p>
    <w:p w:rsidR="007034B0" w:rsidRDefault="007034B0" w:rsidP="007034B0">
      <w:pPr>
        <w:jc w:val="both"/>
        <w:rPr>
          <w:lang w:val="en-GB"/>
        </w:rPr>
      </w:pPr>
      <w:r>
        <w:rPr>
          <w:b/>
          <w:lang w:val="en-GB"/>
        </w:rPr>
        <w:br w:type="page"/>
      </w:r>
      <w:r>
        <w:rPr>
          <w:b/>
          <w:lang w:val="en-GB"/>
        </w:rPr>
        <w:lastRenderedPageBreak/>
        <w:t xml:space="preserve">Supplemental </w:t>
      </w:r>
      <w:r w:rsidRPr="00B47C36">
        <w:rPr>
          <w:b/>
          <w:lang w:val="en-GB"/>
        </w:rPr>
        <w:t>Table 2</w:t>
      </w:r>
      <w:r w:rsidRPr="00B47C36">
        <w:rPr>
          <w:lang w:val="en-GB"/>
        </w:rPr>
        <w:t xml:space="preserve"> </w:t>
      </w:r>
      <w:r>
        <w:rPr>
          <w:lang w:val="en-GB"/>
        </w:rPr>
        <w:t xml:space="preserve">Clinical characteristics of infants born in GNN </w:t>
      </w:r>
      <w:proofErr w:type="spellStart"/>
      <w:r>
        <w:rPr>
          <w:lang w:val="en-GB"/>
        </w:rPr>
        <w:t>centers</w:t>
      </w:r>
      <w:proofErr w:type="spellEnd"/>
      <w:r>
        <w:rPr>
          <w:lang w:val="en-GB"/>
        </w:rPr>
        <w:t xml:space="preserve"> with “low” </w:t>
      </w:r>
    </w:p>
    <w:p w:rsidR="007034B0" w:rsidRPr="00B47C36" w:rsidRDefault="007034B0" w:rsidP="007034B0">
      <w:pPr>
        <w:jc w:val="both"/>
        <w:rPr>
          <w:lang w:val="en-GB"/>
        </w:rPr>
      </w:pPr>
      <w:r>
        <w:rPr>
          <w:lang w:val="en-GB"/>
        </w:rPr>
        <w:t>and “high” prescription rate</w:t>
      </w:r>
      <w:r w:rsidRPr="00B47C36">
        <w:rPr>
          <w:lang w:val="en-GB"/>
        </w:rPr>
        <w:t xml:space="preserve"> </w:t>
      </w:r>
      <w:r>
        <w:rPr>
          <w:lang w:val="en-GB"/>
        </w:rPr>
        <w:t>of third-line antibiotics before 1</w:t>
      </w:r>
      <w:r w:rsidRPr="003E1AC7">
        <w:rPr>
          <w:vertAlign w:val="superscript"/>
          <w:lang w:val="en-GB"/>
        </w:rPr>
        <w:t>st</w:t>
      </w:r>
      <w:r>
        <w:rPr>
          <w:lang w:val="en-GB"/>
        </w:rPr>
        <w:t xml:space="preserve"> outbreak</w:t>
      </w:r>
    </w:p>
    <w:tbl>
      <w:tblPr>
        <w:tblW w:w="891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509"/>
        <w:gridCol w:w="1251"/>
        <w:gridCol w:w="1255"/>
        <w:gridCol w:w="903"/>
      </w:tblGrid>
      <w:tr w:rsidR="007034B0" w:rsidRPr="00B47C36" w:rsidTr="002D637F">
        <w:trPr>
          <w:trHeight w:val="262"/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tabs>
                <w:tab w:val="right" w:pos="3088"/>
              </w:tabs>
              <w:jc w:val="both"/>
              <w:rPr>
                <w:b/>
                <w:sz w:val="18"/>
                <w:szCs w:val="18"/>
                <w:lang w:val="en-GB"/>
              </w:rPr>
            </w:pPr>
            <w:r w:rsidRPr="00B47C36">
              <w:rPr>
                <w:b/>
                <w:sz w:val="18"/>
                <w:szCs w:val="18"/>
                <w:lang w:val="en-GB"/>
              </w:rPr>
              <w:t>Clinical characteristics</w:t>
            </w:r>
            <w:r w:rsidRPr="00B47C36">
              <w:rPr>
                <w:b/>
                <w:sz w:val="18"/>
                <w:szCs w:val="18"/>
                <w:lang w:val="en-GB"/>
              </w:rPr>
              <w:tab/>
            </w:r>
          </w:p>
          <w:p w:rsidR="007034B0" w:rsidRPr="00B47C36" w:rsidRDefault="007034B0" w:rsidP="002D637F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Low rate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High rate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B47C36">
              <w:rPr>
                <w:b/>
                <w:sz w:val="18"/>
                <w:szCs w:val="18"/>
                <w:lang w:val="en-GB"/>
              </w:rPr>
              <w:t>p</w:t>
            </w:r>
          </w:p>
          <w:p w:rsidR="007034B0" w:rsidRPr="00B47C36" w:rsidRDefault="007034B0" w:rsidP="002D637F">
            <w:pPr>
              <w:jc w:val="both"/>
              <w:rPr>
                <w:b/>
                <w:sz w:val="18"/>
                <w:szCs w:val="18"/>
                <w:lang w:val="en-GB"/>
              </w:rPr>
            </w:pP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B47C36">
              <w:rPr>
                <w:b/>
                <w:bCs/>
                <w:sz w:val="18"/>
                <w:szCs w:val="18"/>
                <w:lang w:val="en-US"/>
              </w:rPr>
              <w:t>No. of infants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5433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8342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B47C36">
              <w:rPr>
                <w:b/>
                <w:bCs/>
                <w:sz w:val="18"/>
                <w:szCs w:val="18"/>
                <w:lang w:val="en-US"/>
              </w:rPr>
              <w:t>Gestational age (weeks), mean (SD)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28.8 (2.9</w:t>
            </w:r>
            <w:r w:rsidRPr="00B47C3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28.7  (2.</w:t>
            </w:r>
            <w:r>
              <w:rPr>
                <w:sz w:val="18"/>
                <w:szCs w:val="18"/>
                <w:lang w:val="en-US"/>
              </w:rPr>
              <w:t>9</w:t>
            </w:r>
            <w:r w:rsidRPr="00B47C3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1*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B47C36">
              <w:rPr>
                <w:b/>
                <w:bCs/>
                <w:sz w:val="18"/>
                <w:szCs w:val="18"/>
                <w:lang w:val="en-US"/>
              </w:rPr>
              <w:t>Birth weight (grams),  mean (SD)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1067</w:t>
            </w:r>
            <w:r w:rsidRPr="00B47C36">
              <w:rPr>
                <w:sz w:val="18"/>
                <w:szCs w:val="18"/>
                <w:lang w:val="en-US"/>
              </w:rPr>
              <w:t xml:space="preserve"> (3</w:t>
            </w:r>
            <w:r>
              <w:rPr>
                <w:sz w:val="18"/>
                <w:szCs w:val="18"/>
                <w:lang w:val="en-US"/>
              </w:rPr>
              <w:t>15</w:t>
            </w:r>
            <w:r w:rsidRPr="00B47C3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1053 (315</w:t>
            </w:r>
            <w:r w:rsidRPr="00B47C3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0.006*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Gender, male (%)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50.8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51.5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Multiples (%)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31.7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33.1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Antenatal steroids (%)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89.8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89.9</w:t>
            </w:r>
          </w:p>
        </w:tc>
        <w:tc>
          <w:tcPr>
            <w:tcW w:w="775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C661C7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B47C36">
              <w:rPr>
                <w:b/>
                <w:bCs/>
                <w:sz w:val="18"/>
                <w:szCs w:val="18"/>
                <w:lang w:val="en-US"/>
              </w:rPr>
              <w:t>Antenatal antibiotics (%)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48.3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50.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03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AC13D2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AC13D2">
              <w:rPr>
                <w:b/>
                <w:bCs/>
                <w:sz w:val="18"/>
                <w:szCs w:val="18"/>
                <w:lang w:val="en-US"/>
              </w:rPr>
              <w:t>Postnatal antibiotics (%)</w:t>
            </w:r>
          </w:p>
          <w:p w:rsidR="007034B0" w:rsidRPr="00AC13D2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AC13D2">
              <w:rPr>
                <w:bCs/>
                <w:sz w:val="18"/>
                <w:szCs w:val="18"/>
                <w:lang w:val="en-US"/>
              </w:rPr>
              <w:t>Penicillins</w:t>
            </w:r>
            <w:proofErr w:type="spellEnd"/>
          </w:p>
          <w:p w:rsidR="007034B0" w:rsidRPr="00AC13D2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AC13D2">
              <w:rPr>
                <w:bCs/>
                <w:sz w:val="18"/>
                <w:szCs w:val="18"/>
                <w:lang w:val="en-US"/>
              </w:rPr>
              <w:t>Aminoglycosides</w:t>
            </w:r>
          </w:p>
          <w:p w:rsidR="007034B0" w:rsidRPr="00AC13D2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AC13D2">
              <w:rPr>
                <w:bCs/>
                <w:sz w:val="18"/>
                <w:szCs w:val="18"/>
                <w:lang w:val="en-US"/>
              </w:rPr>
              <w:t>Vancomycin</w:t>
            </w:r>
            <w:proofErr w:type="spellEnd"/>
            <w:r w:rsidRPr="00AC13D2">
              <w:rPr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AC13D2">
              <w:rPr>
                <w:bCs/>
                <w:sz w:val="18"/>
                <w:szCs w:val="18"/>
                <w:lang w:val="en-US"/>
              </w:rPr>
              <w:t>Teicoplanin</w:t>
            </w:r>
            <w:proofErr w:type="spellEnd"/>
          </w:p>
          <w:p w:rsidR="007034B0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B47C36">
              <w:rPr>
                <w:bCs/>
                <w:sz w:val="18"/>
                <w:szCs w:val="18"/>
                <w:lang w:val="en-US"/>
              </w:rPr>
              <w:t>Carbapenems</w:t>
            </w:r>
            <w:proofErr w:type="spellEnd"/>
          </w:p>
          <w:p w:rsidR="007034B0" w:rsidRPr="00B47C36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Third-line antibiotics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80.3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74.3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2</w:t>
            </w:r>
            <w:r w:rsidRPr="00B47C36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25.8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14.3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14.8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85.</w:t>
            </w:r>
            <w:r>
              <w:rPr>
                <w:sz w:val="18"/>
                <w:szCs w:val="18"/>
                <w:lang w:val="en-US"/>
              </w:rPr>
              <w:t>3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64.1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59.4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40.6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24.7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26.9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D558E6">
              <w:rPr>
                <w:b/>
                <w:bCs/>
                <w:sz w:val="18"/>
                <w:szCs w:val="18"/>
                <w:lang w:val="pt-BR"/>
              </w:rPr>
              <w:t>Central veno</w:t>
            </w:r>
            <w:r w:rsidRPr="00B47C36">
              <w:rPr>
                <w:b/>
                <w:bCs/>
                <w:sz w:val="18"/>
                <w:szCs w:val="18"/>
                <w:lang w:val="en-US"/>
              </w:rPr>
              <w:t>us lines (%)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54.7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57.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01</w:t>
            </w:r>
          </w:p>
        </w:tc>
      </w:tr>
      <w:tr w:rsidR="007034B0" w:rsidRPr="0071522E" w:rsidTr="002D637F">
        <w:trPr>
          <w:tblCellSpacing w:w="20" w:type="dxa"/>
        </w:trPr>
        <w:tc>
          <w:tcPr>
            <w:tcW w:w="5503" w:type="dxa"/>
          </w:tcPr>
          <w:p w:rsidR="007034B0" w:rsidRPr="00FC13C4" w:rsidRDefault="007034B0" w:rsidP="002D637F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FC13C4">
              <w:rPr>
                <w:b/>
                <w:bCs/>
                <w:sz w:val="18"/>
                <w:szCs w:val="18"/>
                <w:lang w:val="en-GB"/>
              </w:rPr>
              <w:t>Mechanical ventilation (invasive, %)</w:t>
            </w:r>
          </w:p>
          <w:p w:rsidR="007034B0" w:rsidRPr="00FC13C4" w:rsidRDefault="007034B0" w:rsidP="002D637F">
            <w:pPr>
              <w:jc w:val="both"/>
              <w:rPr>
                <w:bCs/>
                <w:sz w:val="18"/>
                <w:szCs w:val="18"/>
                <w:lang w:val="en-GB"/>
              </w:rPr>
            </w:pPr>
            <w:r w:rsidRPr="00FC13C4">
              <w:rPr>
                <w:bCs/>
                <w:sz w:val="18"/>
                <w:szCs w:val="18"/>
                <w:lang w:val="en-GB"/>
              </w:rPr>
              <w:t>Duration of ventilation [mean/median (SD) days]</w:t>
            </w:r>
          </w:p>
          <w:p w:rsidR="007034B0" w:rsidRPr="00FC13C4" w:rsidRDefault="007034B0" w:rsidP="002D637F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FC13C4">
              <w:rPr>
                <w:bCs/>
                <w:sz w:val="18"/>
                <w:szCs w:val="18"/>
                <w:lang w:val="en-GB"/>
              </w:rPr>
              <w:t>Duration oxygen supplementation [mean/median (SD) days]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46.8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5.7/0 (49)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32/15 (40)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50.0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6.3/6 (92)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34/15/42</w:t>
            </w:r>
          </w:p>
        </w:tc>
        <w:tc>
          <w:tcPr>
            <w:tcW w:w="775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&lt;0.001*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</w:t>
            </w:r>
          </w:p>
        </w:tc>
      </w:tr>
      <w:tr w:rsidR="007034B0" w:rsidRPr="004D7D8A" w:rsidTr="002D637F">
        <w:trPr>
          <w:tblCellSpacing w:w="20" w:type="dxa"/>
        </w:trPr>
        <w:tc>
          <w:tcPr>
            <w:tcW w:w="5503" w:type="dxa"/>
          </w:tcPr>
          <w:p w:rsidR="007034B0" w:rsidRPr="00FC13C4" w:rsidRDefault="007034B0" w:rsidP="002D637F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FC13C4">
              <w:rPr>
                <w:b/>
                <w:bCs/>
                <w:sz w:val="18"/>
                <w:szCs w:val="18"/>
                <w:lang w:val="en-GB"/>
              </w:rPr>
              <w:t>Duration until full feeding [150 ml/kg/d; mean/median (SD) days]</w:t>
            </w:r>
          </w:p>
        </w:tc>
        <w:tc>
          <w:tcPr>
            <w:tcW w:w="1220" w:type="dxa"/>
          </w:tcPr>
          <w:p w:rsidR="007034B0" w:rsidRPr="0071522E" w:rsidRDefault="007034B0" w:rsidP="002D637F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15/11 (13</w:t>
            </w:r>
            <w:r w:rsidRPr="0071522E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17/13 (14)</w:t>
            </w:r>
          </w:p>
        </w:tc>
        <w:tc>
          <w:tcPr>
            <w:tcW w:w="775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001*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Default="007034B0" w:rsidP="002D637F">
            <w:pPr>
              <w:jc w:val="both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Clinical sepsis (%)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25.8</w:t>
            </w:r>
          </w:p>
        </w:tc>
        <w:tc>
          <w:tcPr>
            <w:tcW w:w="1220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30.9</w:t>
            </w:r>
          </w:p>
        </w:tc>
        <w:tc>
          <w:tcPr>
            <w:tcW w:w="775" w:type="dxa"/>
          </w:tcPr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B47C36">
              <w:rPr>
                <w:b/>
                <w:bCs/>
                <w:sz w:val="18"/>
                <w:szCs w:val="18"/>
                <w:lang w:val="en-US"/>
              </w:rPr>
              <w:t>Blood culture proven sepsis (%)</w:t>
            </w:r>
          </w:p>
          <w:p w:rsidR="007034B0" w:rsidRPr="00B47C36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B47C36">
              <w:rPr>
                <w:bCs/>
                <w:sz w:val="18"/>
                <w:szCs w:val="18"/>
                <w:lang w:val="en-US"/>
              </w:rPr>
              <w:t>Gram-negative sepsis</w:t>
            </w:r>
          </w:p>
          <w:p w:rsidR="007034B0" w:rsidRPr="00B47C36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B47C36">
              <w:rPr>
                <w:bCs/>
                <w:sz w:val="18"/>
                <w:szCs w:val="18"/>
                <w:lang w:val="en-US"/>
              </w:rPr>
              <w:t>Gram-positive sepsis</w:t>
            </w:r>
          </w:p>
          <w:p w:rsidR="007034B0" w:rsidRPr="00B47C36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B47C36">
              <w:rPr>
                <w:bCs/>
                <w:sz w:val="18"/>
                <w:szCs w:val="18"/>
                <w:lang w:val="en-US"/>
              </w:rPr>
              <w:t xml:space="preserve">Gram-positive sepsis without </w:t>
            </w:r>
            <w:proofErr w:type="spellStart"/>
            <w:r w:rsidRPr="00B47C36">
              <w:rPr>
                <w:bCs/>
                <w:sz w:val="18"/>
                <w:szCs w:val="18"/>
                <w:lang w:val="en-US"/>
              </w:rPr>
              <w:t>CoNS</w:t>
            </w:r>
            <w:proofErr w:type="spellEnd"/>
          </w:p>
          <w:p w:rsidR="007034B0" w:rsidRPr="00B47C36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B47C36">
              <w:rPr>
                <w:bCs/>
                <w:sz w:val="18"/>
                <w:szCs w:val="18"/>
                <w:lang w:val="en-US"/>
              </w:rPr>
              <w:t>Late-onset sepsis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9.0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2.</w:t>
            </w:r>
            <w:r>
              <w:rPr>
                <w:sz w:val="18"/>
                <w:szCs w:val="18"/>
                <w:lang w:val="en-US"/>
              </w:rPr>
              <w:t>6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7.7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2.</w:t>
            </w:r>
            <w:r>
              <w:rPr>
                <w:sz w:val="18"/>
                <w:szCs w:val="18"/>
                <w:lang w:val="en-US"/>
              </w:rPr>
              <w:t>6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9.5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12.3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2.</w:t>
            </w:r>
            <w:r>
              <w:rPr>
                <w:sz w:val="18"/>
                <w:szCs w:val="18"/>
                <w:lang w:val="en-US"/>
              </w:rPr>
              <w:t>6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11.</w:t>
            </w:r>
            <w:r>
              <w:rPr>
                <w:sz w:val="18"/>
                <w:szCs w:val="18"/>
                <w:lang w:val="en-US"/>
              </w:rPr>
              <w:t>4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2.</w:t>
            </w:r>
            <w:r>
              <w:rPr>
                <w:sz w:val="18"/>
                <w:szCs w:val="18"/>
                <w:lang w:val="en-US"/>
              </w:rPr>
              <w:t>7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12.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&lt;0.001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</w:p>
          <w:p w:rsidR="007034B0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001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</w:t>
            </w:r>
          </w:p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8B4521" w:rsidRDefault="007034B0" w:rsidP="002D637F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8B4521">
              <w:rPr>
                <w:b/>
                <w:bCs/>
                <w:sz w:val="18"/>
                <w:szCs w:val="18"/>
                <w:lang w:val="en-US"/>
              </w:rPr>
              <w:t>NEC or FIP requiring surgery (%)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4.7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</w:tr>
      <w:tr w:rsidR="007034B0" w:rsidRPr="00B47C36" w:rsidTr="002D637F">
        <w:trPr>
          <w:tblCellSpacing w:w="20" w:type="dxa"/>
        </w:trPr>
        <w:tc>
          <w:tcPr>
            <w:tcW w:w="5503" w:type="dxa"/>
          </w:tcPr>
          <w:p w:rsidR="007034B0" w:rsidRPr="00B47C36" w:rsidRDefault="007034B0" w:rsidP="002D637F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Mortality (%)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B47C36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0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9.9</w:t>
            </w:r>
          </w:p>
        </w:tc>
        <w:tc>
          <w:tcPr>
            <w:tcW w:w="775" w:type="dxa"/>
          </w:tcPr>
          <w:p w:rsidR="007034B0" w:rsidRPr="00B47C36" w:rsidRDefault="007034B0" w:rsidP="002D637F">
            <w:pPr>
              <w:jc w:val="both"/>
              <w:rPr>
                <w:sz w:val="18"/>
                <w:szCs w:val="18"/>
                <w:lang w:val="en-US"/>
              </w:rPr>
            </w:pPr>
            <w:r w:rsidRPr="00B47C36">
              <w:rPr>
                <w:sz w:val="18"/>
                <w:szCs w:val="18"/>
                <w:lang w:val="en-US"/>
              </w:rPr>
              <w:t>0.</w:t>
            </w:r>
            <w:r>
              <w:rPr>
                <w:sz w:val="18"/>
                <w:szCs w:val="18"/>
                <w:lang w:val="en-US"/>
              </w:rPr>
              <w:t>04</w:t>
            </w:r>
          </w:p>
        </w:tc>
      </w:tr>
    </w:tbl>
    <w:p w:rsidR="007034B0" w:rsidRPr="00B47C36" w:rsidRDefault="007034B0" w:rsidP="007034B0">
      <w:pPr>
        <w:jc w:val="both"/>
        <w:rPr>
          <w:sz w:val="18"/>
          <w:szCs w:val="18"/>
          <w:lang w:val="en-GB"/>
        </w:rPr>
      </w:pPr>
      <w:r w:rsidRPr="004D7D8A">
        <w:rPr>
          <w:sz w:val="18"/>
          <w:szCs w:val="18"/>
          <w:lang w:val="en-US"/>
        </w:rPr>
        <w:t>P</w:t>
      </w:r>
      <w:r w:rsidRPr="00B47C36">
        <w:rPr>
          <w:sz w:val="18"/>
          <w:szCs w:val="18"/>
          <w:lang w:val="en-GB"/>
        </w:rPr>
        <w:t>-values are derived from Fisher´s exact test or Mann-Whitney-U-test if indicated (*)</w:t>
      </w:r>
    </w:p>
    <w:p w:rsidR="007034B0" w:rsidRDefault="007034B0" w:rsidP="007034B0">
      <w:pPr>
        <w:jc w:val="both"/>
        <w:rPr>
          <w:bCs/>
          <w:iCs/>
          <w:lang w:val="en-GB"/>
        </w:rPr>
      </w:pPr>
    </w:p>
    <w:p w:rsidR="007034B0" w:rsidRDefault="007034B0" w:rsidP="007034B0">
      <w:pPr>
        <w:spacing w:line="480" w:lineRule="auto"/>
        <w:jc w:val="both"/>
        <w:rPr>
          <w:lang w:val="en-GB"/>
        </w:rPr>
      </w:pPr>
    </w:p>
    <w:p w:rsidR="00C3149F" w:rsidRDefault="00C3149F">
      <w:pPr>
        <w:rPr>
          <w:lang w:val="en-GB"/>
        </w:rPr>
      </w:pPr>
      <w:r>
        <w:rPr>
          <w:lang w:val="en-GB"/>
        </w:rPr>
        <w:br w:type="page"/>
      </w:r>
    </w:p>
    <w:p w:rsidR="00C3149F" w:rsidRDefault="00C3149F" w:rsidP="00C3149F">
      <w:pPr>
        <w:spacing w:line="480" w:lineRule="auto"/>
        <w:jc w:val="both"/>
        <w:rPr>
          <w:b/>
          <w:lang w:val="en-US"/>
        </w:rPr>
      </w:pPr>
    </w:p>
    <w:p w:rsidR="00C3149F" w:rsidRDefault="00C3149F" w:rsidP="00C3149F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Methods - Definitions </w:t>
      </w:r>
    </w:p>
    <w:p w:rsidR="00C3149F" w:rsidRDefault="00C3149F" w:rsidP="00C3149F">
      <w:pPr>
        <w:spacing w:line="480" w:lineRule="auto"/>
        <w:jc w:val="both"/>
        <w:rPr>
          <w:lang w:val="en-US"/>
        </w:rPr>
      </w:pPr>
      <w:r>
        <w:rPr>
          <w:b/>
          <w:i/>
          <w:lang w:val="en-US"/>
        </w:rPr>
        <w:t>Gestational age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was calculated from the best obstetric estimate based on early prenatal ultrasound and obstetric examination. </w:t>
      </w:r>
      <w:r>
        <w:rPr>
          <w:b/>
          <w:i/>
          <w:lang w:val="en-US"/>
        </w:rPr>
        <w:t>Clinical sepsis</w:t>
      </w:r>
      <w:r>
        <w:rPr>
          <w:lang w:val="en-US"/>
        </w:rPr>
        <w:t xml:space="preserve"> was defined as condition with at least two signs of systemic inflammatory response (temperature &gt; 38°C or &lt; 36.5°C, tachycardia &gt; 200/min, new onset or increased frequency of </w:t>
      </w:r>
      <w:proofErr w:type="spellStart"/>
      <w:r>
        <w:rPr>
          <w:lang w:val="en-US"/>
        </w:rPr>
        <w:t>bradycardias</w:t>
      </w:r>
      <w:proofErr w:type="spellEnd"/>
      <w:r>
        <w:rPr>
          <w:lang w:val="en-US"/>
        </w:rPr>
        <w:t xml:space="preserve"> or apneas, hyperglycemia &gt; 140 mg/dl, base excess &lt; -10 </w:t>
      </w:r>
      <w:proofErr w:type="spellStart"/>
      <w:r>
        <w:rPr>
          <w:lang w:val="en-US"/>
        </w:rPr>
        <w:t>mval</w:t>
      </w:r>
      <w:proofErr w:type="spellEnd"/>
      <w:r>
        <w:rPr>
          <w:lang w:val="en-US"/>
        </w:rPr>
        <w:t>/l, changed skin color, increased oxygen requirements), plus one pathologic laboratory sign (platelet count &lt; 100/</w:t>
      </w:r>
      <w:proofErr w:type="spellStart"/>
      <w:r>
        <w:rPr>
          <w:lang w:val="en-US"/>
        </w:rPr>
        <w:t>nl</w:t>
      </w:r>
      <w:proofErr w:type="spellEnd"/>
      <w:r>
        <w:rPr>
          <w:lang w:val="en-US"/>
        </w:rPr>
        <w:t>, C-reactive protein &gt; 20 mg/L, immature/total neutrophil ratio &gt; 0.2, white blood cell count &lt; 5/</w:t>
      </w:r>
      <w:proofErr w:type="spellStart"/>
      <w:r>
        <w:rPr>
          <w:lang w:val="en-US"/>
        </w:rPr>
        <w:t>nl</w:t>
      </w:r>
      <w:proofErr w:type="spellEnd"/>
      <w:r>
        <w:rPr>
          <w:u w:val="single"/>
          <w:lang w:val="en-US"/>
        </w:rPr>
        <w:t>)</w:t>
      </w:r>
      <w:r>
        <w:rPr>
          <w:lang w:val="en-US"/>
        </w:rPr>
        <w:t xml:space="preserve"> plus the decision of the attending neonatologist to treat with antibiotics for at least 5 days, but without growth of bacteria in blood culture. </w:t>
      </w:r>
      <w:r>
        <w:rPr>
          <w:b/>
          <w:i/>
          <w:lang w:val="en-US"/>
        </w:rPr>
        <w:t>Blood culture proven sepsis</w:t>
      </w:r>
      <w:r>
        <w:rPr>
          <w:lang w:val="en-US"/>
        </w:rPr>
        <w:t xml:space="preserve"> was defined as clinical sepsis with growth of bacteria in the blood culture. If coagulase-negative staphylococci (</w:t>
      </w:r>
      <w:proofErr w:type="spellStart"/>
      <w:r>
        <w:rPr>
          <w:lang w:val="en-US"/>
        </w:rPr>
        <w:t>CoNS</w:t>
      </w:r>
      <w:proofErr w:type="spellEnd"/>
      <w:r>
        <w:rPr>
          <w:lang w:val="en-US"/>
        </w:rPr>
        <w:t>) were isolated as single pathogen in one peripheral blood culture, two clinical signs and one laboratory sign (platelet count &lt; 100/</w:t>
      </w:r>
      <w:proofErr w:type="spellStart"/>
      <w:r>
        <w:rPr>
          <w:lang w:val="en-US"/>
        </w:rPr>
        <w:t>nl</w:t>
      </w:r>
      <w:proofErr w:type="spellEnd"/>
      <w:r>
        <w:rPr>
          <w:lang w:val="en-US"/>
        </w:rPr>
        <w:t>, C-reactive protein &gt; 20 mg/L, immature/total neutrophil ratio &gt; 0.2, white blood cell count &lt; 5/</w:t>
      </w:r>
      <w:proofErr w:type="spellStart"/>
      <w:r>
        <w:rPr>
          <w:lang w:val="en-US"/>
        </w:rPr>
        <w:t>nl</w:t>
      </w:r>
      <w:proofErr w:type="spellEnd"/>
      <w:r>
        <w:rPr>
          <w:lang w:val="en-US"/>
        </w:rPr>
        <w:t>) were required to fulfill the definition of  blood culture confirmed sepsis</w:t>
      </w:r>
      <w:r>
        <w:rPr>
          <w:rFonts w:eastAsia="SimSun"/>
          <w:lang w:val="en-GB" w:eastAsia="zh-CN"/>
        </w:rPr>
        <w:t>.</w:t>
      </w:r>
    </w:p>
    <w:p w:rsidR="00C3149F" w:rsidRDefault="00C3149F" w:rsidP="00C3149F">
      <w:pPr>
        <w:spacing w:line="480" w:lineRule="auto"/>
        <w:jc w:val="both"/>
        <w:rPr>
          <w:lang w:val="en-US"/>
        </w:rPr>
      </w:pPr>
      <w:r>
        <w:rPr>
          <w:b/>
          <w:i/>
          <w:lang w:val="en-US"/>
        </w:rPr>
        <w:t>Early-onset sepsis</w:t>
      </w:r>
      <w:r>
        <w:rPr>
          <w:lang w:val="en-US"/>
        </w:rPr>
        <w:t xml:space="preserve"> (EOS) was defined as blood-culture confirmed sepsis occurring in the first 72 h of life. </w:t>
      </w:r>
      <w:r>
        <w:rPr>
          <w:b/>
          <w:bCs/>
          <w:i/>
          <w:iCs/>
          <w:lang w:val="en-US"/>
        </w:rPr>
        <w:t>Late-onset sepsis</w:t>
      </w:r>
      <w:r>
        <w:rPr>
          <w:lang w:val="en-US"/>
        </w:rPr>
        <w:t xml:space="preserve"> (LOS) was defined as blood-culture confirmed sepsis occurring later than 72 h of life.</w:t>
      </w:r>
      <w:r>
        <w:rPr>
          <w:b/>
          <w:bCs/>
          <w:i/>
          <w:iCs/>
          <w:lang w:val="en-US"/>
        </w:rPr>
        <w:t xml:space="preserve"> Gram-negative sepsis</w:t>
      </w:r>
      <w:r>
        <w:rPr>
          <w:lang w:val="en-US"/>
        </w:rPr>
        <w:t xml:space="preserve"> was defined as blood-culture confirmed sepsis with Gram-negative bacteria. </w:t>
      </w:r>
      <w:r>
        <w:rPr>
          <w:b/>
          <w:bCs/>
          <w:i/>
          <w:iCs/>
          <w:lang w:val="en-US"/>
        </w:rPr>
        <w:t>Gram-positive sepsis</w:t>
      </w:r>
      <w:r>
        <w:rPr>
          <w:lang w:val="en-US"/>
        </w:rPr>
        <w:t xml:space="preserve"> was defined as blood-culture confirmed sepsis with Gram-positive bacteria.</w:t>
      </w:r>
    </w:p>
    <w:p w:rsidR="00C3149F" w:rsidRDefault="00C3149F" w:rsidP="00C3149F">
      <w:pPr>
        <w:spacing w:line="480" w:lineRule="auto"/>
        <w:jc w:val="both"/>
        <w:rPr>
          <w:lang w:val="en-GB"/>
        </w:rPr>
      </w:pPr>
      <w:r>
        <w:rPr>
          <w:b/>
          <w:bCs/>
          <w:i/>
          <w:iCs/>
          <w:lang w:val="en-GB"/>
        </w:rPr>
        <w:lastRenderedPageBreak/>
        <w:t>Mortality</w:t>
      </w:r>
      <w:r>
        <w:rPr>
          <w:lang w:val="en-GB"/>
        </w:rPr>
        <w:t xml:space="preserve"> was defined as death during the initial hospital stay. </w:t>
      </w:r>
      <w:r>
        <w:rPr>
          <w:b/>
          <w:bCs/>
          <w:i/>
          <w:iCs/>
          <w:lang w:val="en-GB"/>
        </w:rPr>
        <w:t>Cause of death, e.g. proportion of death due to sepsis</w:t>
      </w:r>
      <w:r>
        <w:rPr>
          <w:lang w:val="en-GB"/>
        </w:rPr>
        <w:t xml:space="preserve"> was documented by the attending neonatologist in charge of the patient, and was based on the clinical course, post-mortem pathology and consensus decisions made in neonatal mortality conferences.</w:t>
      </w:r>
    </w:p>
    <w:p w:rsidR="00C3149F" w:rsidRDefault="00C3149F" w:rsidP="00C3149F">
      <w:pPr>
        <w:spacing w:line="480" w:lineRule="auto"/>
        <w:jc w:val="both"/>
        <w:rPr>
          <w:lang w:val="en-GB"/>
        </w:rPr>
      </w:pPr>
      <w:r>
        <w:rPr>
          <w:b/>
          <w:i/>
          <w:lang w:val="en-GB"/>
        </w:rPr>
        <w:t>NEC requiring surgery</w:t>
      </w:r>
      <w:r>
        <w:rPr>
          <w:lang w:val="en-GB"/>
        </w:rPr>
        <w:t xml:space="preserve"> was defined as clinical NEC classified as </w:t>
      </w:r>
      <w:r>
        <w:rPr>
          <w:lang w:val="en-US"/>
        </w:rPr>
        <w:t xml:space="preserve">Bell Stage II </w:t>
      </w:r>
      <w:r>
        <w:rPr>
          <w:lang w:val="en-GB"/>
        </w:rPr>
        <w:t>or Bell Stage III with need for peritoneal drainage, laparotomy with or without resection of necrotic gut, and macroscopic findings by the attending surgeon.</w:t>
      </w:r>
      <w:r>
        <w:rPr>
          <w:lang w:val="en-US"/>
        </w:rPr>
        <w:t xml:space="preserve"> </w:t>
      </w:r>
      <w:r>
        <w:rPr>
          <w:b/>
          <w:i/>
          <w:lang w:val="en-GB"/>
        </w:rPr>
        <w:t>NEC or focal intestinal perforation (FIP) requiring surgery</w:t>
      </w:r>
      <w:r>
        <w:rPr>
          <w:lang w:val="en-GB"/>
        </w:rPr>
        <w:t xml:space="preserve"> combines the two main causes of abdominal surgery (peritoneal drainage or laparotomy) in the first weeks of life.</w:t>
      </w:r>
    </w:p>
    <w:p w:rsidR="005A30DA" w:rsidRPr="007034B0" w:rsidRDefault="005A30DA" w:rsidP="007034B0">
      <w:pPr>
        <w:rPr>
          <w:lang w:val="en-GB"/>
        </w:rPr>
      </w:pPr>
    </w:p>
    <w:sectPr w:rsidR="005A30DA" w:rsidRPr="007034B0" w:rsidSect="007034B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32"/>
    <w:rsid w:val="000B41E3"/>
    <w:rsid w:val="003074F4"/>
    <w:rsid w:val="003E1AC7"/>
    <w:rsid w:val="004051EC"/>
    <w:rsid w:val="00481562"/>
    <w:rsid w:val="004D7D8A"/>
    <w:rsid w:val="004F3876"/>
    <w:rsid w:val="005616BB"/>
    <w:rsid w:val="005A30DA"/>
    <w:rsid w:val="005B18E1"/>
    <w:rsid w:val="00607040"/>
    <w:rsid w:val="007034B0"/>
    <w:rsid w:val="0071522E"/>
    <w:rsid w:val="00775E2B"/>
    <w:rsid w:val="00776591"/>
    <w:rsid w:val="007A6832"/>
    <w:rsid w:val="007B3F94"/>
    <w:rsid w:val="00877C8B"/>
    <w:rsid w:val="008B4521"/>
    <w:rsid w:val="008C0B5E"/>
    <w:rsid w:val="009A4D77"/>
    <w:rsid w:val="00A644FC"/>
    <w:rsid w:val="00AC13D2"/>
    <w:rsid w:val="00B47C36"/>
    <w:rsid w:val="00BD1760"/>
    <w:rsid w:val="00C17432"/>
    <w:rsid w:val="00C3149F"/>
    <w:rsid w:val="00C661C7"/>
    <w:rsid w:val="00CD2C27"/>
    <w:rsid w:val="00D558E6"/>
    <w:rsid w:val="00E61395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6BB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B18E1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B18E1"/>
    <w:rPr>
      <w:rFonts w:ascii="Times New Roman" w:hAnsi="Times New Roman" w:cs="Times New Roman"/>
      <w:sz w:val="24"/>
      <w:szCs w:val="24"/>
      <w:u w:val="single"/>
      <w:lang w:eastAsia="de-DE"/>
    </w:rPr>
  </w:style>
  <w:style w:type="character" w:customStyle="1" w:styleId="jrnl">
    <w:name w:val="jrnl"/>
    <w:basedOn w:val="Absatz-Standardschriftart"/>
    <w:uiPriority w:val="99"/>
    <w:rsid w:val="005B18E1"/>
    <w:rPr>
      <w:rFonts w:cs="Times New Roman"/>
    </w:rPr>
  </w:style>
  <w:style w:type="paragraph" w:styleId="Fuzeile">
    <w:name w:val="footer"/>
    <w:basedOn w:val="Standard"/>
    <w:link w:val="FuzeileZchn"/>
    <w:rsid w:val="00C661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C661C7"/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6BB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B18E1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B18E1"/>
    <w:rPr>
      <w:rFonts w:ascii="Times New Roman" w:hAnsi="Times New Roman" w:cs="Times New Roman"/>
      <w:sz w:val="24"/>
      <w:szCs w:val="24"/>
      <w:u w:val="single"/>
      <w:lang w:eastAsia="de-DE"/>
    </w:rPr>
  </w:style>
  <w:style w:type="character" w:customStyle="1" w:styleId="jrnl">
    <w:name w:val="jrnl"/>
    <w:basedOn w:val="Absatz-Standardschriftart"/>
    <w:uiPriority w:val="99"/>
    <w:rsid w:val="005B18E1"/>
    <w:rPr>
      <w:rFonts w:cs="Times New Roman"/>
    </w:rPr>
  </w:style>
  <w:style w:type="paragraph" w:styleId="Fuzeile">
    <w:name w:val="footer"/>
    <w:basedOn w:val="Standard"/>
    <w:link w:val="FuzeileZchn"/>
    <w:rsid w:val="00C661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C661C7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Supplemental Information</vt:lpstr>
    </vt:vector>
  </TitlesOfParts>
  <Company>ITSG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Information</dc:title>
  <dc:creator>Haertel, Christoph</dc:creator>
  <cp:lastModifiedBy>Haertel, Christoph</cp:lastModifiedBy>
  <cp:revision>4</cp:revision>
  <dcterms:created xsi:type="dcterms:W3CDTF">2016-03-23T07:06:00Z</dcterms:created>
  <dcterms:modified xsi:type="dcterms:W3CDTF">2016-03-25T13:07:00Z</dcterms:modified>
</cp:coreProperties>
</file>