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31B" w:rsidRDefault="00E6231B" w:rsidP="00E6231B">
      <w:pPr>
        <w:spacing w:line="480" w:lineRule="auto"/>
        <w:rPr>
          <w:szCs w:val="24"/>
        </w:rPr>
      </w:pPr>
      <w:r>
        <w:rPr>
          <w:szCs w:val="24"/>
        </w:rPr>
        <w:t>Appendix: Cost calculations</w:t>
      </w:r>
    </w:p>
    <w:p w:rsidR="00E6231B" w:rsidRPr="004C6363" w:rsidRDefault="00E6231B" w:rsidP="00E6231B">
      <w:pPr>
        <w:spacing w:line="480" w:lineRule="auto"/>
        <w:rPr>
          <w:szCs w:val="24"/>
        </w:rPr>
      </w:pPr>
      <w:r>
        <w:rPr>
          <w:szCs w:val="24"/>
        </w:rPr>
        <w:t>The calculations are represented below</w:t>
      </w:r>
      <w:r w:rsidRPr="00EA7CAF">
        <w:rPr>
          <w:szCs w:val="24"/>
        </w:rPr>
        <w:t>:</w:t>
      </w:r>
    </w:p>
    <w:p w:rsidR="00E6231B" w:rsidRPr="00EA7CAF" w:rsidRDefault="00E6231B" w:rsidP="00E6231B">
      <w:pPr>
        <w:pStyle w:val="FootnoteText"/>
        <w:spacing w:line="480" w:lineRule="auto"/>
        <w:rPr>
          <w:sz w:val="24"/>
          <w:szCs w:val="24"/>
        </w:rPr>
      </w:pPr>
      <w:r w:rsidRPr="00826988">
        <w:rPr>
          <w:position w:val="-130"/>
          <w:sz w:val="24"/>
          <w:szCs w:val="24"/>
        </w:rPr>
        <w:object w:dxaOrig="7000" w:dyaOrig="2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pt;height:137pt" o:ole="">
            <v:imagedata r:id="rId5" o:title=""/>
          </v:shape>
          <o:OLEObject Type="Embed" ProgID="Equation.3" ShapeID="_x0000_i1025" DrawAspect="Content" ObjectID="_1511943588" r:id="rId6"/>
        </w:object>
      </w:r>
    </w:p>
    <w:p w:rsidR="00E6231B" w:rsidRPr="00EA7CAF" w:rsidRDefault="00E6231B" w:rsidP="00E6231B">
      <w:pPr>
        <w:pStyle w:val="FootnoteText"/>
        <w:spacing w:line="480" w:lineRule="auto"/>
        <w:rPr>
          <w:sz w:val="24"/>
          <w:szCs w:val="24"/>
        </w:rPr>
      </w:pPr>
    </w:p>
    <w:p w:rsidR="00E6231B" w:rsidRPr="00D6271E" w:rsidRDefault="00E6231B" w:rsidP="00E6231B">
      <w:pPr>
        <w:spacing w:line="480" w:lineRule="auto"/>
        <w:rPr>
          <w:szCs w:val="24"/>
        </w:rPr>
      </w:pPr>
      <w:r>
        <w:rPr>
          <w:szCs w:val="24"/>
        </w:rPr>
        <w:t xml:space="preserve">Where </w:t>
      </w:r>
      <w:r w:rsidRPr="00044F75">
        <w:rPr>
          <w:i/>
          <w:szCs w:val="24"/>
        </w:rPr>
        <w:t>d</w:t>
      </w:r>
      <w:r>
        <w:rPr>
          <w:szCs w:val="24"/>
        </w:rPr>
        <w:t xml:space="preserve"> indexes the study arms such that</w:t>
      </w:r>
      <w:r w:rsidRPr="00EA7CAF">
        <w:rPr>
          <w:szCs w:val="24"/>
        </w:rPr>
        <w:t xml:space="preserve"> </w:t>
      </w:r>
      <w:r w:rsidRPr="00EA7CAF">
        <w:rPr>
          <w:position w:val="-10"/>
          <w:szCs w:val="24"/>
        </w:rPr>
        <w:object w:dxaOrig="3080" w:dyaOrig="340">
          <v:shape id="_x0000_i1026" type="#_x0000_t75" style="width:153pt;height:17pt" o:ole="">
            <v:imagedata r:id="rId7" o:title=""/>
          </v:shape>
          <o:OLEObject Type="Embed" ProgID="Equation.3" ShapeID="_x0000_i1026" DrawAspect="Content" ObjectID="_1511943589" r:id="rId8"/>
        </w:object>
      </w:r>
      <w:r>
        <w:rPr>
          <w:szCs w:val="24"/>
        </w:rPr>
        <w:t xml:space="preserve">, </w:t>
      </w:r>
      <w:proofErr w:type="spellStart"/>
      <w:r w:rsidRPr="00D149CA">
        <w:rPr>
          <w:i/>
          <w:szCs w:val="24"/>
        </w:rPr>
        <w:t>N</w:t>
      </w:r>
      <w:r w:rsidRPr="00D149CA">
        <w:rPr>
          <w:i/>
          <w:szCs w:val="24"/>
          <w:vertAlign w:val="superscript"/>
        </w:rPr>
        <w:t>d</w:t>
      </w:r>
      <w:proofErr w:type="spellEnd"/>
      <w:r>
        <w:rPr>
          <w:szCs w:val="24"/>
        </w:rPr>
        <w:t xml:space="preserve"> is the sample size for each arm </w:t>
      </w:r>
      <w:r w:rsidRPr="00D149CA">
        <w:rPr>
          <w:i/>
          <w:szCs w:val="24"/>
        </w:rPr>
        <w:t>d</w:t>
      </w:r>
      <w:r>
        <w:rPr>
          <w:szCs w:val="24"/>
        </w:rPr>
        <w:t xml:space="preserve">, </w:t>
      </w:r>
      <w:r w:rsidRPr="008B62B7">
        <w:rPr>
          <w:position w:val="-12"/>
        </w:rPr>
        <w:object w:dxaOrig="460" w:dyaOrig="380">
          <v:shape id="_x0000_i1027" type="#_x0000_t75" style="width:23pt;height:19pt" o:ole="">
            <v:imagedata r:id="rId9" o:title=""/>
          </v:shape>
          <o:OLEObject Type="Embed" ProgID="Equation.3" ShapeID="_x0000_i1027" DrawAspect="Content" ObjectID="_1511943590" r:id="rId10"/>
        </w:object>
      </w:r>
      <w:r>
        <w:rPr>
          <w:szCs w:val="24"/>
        </w:rPr>
        <w:t xml:space="preserve"> is the total monthly (i.e., 28-day) cost for individual </w:t>
      </w:r>
      <w:proofErr w:type="spellStart"/>
      <w:r w:rsidRPr="00053D1A">
        <w:rPr>
          <w:i/>
          <w:szCs w:val="24"/>
        </w:rPr>
        <w:t>i</w:t>
      </w:r>
      <w:proofErr w:type="spellEnd"/>
      <w:r>
        <w:rPr>
          <w:szCs w:val="24"/>
        </w:rPr>
        <w:t xml:space="preserve"> in arm </w:t>
      </w:r>
      <w:r w:rsidRPr="00D149CA">
        <w:rPr>
          <w:i/>
          <w:szCs w:val="24"/>
        </w:rPr>
        <w:t>d</w:t>
      </w:r>
      <w:r>
        <w:rPr>
          <w:szCs w:val="24"/>
        </w:rPr>
        <w:t xml:space="preserve">, </w:t>
      </w:r>
      <w:proofErr w:type="spellStart"/>
      <w:r w:rsidRPr="00F024DE">
        <w:rPr>
          <w:i/>
          <w:szCs w:val="24"/>
        </w:rPr>
        <w:t>M</w:t>
      </w:r>
      <w:r w:rsidRPr="00F024DE">
        <w:rPr>
          <w:i/>
          <w:szCs w:val="24"/>
          <w:vertAlign w:val="subscript"/>
        </w:rPr>
        <w:t>j</w:t>
      </w:r>
      <w:proofErr w:type="spellEnd"/>
      <w:r>
        <w:rPr>
          <w:szCs w:val="24"/>
        </w:rPr>
        <w:t xml:space="preserve"> is the total number of contributing cost components for type of care </w:t>
      </w:r>
      <w:r w:rsidRPr="00F024DE">
        <w:rPr>
          <w:i/>
          <w:szCs w:val="24"/>
        </w:rPr>
        <w:t>j</w:t>
      </w:r>
      <w:r>
        <w:rPr>
          <w:szCs w:val="24"/>
        </w:rPr>
        <w:t xml:space="preserve"> (i.e., hygiene, bathing, feeding), </w:t>
      </w:r>
      <w:proofErr w:type="spellStart"/>
      <w:r w:rsidRPr="00F024DE">
        <w:rPr>
          <w:i/>
          <w:szCs w:val="24"/>
        </w:rPr>
        <w:t>UC</w:t>
      </w:r>
      <w:r w:rsidRPr="00F024DE">
        <w:rPr>
          <w:i/>
          <w:szCs w:val="24"/>
          <w:vertAlign w:val="subscript"/>
        </w:rPr>
        <w:t>jm</w:t>
      </w:r>
      <w:proofErr w:type="spellEnd"/>
      <w:r>
        <w:rPr>
          <w:szCs w:val="24"/>
        </w:rPr>
        <w:t xml:space="preserve"> represents the unit cost of care for cost component </w:t>
      </w:r>
      <w:r w:rsidRPr="00463783">
        <w:rPr>
          <w:i/>
          <w:szCs w:val="24"/>
        </w:rPr>
        <w:t>m</w:t>
      </w:r>
      <w:r>
        <w:rPr>
          <w:szCs w:val="24"/>
        </w:rPr>
        <w:t xml:space="preserve"> (i.e., glove, gown, time to don and doff) associated with type of care </w:t>
      </w:r>
      <w:r w:rsidRPr="00F024DE">
        <w:rPr>
          <w:i/>
          <w:szCs w:val="24"/>
        </w:rPr>
        <w:t>j</w:t>
      </w:r>
      <w:r>
        <w:rPr>
          <w:szCs w:val="24"/>
        </w:rPr>
        <w:t xml:space="preserve">, </w:t>
      </w:r>
      <w:proofErr w:type="spellStart"/>
      <w:r w:rsidRPr="002A4DF9">
        <w:rPr>
          <w:i/>
          <w:szCs w:val="24"/>
        </w:rPr>
        <w:t>Q</w:t>
      </w:r>
      <w:r>
        <w:rPr>
          <w:i/>
          <w:szCs w:val="24"/>
          <w:vertAlign w:val="subscript"/>
        </w:rPr>
        <w:t>ijm</w:t>
      </w:r>
      <w:proofErr w:type="spellEnd"/>
      <w:r>
        <w:rPr>
          <w:szCs w:val="24"/>
        </w:rPr>
        <w:t xml:space="preserve"> is the total weekly number of interactions of type of care </w:t>
      </w:r>
      <w:r w:rsidRPr="002A4DF9">
        <w:rPr>
          <w:i/>
          <w:szCs w:val="24"/>
        </w:rPr>
        <w:t>j</w:t>
      </w:r>
      <w:r>
        <w:rPr>
          <w:szCs w:val="24"/>
        </w:rPr>
        <w:t xml:space="preserve"> received by individual </w:t>
      </w:r>
      <w:proofErr w:type="spellStart"/>
      <w:r>
        <w:rPr>
          <w:i/>
          <w:szCs w:val="24"/>
        </w:rPr>
        <w:t>i</w:t>
      </w:r>
      <w:proofErr w:type="spellEnd"/>
      <w:r>
        <w:rPr>
          <w:szCs w:val="24"/>
        </w:rPr>
        <w:t xml:space="preserve"> for cost component </w:t>
      </w:r>
      <w:r w:rsidRPr="006E7C69">
        <w:rPr>
          <w:i/>
          <w:szCs w:val="24"/>
        </w:rPr>
        <w:t>m</w:t>
      </w:r>
      <w:r>
        <w:rPr>
          <w:szCs w:val="24"/>
        </w:rPr>
        <w:t xml:space="preserve">,  </w:t>
      </w:r>
      <w:r>
        <w:rPr>
          <w:i/>
          <w:szCs w:val="24"/>
        </w:rPr>
        <w:t>t</w:t>
      </w:r>
      <w:r>
        <w:rPr>
          <w:szCs w:val="24"/>
        </w:rPr>
        <w:t xml:space="preserve"> indexes daily interactions related to type of care </w:t>
      </w:r>
      <w:r w:rsidRPr="004C6363">
        <w:rPr>
          <w:i/>
          <w:szCs w:val="24"/>
        </w:rPr>
        <w:t>j</w:t>
      </w:r>
      <w:r>
        <w:rPr>
          <w:szCs w:val="24"/>
        </w:rPr>
        <w:t xml:space="preserve"> with individual </w:t>
      </w:r>
      <w:proofErr w:type="spellStart"/>
      <w:r w:rsidRPr="002A4DF9">
        <w:rPr>
          <w:i/>
          <w:szCs w:val="24"/>
        </w:rPr>
        <w:t>i</w:t>
      </w:r>
      <w:proofErr w:type="spellEnd"/>
      <w:r>
        <w:rPr>
          <w:szCs w:val="24"/>
        </w:rPr>
        <w:t xml:space="preserve"> for a maximum of 7 days representing the week, </w:t>
      </w:r>
      <w:proofErr w:type="spellStart"/>
      <w:r w:rsidRPr="00C5521D">
        <w:rPr>
          <w:i/>
          <w:szCs w:val="24"/>
        </w:rPr>
        <w:t>q</w:t>
      </w:r>
      <w:r>
        <w:rPr>
          <w:i/>
          <w:szCs w:val="24"/>
          <w:vertAlign w:val="subscript"/>
        </w:rPr>
        <w:t>ijt</w:t>
      </w:r>
      <w:proofErr w:type="spellEnd"/>
      <w:r>
        <w:rPr>
          <w:szCs w:val="24"/>
        </w:rPr>
        <w:t xml:space="preserve"> is an indicator for the receipt of type of care </w:t>
      </w:r>
      <w:r w:rsidRPr="004F1D0A">
        <w:rPr>
          <w:i/>
          <w:szCs w:val="24"/>
        </w:rPr>
        <w:t>j</w:t>
      </w:r>
      <w:r>
        <w:rPr>
          <w:szCs w:val="24"/>
        </w:rPr>
        <w:t xml:space="preserve"> by individual </w:t>
      </w:r>
      <w:proofErr w:type="spellStart"/>
      <w:r w:rsidRPr="00B303AB">
        <w:rPr>
          <w:i/>
          <w:szCs w:val="24"/>
        </w:rPr>
        <w:t>i</w:t>
      </w:r>
      <w:proofErr w:type="spellEnd"/>
      <w:r>
        <w:rPr>
          <w:szCs w:val="24"/>
        </w:rPr>
        <w:t xml:space="preserve"> on day </w:t>
      </w:r>
      <w:r w:rsidRPr="00B303AB">
        <w:rPr>
          <w:i/>
          <w:szCs w:val="24"/>
        </w:rPr>
        <w:t>t</w:t>
      </w:r>
      <w:r>
        <w:rPr>
          <w:szCs w:val="24"/>
        </w:rPr>
        <w:t xml:space="preserve">, </w:t>
      </w:r>
      <w:proofErr w:type="spellStart"/>
      <w:r w:rsidRPr="00B303AB">
        <w:rPr>
          <w:i/>
          <w:szCs w:val="24"/>
        </w:rPr>
        <w:t>df</w:t>
      </w:r>
      <w:r>
        <w:rPr>
          <w:i/>
          <w:szCs w:val="24"/>
          <w:vertAlign w:val="subscript"/>
        </w:rPr>
        <w:t>ij</w:t>
      </w:r>
      <w:proofErr w:type="spellEnd"/>
      <w:r>
        <w:rPr>
          <w:szCs w:val="24"/>
        </w:rPr>
        <w:t xml:space="preserve"> is the daily frequency of type of care </w:t>
      </w:r>
      <w:r w:rsidRPr="00B303AB">
        <w:rPr>
          <w:i/>
          <w:szCs w:val="24"/>
        </w:rPr>
        <w:t>j</w:t>
      </w:r>
      <w:r>
        <w:rPr>
          <w:szCs w:val="24"/>
        </w:rPr>
        <w:t xml:space="preserve"> for individual </w:t>
      </w:r>
      <w:proofErr w:type="spellStart"/>
      <w:r>
        <w:rPr>
          <w:i/>
          <w:szCs w:val="24"/>
        </w:rPr>
        <w:t>i</w:t>
      </w:r>
      <w:proofErr w:type="spellEnd"/>
      <w:r>
        <w:rPr>
          <w:szCs w:val="24"/>
        </w:rPr>
        <w:t xml:space="preserve">, </w:t>
      </w:r>
      <w:proofErr w:type="spellStart"/>
      <w:r w:rsidRPr="00B63DFD">
        <w:rPr>
          <w:i/>
          <w:szCs w:val="24"/>
        </w:rPr>
        <w:t>CV</w:t>
      </w:r>
      <w:r w:rsidRPr="00B63DFD">
        <w:rPr>
          <w:i/>
          <w:szCs w:val="24"/>
          <w:vertAlign w:val="subscript"/>
        </w:rPr>
        <w:t>m</w:t>
      </w:r>
      <w:proofErr w:type="spellEnd"/>
      <w:r>
        <w:rPr>
          <w:szCs w:val="24"/>
        </w:rPr>
        <w:t xml:space="preserve"> is the conversion factor that is needed to translate the product in parentheses into the appropriate units for the cost calculation.  For example, in the case of calculating the dollar value of time spent during interactions related to ostomy care, the total number of </w:t>
      </w:r>
      <w:r>
        <w:rPr>
          <w:szCs w:val="24"/>
        </w:rPr>
        <w:lastRenderedPageBreak/>
        <w:t>interactions per week involving ostomy care is multiplied by the daily frequency of interactions for ostomy care multiplied by the number of minutes spent by the HCP to don and doff during a given interaction for ostomy care and then multiplied by the wage per minute.  The conversion factor for time to don and doff is the number of minutes spent by the HCP to don and doff during each interaction for ostomy care.</w:t>
      </w:r>
    </w:p>
    <w:p w:rsidR="005B055B" w:rsidRPr="00695A5C" w:rsidRDefault="005B055B" w:rsidP="00695A5C">
      <w:pPr>
        <w:spacing w:line="240" w:lineRule="auto"/>
        <w:rPr>
          <w:rFonts w:ascii="Arial" w:hAnsi="Arial" w:cs="Arial"/>
        </w:rPr>
      </w:pPr>
      <w:bookmarkStart w:id="0" w:name="_GoBack"/>
      <w:bookmarkEnd w:id="0"/>
    </w:p>
    <w:sectPr w:rsidR="005B055B" w:rsidRPr="00695A5C" w:rsidSect="00CD02C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31B"/>
    <w:rsid w:val="00076531"/>
    <w:rsid w:val="00082B1C"/>
    <w:rsid w:val="00140E39"/>
    <w:rsid w:val="002065F1"/>
    <w:rsid w:val="00282032"/>
    <w:rsid w:val="00304A38"/>
    <w:rsid w:val="00322929"/>
    <w:rsid w:val="00412DE3"/>
    <w:rsid w:val="004F52E8"/>
    <w:rsid w:val="0058264C"/>
    <w:rsid w:val="005B055B"/>
    <w:rsid w:val="005E094B"/>
    <w:rsid w:val="0063289F"/>
    <w:rsid w:val="00695A5C"/>
    <w:rsid w:val="00710D8C"/>
    <w:rsid w:val="00712468"/>
    <w:rsid w:val="00743612"/>
    <w:rsid w:val="007473C2"/>
    <w:rsid w:val="007913B6"/>
    <w:rsid w:val="007A48A4"/>
    <w:rsid w:val="009224CE"/>
    <w:rsid w:val="00963A24"/>
    <w:rsid w:val="009F45C9"/>
    <w:rsid w:val="00A15B0D"/>
    <w:rsid w:val="00A775A7"/>
    <w:rsid w:val="00AA05F9"/>
    <w:rsid w:val="00AD373C"/>
    <w:rsid w:val="00AD6ED9"/>
    <w:rsid w:val="00B35D14"/>
    <w:rsid w:val="00B43626"/>
    <w:rsid w:val="00BC3DC6"/>
    <w:rsid w:val="00C93387"/>
    <w:rsid w:val="00D12C0A"/>
    <w:rsid w:val="00D1493F"/>
    <w:rsid w:val="00D51544"/>
    <w:rsid w:val="00E064F3"/>
    <w:rsid w:val="00E41914"/>
    <w:rsid w:val="00E571A7"/>
    <w:rsid w:val="00E6231B"/>
    <w:rsid w:val="00E67CAA"/>
    <w:rsid w:val="00EB1559"/>
    <w:rsid w:val="00EF4C88"/>
    <w:rsid w:val="00F63EAB"/>
    <w:rsid w:val="00F979C8"/>
    <w:rsid w:val="00FA3CBE"/>
    <w:rsid w:val="00FE1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31B"/>
    <w:pPr>
      <w:spacing w:line="36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6231B"/>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semiHidden/>
    <w:rsid w:val="00E6231B"/>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31B"/>
    <w:pPr>
      <w:spacing w:line="36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6231B"/>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semiHidden/>
    <w:rsid w:val="00E6231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UMAB</Company>
  <LinksUpToDate>false</LinksUpToDate>
  <CharactersWithSpaces>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Lydecker</dc:creator>
  <cp:lastModifiedBy>Alison Lydecker</cp:lastModifiedBy>
  <cp:revision>1</cp:revision>
  <dcterms:created xsi:type="dcterms:W3CDTF">2015-12-18T16:32:00Z</dcterms:created>
  <dcterms:modified xsi:type="dcterms:W3CDTF">2015-12-18T16:33:00Z</dcterms:modified>
</cp:coreProperties>
</file>