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37" w:rsidRDefault="00626190">
      <w:pPr>
        <w:rPr>
          <w:b/>
        </w:rPr>
      </w:pPr>
      <w:r w:rsidRPr="00814E22">
        <w:rPr>
          <w:b/>
        </w:rPr>
        <w:t xml:space="preserve">APPENDIX </w:t>
      </w:r>
    </w:p>
    <w:p w:rsidR="00E71CD0" w:rsidRDefault="00E71CD0">
      <w:pPr>
        <w:rPr>
          <w:b/>
        </w:rPr>
      </w:pPr>
    </w:p>
    <w:p w:rsidR="00E71CD0" w:rsidRDefault="00E71CD0" w:rsidP="00E71CD0">
      <w:pPr>
        <w:rPr>
          <w:b/>
        </w:rPr>
      </w:pPr>
      <w:proofErr w:type="gramStart"/>
      <w:r w:rsidRPr="00C022B3">
        <w:rPr>
          <w:b/>
        </w:rPr>
        <w:t>Appendix 1.</w:t>
      </w:r>
      <w:proofErr w:type="gramEnd"/>
      <w:r w:rsidRPr="00C022B3">
        <w:rPr>
          <w:b/>
        </w:rPr>
        <w:t xml:space="preserve"> Algorithm for the classification of the study cohort: patients with recurrent </w:t>
      </w:r>
      <w:r w:rsidRPr="00C022B3">
        <w:rPr>
          <w:b/>
          <w:i/>
        </w:rPr>
        <w:t>C. difficile</w:t>
      </w:r>
      <w:r w:rsidRPr="00C022B3">
        <w:rPr>
          <w:b/>
        </w:rPr>
        <w:t xml:space="preserve"> infection (CDI)</w:t>
      </w:r>
      <w:r w:rsidR="006D2069">
        <w:rPr>
          <w:b/>
        </w:rPr>
        <w:t xml:space="preserve"> (Group I)</w:t>
      </w:r>
      <w:r w:rsidRPr="00C022B3">
        <w:rPr>
          <w:b/>
        </w:rPr>
        <w:t>, non-recurrent CDI</w:t>
      </w:r>
      <w:r w:rsidR="006D2069">
        <w:rPr>
          <w:b/>
        </w:rPr>
        <w:t xml:space="preserve"> (Group II)</w:t>
      </w:r>
      <w:r w:rsidRPr="00C022B3">
        <w:rPr>
          <w:b/>
        </w:rPr>
        <w:t>, and no CDI</w:t>
      </w:r>
      <w:r w:rsidR="006D2069">
        <w:rPr>
          <w:b/>
        </w:rPr>
        <w:t xml:space="preserve"> (Group III)</w:t>
      </w:r>
      <w:r w:rsidRPr="00C022B3">
        <w:rPr>
          <w:b/>
        </w:rPr>
        <w:t xml:space="preserve">. </w:t>
      </w:r>
    </w:p>
    <w:p w:rsidR="00E71CD0" w:rsidRPr="001A4621" w:rsidRDefault="00E71CD0" w:rsidP="00E71CD0"/>
    <w:p w:rsidR="00E71CD0" w:rsidRPr="00C022B3" w:rsidRDefault="006D2069" w:rsidP="00E71CD0">
      <w:pPr>
        <w:rPr>
          <w:b/>
        </w:rPr>
      </w:pPr>
      <w:r>
        <w:object w:dxaOrig="7885" w:dyaOrig="8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422.25pt" o:ole="">
            <v:imagedata r:id="rId7" o:title=""/>
          </v:shape>
          <o:OLEObject Type="Embed" ProgID="Visio.Drawing.11" ShapeID="_x0000_i1025" DrawAspect="Content" ObjectID="_1531829637" r:id="rId8"/>
        </w:object>
      </w:r>
    </w:p>
    <w:p w:rsidR="00E71CD0" w:rsidRPr="000F4290" w:rsidRDefault="00C50497" w:rsidP="00C97356">
      <w:pPr>
        <w:pStyle w:val="NoSpacing"/>
        <w:spacing w:line="480" w:lineRule="auto"/>
        <w:jc w:val="center"/>
      </w:pPr>
      <w:r>
        <w:object w:dxaOrig="9443" w:dyaOrig="9565">
          <v:shape id="_x0000_i1026" type="#_x0000_t75" style="width:497.25pt;height:502.5pt" o:ole="">
            <v:imagedata r:id="rId9" o:title=""/>
          </v:shape>
          <o:OLEObject Type="Embed" ProgID="Visio.Drawing.11" ShapeID="_x0000_i1026" DrawAspect="Content" ObjectID="_1531829638" r:id="rId10"/>
        </w:object>
      </w:r>
    </w:p>
    <w:p w:rsidR="00E71CD0" w:rsidRPr="00814E22" w:rsidRDefault="00E71CD0">
      <w:pPr>
        <w:rPr>
          <w:b/>
        </w:rPr>
      </w:pPr>
    </w:p>
    <w:p w:rsidR="00626190" w:rsidRDefault="00626190"/>
    <w:p w:rsidR="00E71CD0" w:rsidRDefault="00E71CD0"/>
    <w:p w:rsidR="00E71CD0" w:rsidRDefault="00E71CD0"/>
    <w:p w:rsidR="00E71CD0" w:rsidRDefault="00E71CD0"/>
    <w:p w:rsidR="00E71CD0" w:rsidRDefault="00E71CD0">
      <w:pPr>
        <w:sectPr w:rsidR="00E71CD0" w:rsidSect="00E71CD0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6190" w:rsidRPr="009C0477" w:rsidRDefault="009C0477">
      <w:pPr>
        <w:rPr>
          <w:b/>
        </w:rPr>
      </w:pPr>
      <w:r w:rsidRPr="009C0477">
        <w:rPr>
          <w:b/>
        </w:rPr>
        <w:lastRenderedPageBreak/>
        <w:t xml:space="preserve">APPENDIX 2: </w:t>
      </w:r>
      <w:r w:rsidR="005A0CD0">
        <w:rPr>
          <w:b/>
        </w:rPr>
        <w:t>Sensitivity analysis using 14 – 85 d</w:t>
      </w:r>
      <w:r w:rsidR="005A0CD0" w:rsidRPr="009C0477">
        <w:rPr>
          <w:b/>
        </w:rPr>
        <w:t>ay</w:t>
      </w:r>
      <w:r w:rsidR="005A0CD0">
        <w:rPr>
          <w:b/>
        </w:rPr>
        <w:t xml:space="preserve"> recurrent CDI timeframe</w:t>
      </w:r>
    </w:p>
    <w:p w:rsidR="00814E22" w:rsidRDefault="00814E22"/>
    <w:p w:rsidR="00814E22" w:rsidRPr="00814E22" w:rsidRDefault="00814E22" w:rsidP="005A0CD0">
      <w:pPr>
        <w:ind w:left="720"/>
      </w:pPr>
      <w:r>
        <w:t>This sensitivity analysis considers recurrent CDI that occurs within 14 – 85 days after T</w:t>
      </w:r>
      <w:r>
        <w:rPr>
          <w:vertAlign w:val="subscript"/>
        </w:rPr>
        <w:t>0</w:t>
      </w:r>
      <w:r>
        <w:t xml:space="preserve">. </w:t>
      </w:r>
    </w:p>
    <w:p w:rsidR="00626190" w:rsidRDefault="00626190"/>
    <w:p w:rsidR="00626190" w:rsidRDefault="00626190">
      <w:proofErr w:type="gramStart"/>
      <w:r w:rsidRPr="00625A62">
        <w:rPr>
          <w:b/>
        </w:rPr>
        <w:t>Table 2.1.</w:t>
      </w:r>
      <w:proofErr w:type="gramEnd"/>
      <w:r>
        <w:t xml:space="preserve"> Baseline characteristics of recurrent CDI patients</w:t>
      </w:r>
      <w:r w:rsidR="004E5013">
        <w:t xml:space="preserve"> (Group 1)</w:t>
      </w:r>
      <w:r>
        <w:t>, non-recurrent CDI patients</w:t>
      </w:r>
      <w:r w:rsidR="004E5013">
        <w:t xml:space="preserve"> (Group II)</w:t>
      </w:r>
      <w:r>
        <w:t>, and patients without CDI</w:t>
      </w:r>
      <w:r w:rsidR="004E5013">
        <w:t xml:space="preserve"> (Group III)</w:t>
      </w:r>
      <w:r>
        <w:t>, prior to and after matching</w:t>
      </w:r>
      <w:r w:rsidR="004E5013">
        <w:t>.</w:t>
      </w:r>
    </w:p>
    <w:p w:rsidR="00626190" w:rsidRDefault="00626190"/>
    <w:p w:rsidR="00626190" w:rsidRDefault="00F36086">
      <w:r w:rsidRPr="00F36086">
        <w:rPr>
          <w:noProof/>
        </w:rPr>
        <w:drawing>
          <wp:inline distT="0" distB="0" distL="0" distR="0" wp14:anchorId="03EBAE56" wp14:editId="038BBB0A">
            <wp:extent cx="8229600" cy="36628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66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90" w:rsidRDefault="00626190"/>
    <w:p w:rsidR="00F36086" w:rsidRPr="00F10FD2" w:rsidRDefault="00F36086" w:rsidP="00F3608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vertAlign w:val="superscript"/>
        </w:rPr>
        <w:t xml:space="preserve">1 </w:t>
      </w:r>
      <w:r>
        <w:rPr>
          <w:rFonts w:cs="Arial"/>
        </w:rPr>
        <w:t>Patients were matched on age at the start of their enrollment period (EP). This does not reflect the mean age of matched patients at their T</w:t>
      </w:r>
      <w:r w:rsidRPr="00F10FD2">
        <w:rPr>
          <w:rFonts w:cs="Arial"/>
          <w:vertAlign w:val="subscript"/>
        </w:rPr>
        <w:t>0</w:t>
      </w:r>
      <w:r>
        <w:rPr>
          <w:rFonts w:cs="Arial"/>
        </w:rPr>
        <w:t>. See text and appendix for more details on the EP.</w:t>
      </w:r>
    </w:p>
    <w:p w:rsidR="00F36086" w:rsidRDefault="00F36086" w:rsidP="00BA375B">
      <w:pPr>
        <w:autoSpaceDE w:val="0"/>
        <w:autoSpaceDN w:val="0"/>
        <w:adjustRightInd w:val="0"/>
        <w:rPr>
          <w:rFonts w:cs="Arial"/>
          <w:vertAlign w:val="superscript"/>
        </w:rPr>
      </w:pPr>
    </w:p>
    <w:p w:rsidR="00BA375B" w:rsidRPr="002D2E67" w:rsidRDefault="00F36086" w:rsidP="00BA375B">
      <w:pPr>
        <w:autoSpaceDE w:val="0"/>
        <w:autoSpaceDN w:val="0"/>
        <w:adjustRightInd w:val="0"/>
        <w:rPr>
          <w:rFonts w:cs="Arial"/>
          <w:vertAlign w:val="subscript"/>
        </w:rPr>
      </w:pPr>
      <w:r>
        <w:rPr>
          <w:rFonts w:cs="Arial"/>
          <w:vertAlign w:val="superscript"/>
        </w:rPr>
        <w:t>2</w:t>
      </w:r>
      <w:r w:rsidR="00BA375B">
        <w:rPr>
          <w:rFonts w:cs="Arial"/>
          <w:vertAlign w:val="superscript"/>
        </w:rPr>
        <w:t xml:space="preserve"> </w:t>
      </w:r>
      <w:r w:rsidR="00BA375B" w:rsidRPr="002D2E67">
        <w:rPr>
          <w:rFonts w:cs="Arial"/>
          <w:b/>
          <w:i/>
        </w:rPr>
        <w:t>Co</w:t>
      </w:r>
      <w:r w:rsidR="00BA375B" w:rsidRPr="00AA708E">
        <w:rPr>
          <w:rFonts w:cs="Arial"/>
        </w:rPr>
        <w:t xml:space="preserve">morbidity </w:t>
      </w:r>
      <w:r w:rsidR="00BA375B" w:rsidRPr="002D2E67">
        <w:rPr>
          <w:rFonts w:cs="Arial"/>
          <w:b/>
          <w:i/>
        </w:rPr>
        <w:t>P</w:t>
      </w:r>
      <w:r w:rsidR="00BA375B" w:rsidRPr="00AA708E">
        <w:rPr>
          <w:rFonts w:cs="Arial"/>
        </w:rPr>
        <w:t xml:space="preserve">oint </w:t>
      </w:r>
      <w:r w:rsidR="00BA375B" w:rsidRPr="002D2E67">
        <w:rPr>
          <w:rFonts w:cs="Arial"/>
          <w:b/>
          <w:i/>
        </w:rPr>
        <w:t>S</w:t>
      </w:r>
      <w:r w:rsidR="00BA375B">
        <w:rPr>
          <w:rFonts w:cs="Arial"/>
        </w:rPr>
        <w:t>core (COPS) quantifies patients’ comorbid illness burden based on patient’s preexisting diagnosis over the 12-month period preceding hospitalization</w:t>
      </w:r>
      <w:r w:rsidR="00BA375B" w:rsidRPr="007E264D">
        <w:rPr>
          <w:rFonts w:cs="Arial"/>
        </w:rPr>
        <w:t>. For purposes of this study, COPS was calculated using preexisting diagnosis over the 12-month preceding T</w:t>
      </w:r>
      <w:r w:rsidR="00BA375B" w:rsidRPr="007E264D">
        <w:rPr>
          <w:rFonts w:cs="Arial"/>
          <w:vertAlign w:val="subscript"/>
        </w:rPr>
        <w:t xml:space="preserve">0 </w:t>
      </w:r>
      <w:r w:rsidR="00BA375B" w:rsidRPr="007E264D">
        <w:rPr>
          <w:rFonts w:cs="Arial"/>
        </w:rPr>
        <w:t>.</w:t>
      </w:r>
      <w:r w:rsidR="00BA375B" w:rsidRPr="00AA708E">
        <w:rPr>
          <w:rFonts w:cs="Arial"/>
        </w:rPr>
        <w:t>The unadjusted relationship of COPS and mo</w:t>
      </w:r>
      <w:r w:rsidR="00BA375B">
        <w:rPr>
          <w:rFonts w:cs="Arial"/>
        </w:rPr>
        <w:t>rtality is as follows: a COPS &lt;</w:t>
      </w:r>
      <w:r w:rsidR="00BA375B" w:rsidRPr="00AA708E">
        <w:rPr>
          <w:rFonts w:cs="Arial"/>
        </w:rPr>
        <w:t>50 is associated w</w:t>
      </w:r>
      <w:r w:rsidR="00BA375B">
        <w:rPr>
          <w:rFonts w:cs="Arial"/>
        </w:rPr>
        <w:t xml:space="preserve">ith a mortality risk </w:t>
      </w:r>
      <w:r w:rsidR="00BA375B">
        <w:rPr>
          <w:rFonts w:cs="Arial"/>
        </w:rPr>
        <w:lastRenderedPageBreak/>
        <w:t>of &lt;1%, &lt;</w:t>
      </w:r>
      <w:r w:rsidR="00BA375B" w:rsidRPr="00AA708E">
        <w:rPr>
          <w:rFonts w:cs="Arial"/>
        </w:rPr>
        <w:t xml:space="preserve">100 with </w:t>
      </w:r>
      <w:r w:rsidR="00BA375B">
        <w:rPr>
          <w:rFonts w:cs="Arial"/>
        </w:rPr>
        <w:t>a mortality risk of &lt;5%, and &gt;</w:t>
      </w:r>
      <w:r w:rsidR="00BA375B" w:rsidRPr="00AA708E">
        <w:rPr>
          <w:rFonts w:cs="Arial"/>
        </w:rPr>
        <w:t>145 with a mortality risk of 10% or more.  See text and reference</w:t>
      </w:r>
      <w:r w:rsidR="00BA375B">
        <w:rPr>
          <w:rFonts w:cs="Arial"/>
        </w:rPr>
        <w:t>s</w:t>
      </w:r>
      <w:r w:rsidR="00BA375B" w:rsidRPr="00AA708E">
        <w:rPr>
          <w:rFonts w:cs="Arial"/>
        </w:rPr>
        <w:t xml:space="preserve"> </w:t>
      </w:r>
      <w:r w:rsidR="00BA375B">
        <w:rPr>
          <w:rFonts w:cs="Arial"/>
        </w:rPr>
        <w:t>3</w:t>
      </w:r>
      <w:r w:rsidR="00BA375B" w:rsidRPr="00AA708E">
        <w:rPr>
          <w:rFonts w:cs="Arial"/>
        </w:rPr>
        <w:t xml:space="preserve"> and </w:t>
      </w:r>
      <w:r w:rsidR="00BA375B">
        <w:rPr>
          <w:rFonts w:cs="Arial"/>
        </w:rPr>
        <w:t>4</w:t>
      </w:r>
      <w:r w:rsidR="00BA375B" w:rsidRPr="00AA708E">
        <w:rPr>
          <w:rFonts w:cs="Arial"/>
        </w:rPr>
        <w:t xml:space="preserve"> for additional details.</w:t>
      </w:r>
    </w:p>
    <w:p w:rsidR="00F81DA0" w:rsidRDefault="00F81DA0"/>
    <w:p w:rsidR="00F81DA0" w:rsidRDefault="00F81DA0"/>
    <w:p w:rsidR="00626190" w:rsidRDefault="00626190">
      <w:proofErr w:type="gramStart"/>
      <w:r w:rsidRPr="00E85508">
        <w:rPr>
          <w:b/>
        </w:rPr>
        <w:t>Table 2.2.</w:t>
      </w:r>
      <w:proofErr w:type="gramEnd"/>
      <w:r>
        <w:t xml:space="preserve"> Demographic and unadjusted utilization rates for cases and corresponding controls </w:t>
      </w:r>
    </w:p>
    <w:p w:rsidR="00BA375B" w:rsidRDefault="00BA375B"/>
    <w:p w:rsidR="00626190" w:rsidRDefault="00E85508">
      <w:r w:rsidRPr="00E85508">
        <w:rPr>
          <w:noProof/>
        </w:rPr>
        <w:drawing>
          <wp:inline distT="0" distB="0" distL="0" distR="0" wp14:anchorId="2DEC8961" wp14:editId="665F259A">
            <wp:extent cx="8229600" cy="244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90" w:rsidRDefault="00626190"/>
    <w:p w:rsidR="00626190" w:rsidRDefault="00626190"/>
    <w:p w:rsidR="00BA375B" w:rsidRPr="002D2E67" w:rsidRDefault="00BA375B" w:rsidP="00BA375B">
      <w:pPr>
        <w:autoSpaceDE w:val="0"/>
        <w:autoSpaceDN w:val="0"/>
        <w:adjustRightInd w:val="0"/>
        <w:rPr>
          <w:rFonts w:cs="Arial"/>
          <w:vertAlign w:val="subscript"/>
        </w:rPr>
      </w:pPr>
      <w:r>
        <w:rPr>
          <w:rFonts w:cs="Arial"/>
          <w:vertAlign w:val="superscript"/>
        </w:rPr>
        <w:t xml:space="preserve">1 </w:t>
      </w:r>
      <w:r w:rsidRPr="002D2E67">
        <w:rPr>
          <w:rFonts w:cs="Arial"/>
          <w:b/>
          <w:i/>
        </w:rPr>
        <w:t>Co</w:t>
      </w:r>
      <w:r w:rsidRPr="00AA708E">
        <w:rPr>
          <w:rFonts w:cs="Arial"/>
        </w:rPr>
        <w:t xml:space="preserve">morbidity </w:t>
      </w:r>
      <w:r w:rsidRPr="002D2E67">
        <w:rPr>
          <w:rFonts w:cs="Arial"/>
          <w:b/>
          <w:i/>
        </w:rPr>
        <w:t>P</w:t>
      </w:r>
      <w:r w:rsidRPr="00AA708E">
        <w:rPr>
          <w:rFonts w:cs="Arial"/>
        </w:rPr>
        <w:t xml:space="preserve">oint </w:t>
      </w:r>
      <w:r w:rsidRPr="002D2E67">
        <w:rPr>
          <w:rFonts w:cs="Arial"/>
          <w:b/>
          <w:i/>
        </w:rPr>
        <w:t>S</w:t>
      </w:r>
      <w:r>
        <w:rPr>
          <w:rFonts w:cs="Arial"/>
        </w:rPr>
        <w:t>core (COPS) quantifies patients’ comorbid illness burden based on patient’s preexisting diagnosis over the 12-month period preceding hospitalization</w:t>
      </w:r>
      <w:r w:rsidRPr="007E264D">
        <w:rPr>
          <w:rFonts w:cs="Arial"/>
        </w:rPr>
        <w:t>. For purposes of this study, COPS was calculated using preexisting diagnosis over the 12-month preceding T</w:t>
      </w:r>
      <w:r w:rsidRPr="007E264D">
        <w:rPr>
          <w:rFonts w:cs="Arial"/>
          <w:vertAlign w:val="subscript"/>
        </w:rPr>
        <w:t xml:space="preserve">0 </w:t>
      </w:r>
      <w:r w:rsidRPr="007E264D">
        <w:rPr>
          <w:rFonts w:cs="Arial"/>
        </w:rPr>
        <w:t>.</w:t>
      </w:r>
      <w:r w:rsidRPr="00AA708E">
        <w:rPr>
          <w:rFonts w:cs="Arial"/>
        </w:rPr>
        <w:t>The unadjusted relationship of COPS and mo</w:t>
      </w:r>
      <w:r>
        <w:rPr>
          <w:rFonts w:cs="Arial"/>
        </w:rPr>
        <w:t>rtality is as follows: a COPS &lt;</w:t>
      </w:r>
      <w:r w:rsidRPr="00AA708E">
        <w:rPr>
          <w:rFonts w:cs="Arial"/>
        </w:rPr>
        <w:t>50 is associated w</w:t>
      </w:r>
      <w:r>
        <w:rPr>
          <w:rFonts w:cs="Arial"/>
        </w:rPr>
        <w:t>ith a mortality risk of &lt;1%, &lt;</w:t>
      </w:r>
      <w:r w:rsidRPr="00AA708E">
        <w:rPr>
          <w:rFonts w:cs="Arial"/>
        </w:rPr>
        <w:t xml:space="preserve">100 with </w:t>
      </w:r>
      <w:r>
        <w:rPr>
          <w:rFonts w:cs="Arial"/>
        </w:rPr>
        <w:t>a mortality risk of &lt;5%, and &gt;</w:t>
      </w:r>
      <w:r w:rsidRPr="00AA708E">
        <w:rPr>
          <w:rFonts w:cs="Arial"/>
        </w:rPr>
        <w:t>145 with a mortality risk of 10% or more.  See text and reference</w:t>
      </w:r>
      <w:r>
        <w:rPr>
          <w:rFonts w:cs="Arial"/>
        </w:rPr>
        <w:t>s</w:t>
      </w:r>
      <w:r w:rsidRPr="00AA708E">
        <w:rPr>
          <w:rFonts w:cs="Arial"/>
        </w:rPr>
        <w:t xml:space="preserve"> </w:t>
      </w:r>
      <w:r>
        <w:rPr>
          <w:rFonts w:cs="Arial"/>
        </w:rPr>
        <w:t>3</w:t>
      </w:r>
      <w:r w:rsidRPr="00AA708E">
        <w:rPr>
          <w:rFonts w:cs="Arial"/>
        </w:rPr>
        <w:t xml:space="preserve"> and </w:t>
      </w:r>
      <w:r>
        <w:rPr>
          <w:rFonts w:cs="Arial"/>
        </w:rPr>
        <w:t>4</w:t>
      </w:r>
      <w:r w:rsidRPr="00AA708E">
        <w:rPr>
          <w:rFonts w:cs="Arial"/>
        </w:rPr>
        <w:t xml:space="preserve"> for additional details.</w:t>
      </w:r>
    </w:p>
    <w:p w:rsidR="00525818" w:rsidRDefault="00525818"/>
    <w:p w:rsidR="00BA375B" w:rsidRDefault="00BA375B"/>
    <w:p w:rsidR="00BA375B" w:rsidRDefault="00BA375B"/>
    <w:p w:rsidR="00BA375B" w:rsidRDefault="00BA375B"/>
    <w:p w:rsidR="00BA375B" w:rsidRDefault="00BA375B"/>
    <w:p w:rsidR="00525818" w:rsidRDefault="00525818"/>
    <w:p w:rsidR="00525818" w:rsidRDefault="00525818"/>
    <w:p w:rsidR="00525818" w:rsidRDefault="00525818"/>
    <w:p w:rsidR="00954AFA" w:rsidRDefault="00954AFA"/>
    <w:p w:rsidR="00954AFA" w:rsidRDefault="00954AFA"/>
    <w:p w:rsidR="00525818" w:rsidRDefault="00525818"/>
    <w:p w:rsidR="00525818" w:rsidRDefault="00525818">
      <w:proofErr w:type="gramStart"/>
      <w:r w:rsidRPr="00E85508">
        <w:rPr>
          <w:b/>
        </w:rPr>
        <w:t>Table 2.3.</w:t>
      </w:r>
      <w:proofErr w:type="gramEnd"/>
      <w:r>
        <w:t xml:space="preserve"> </w:t>
      </w:r>
      <w:proofErr w:type="gramStart"/>
      <w:r>
        <w:t xml:space="preserve">Relative risk for healthcare utilization and mortality and adjusted excess healthcare utilization and mortality among </w:t>
      </w:r>
      <w:proofErr w:type="spellStart"/>
      <w:r>
        <w:t>rCDI</w:t>
      </w:r>
      <w:proofErr w:type="spellEnd"/>
      <w:r>
        <w:t xml:space="preserve"> patients, non-recurrent CDI patients, and patients without CDI.</w:t>
      </w:r>
      <w:proofErr w:type="gramEnd"/>
    </w:p>
    <w:p w:rsidR="00455A2A" w:rsidRDefault="00455A2A"/>
    <w:p w:rsidR="00525818" w:rsidRDefault="00AD489E">
      <w:r w:rsidRPr="00AD489E">
        <w:rPr>
          <w:noProof/>
        </w:rPr>
        <w:drawing>
          <wp:inline distT="0" distB="0" distL="0" distR="0" wp14:anchorId="19AC5DC3" wp14:editId="0495CD5F">
            <wp:extent cx="8229600" cy="178690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78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18" w:rsidRDefault="00525818"/>
    <w:p w:rsidR="00626190" w:rsidRDefault="00626190"/>
    <w:p w:rsidR="00BA375B" w:rsidRDefault="00BA375B" w:rsidP="00BA375B">
      <w:r>
        <w:rPr>
          <w:vertAlign w:val="superscript"/>
        </w:rPr>
        <w:t>1</w:t>
      </w:r>
      <w:r>
        <w:t xml:space="preserve">The rate of utilization patients have in one group relative to patients in another group (e.g. when matched, patients </w:t>
      </w:r>
      <w:r w:rsidR="003454CE">
        <w:t>in Group I have a 49</w:t>
      </w:r>
      <w:r>
        <w:t>% higher rate</w:t>
      </w:r>
      <w:r w:rsidR="003454CE">
        <w:t xml:space="preserve"> of ED visit than patients in Group III</w:t>
      </w:r>
      <w:r>
        <w:t>).</w:t>
      </w:r>
    </w:p>
    <w:p w:rsidR="00BA375B" w:rsidRDefault="00BA375B" w:rsidP="00BA375B"/>
    <w:p w:rsidR="00BA375B" w:rsidRDefault="00BA375B" w:rsidP="00BA375B">
      <w:r>
        <w:rPr>
          <w:vertAlign w:val="superscript"/>
        </w:rPr>
        <w:t>2</w:t>
      </w:r>
      <w:r>
        <w:t>Impact of outcomes refers to the excess amount of ED visits, hospital days, ICU days, or deaths one group of patients’ experiences over one year following T</w:t>
      </w:r>
      <w:r w:rsidRPr="00BA375B">
        <w:rPr>
          <w:vertAlign w:val="subscript"/>
        </w:rPr>
        <w:t>0</w:t>
      </w:r>
      <w:r>
        <w:t xml:space="preserve"> compared to its matched group of patients. </w:t>
      </w:r>
    </w:p>
    <w:p w:rsidR="00BA375B" w:rsidRDefault="00BA375B" w:rsidP="00BA375B"/>
    <w:p w:rsidR="00626190" w:rsidRDefault="00EC3D41" w:rsidP="00BA375B">
      <w:r>
        <w:t>*</w:t>
      </w:r>
      <w:r w:rsidR="00BA375B">
        <w:t>All values show p-value &lt;.0001 except where noted by a "*"</w:t>
      </w:r>
    </w:p>
    <w:p w:rsidR="00BE29A4" w:rsidRDefault="00BE29A4"/>
    <w:p w:rsidR="00E71CD0" w:rsidRDefault="00E71CD0">
      <w:pPr>
        <w:sectPr w:rsidR="00E71CD0" w:rsidSect="00E71CD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70B99" w:rsidRPr="00E2642D" w:rsidRDefault="00570B99">
      <w:pPr>
        <w:rPr>
          <w:b/>
        </w:rPr>
      </w:pPr>
      <w:r w:rsidRPr="00E2642D">
        <w:rPr>
          <w:b/>
        </w:rPr>
        <w:lastRenderedPageBreak/>
        <w:t>Appendix 2.4 Figure for cohort selection</w:t>
      </w:r>
    </w:p>
    <w:p w:rsidR="00570B99" w:rsidRDefault="00570B99"/>
    <w:p w:rsidR="00BE29A4" w:rsidRDefault="00CB620D">
      <w:r>
        <w:object w:dxaOrig="8651" w:dyaOrig="12136">
          <v:shape id="_x0000_i1027" type="#_x0000_t75" style="width:432.75pt;height:606.75pt" o:ole="">
            <v:imagedata r:id="rId15" o:title=""/>
          </v:shape>
          <o:OLEObject Type="Embed" ProgID="Visio.Drawing.11" ShapeID="_x0000_i1027" DrawAspect="Content" ObjectID="_1531829639" r:id="rId16"/>
        </w:object>
      </w:r>
    </w:p>
    <w:p w:rsidR="00570B99" w:rsidRDefault="00570B99"/>
    <w:p w:rsidR="00570B99" w:rsidRDefault="00570B99">
      <w:pPr>
        <w:sectPr w:rsidR="00570B99" w:rsidSect="00570B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6190" w:rsidRPr="009C0477" w:rsidRDefault="009C0477">
      <w:pPr>
        <w:rPr>
          <w:b/>
        </w:rPr>
      </w:pPr>
      <w:r w:rsidRPr="009C0477">
        <w:rPr>
          <w:b/>
        </w:rPr>
        <w:lastRenderedPageBreak/>
        <w:t>APPENDIX 3: REFRACTORY CDI</w:t>
      </w:r>
    </w:p>
    <w:p w:rsidR="00814E22" w:rsidRDefault="00814E22"/>
    <w:p w:rsidR="00814E22" w:rsidRDefault="00814E22">
      <w:r>
        <w:tab/>
        <w:t>This sensitivity analysis includes patients with refractory recurrent CDI a</w:t>
      </w:r>
      <w:r w:rsidR="009C0477">
        <w:t>nd refractory non-recurrent CDI (</w:t>
      </w:r>
      <w:r w:rsidR="00327EB7">
        <w:t>Group I</w:t>
      </w:r>
      <w:r w:rsidR="009C0477">
        <w:t xml:space="preserve"> + </w:t>
      </w:r>
      <w:r w:rsidR="00327EB7">
        <w:t>refractory</w:t>
      </w:r>
      <w:r w:rsidR="009C0477">
        <w:t xml:space="preserve"> </w:t>
      </w:r>
      <w:proofErr w:type="spellStart"/>
      <w:r w:rsidR="009C0477">
        <w:t>rCDI</w:t>
      </w:r>
      <w:proofErr w:type="spellEnd"/>
      <w:r w:rsidR="009C0477">
        <w:t xml:space="preserve">, and </w:t>
      </w:r>
      <w:r w:rsidR="00327EB7">
        <w:t>Group II</w:t>
      </w:r>
      <w:r w:rsidR="009C0477">
        <w:t xml:space="preserve"> + refractory non-recurrent CDI).</w:t>
      </w:r>
      <w:r w:rsidR="00B70EEF">
        <w:t xml:space="preserve"> Patients with refractory CDI were identified has patients who showed as having a positive CDI tests within the 14 days following the index test. Because these patients were excluded from the primary analyses, a sensitivity analysis was conducted to include them.</w:t>
      </w:r>
    </w:p>
    <w:p w:rsidR="00992801" w:rsidRDefault="00992801"/>
    <w:p w:rsidR="00814E22" w:rsidRDefault="00814E22" w:rsidP="00814E22">
      <w:proofErr w:type="gramStart"/>
      <w:r>
        <w:t>Table 3.1.</w:t>
      </w:r>
      <w:proofErr w:type="gramEnd"/>
      <w:r>
        <w:t xml:space="preserve"> </w:t>
      </w:r>
      <w:proofErr w:type="gramStart"/>
      <w:r>
        <w:t xml:space="preserve">Baseline characteristics of recurrent CDI patients, non-recurrent CDI patients, patients without CDI, </w:t>
      </w:r>
      <w:r w:rsidR="002A68F3">
        <w:t>and inclusion</w:t>
      </w:r>
      <w:r w:rsidR="00454C1D">
        <w:t xml:space="preserve"> of refractory CDI patients </w:t>
      </w:r>
      <w:r>
        <w:t>prior to and after matching</w:t>
      </w:r>
      <w:r w:rsidR="00CE7830">
        <w:t>.</w:t>
      </w:r>
      <w:proofErr w:type="gramEnd"/>
    </w:p>
    <w:p w:rsidR="00CE7830" w:rsidRDefault="00CE7830" w:rsidP="00814E22"/>
    <w:p w:rsidR="00814E22" w:rsidRDefault="00CE7830" w:rsidP="00814E22">
      <w:r w:rsidRPr="00CE7830">
        <w:rPr>
          <w:noProof/>
        </w:rPr>
        <w:drawing>
          <wp:inline distT="0" distB="0" distL="0" distR="0" wp14:anchorId="6D6A381D" wp14:editId="1EF7A739">
            <wp:extent cx="8229600" cy="306933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06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22" w:rsidRDefault="00814E22" w:rsidP="00814E22"/>
    <w:p w:rsidR="00CE7830" w:rsidRPr="00F10FD2" w:rsidRDefault="00CE7830" w:rsidP="00CE783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vertAlign w:val="superscript"/>
        </w:rPr>
        <w:t xml:space="preserve">1 </w:t>
      </w:r>
      <w:r>
        <w:rPr>
          <w:rFonts w:cs="Arial"/>
        </w:rPr>
        <w:t>Patients were matched on age at the start of their enrollment period (EP). This does not reflect the mean age of matched patients at their T</w:t>
      </w:r>
      <w:r w:rsidRPr="00F10FD2">
        <w:rPr>
          <w:rFonts w:cs="Arial"/>
          <w:vertAlign w:val="subscript"/>
        </w:rPr>
        <w:t>0</w:t>
      </w:r>
      <w:r>
        <w:rPr>
          <w:rFonts w:cs="Arial"/>
        </w:rPr>
        <w:t>. See text and appendix for more details on the EP.</w:t>
      </w:r>
    </w:p>
    <w:p w:rsidR="00CE7830" w:rsidRDefault="00CE7830" w:rsidP="00814E22"/>
    <w:p w:rsidR="00422DB3" w:rsidRPr="002D2E67" w:rsidRDefault="00CE7830" w:rsidP="00422DB3">
      <w:pPr>
        <w:autoSpaceDE w:val="0"/>
        <w:autoSpaceDN w:val="0"/>
        <w:adjustRightInd w:val="0"/>
        <w:rPr>
          <w:rFonts w:cs="Arial"/>
          <w:vertAlign w:val="subscript"/>
        </w:rPr>
      </w:pPr>
      <w:r>
        <w:rPr>
          <w:rFonts w:cs="Arial"/>
          <w:vertAlign w:val="superscript"/>
        </w:rPr>
        <w:t>2</w:t>
      </w:r>
      <w:r w:rsidR="00422DB3">
        <w:rPr>
          <w:rFonts w:cs="Arial"/>
          <w:vertAlign w:val="superscript"/>
        </w:rPr>
        <w:t xml:space="preserve"> </w:t>
      </w:r>
      <w:r w:rsidR="00422DB3" w:rsidRPr="002D2E67">
        <w:rPr>
          <w:rFonts w:cs="Arial"/>
          <w:b/>
          <w:i/>
        </w:rPr>
        <w:t>Co</w:t>
      </w:r>
      <w:r w:rsidR="00422DB3" w:rsidRPr="00AA708E">
        <w:rPr>
          <w:rFonts w:cs="Arial"/>
        </w:rPr>
        <w:t xml:space="preserve">morbidity </w:t>
      </w:r>
      <w:r w:rsidR="00422DB3" w:rsidRPr="002D2E67">
        <w:rPr>
          <w:rFonts w:cs="Arial"/>
          <w:b/>
          <w:i/>
        </w:rPr>
        <w:t>P</w:t>
      </w:r>
      <w:r w:rsidR="00422DB3" w:rsidRPr="00AA708E">
        <w:rPr>
          <w:rFonts w:cs="Arial"/>
        </w:rPr>
        <w:t xml:space="preserve">oint </w:t>
      </w:r>
      <w:r w:rsidR="00422DB3" w:rsidRPr="002D2E67">
        <w:rPr>
          <w:rFonts w:cs="Arial"/>
          <w:b/>
          <w:i/>
        </w:rPr>
        <w:t>S</w:t>
      </w:r>
      <w:r w:rsidR="00422DB3">
        <w:rPr>
          <w:rFonts w:cs="Arial"/>
        </w:rPr>
        <w:t>core (COPS) quantifies patients’ comorbid illness burden based on patient’s preexisting diagnosis over the 12-month period preceding hospitalization</w:t>
      </w:r>
      <w:r w:rsidR="00422DB3" w:rsidRPr="007E264D">
        <w:rPr>
          <w:rFonts w:cs="Arial"/>
        </w:rPr>
        <w:t>. For purposes of this study, COPS was calculated using preexisting diagnosis over the 12-month preceding T</w:t>
      </w:r>
      <w:r w:rsidR="00422DB3" w:rsidRPr="007E264D">
        <w:rPr>
          <w:rFonts w:cs="Arial"/>
          <w:vertAlign w:val="subscript"/>
        </w:rPr>
        <w:t xml:space="preserve">0 </w:t>
      </w:r>
      <w:r w:rsidR="00422DB3" w:rsidRPr="007E264D">
        <w:rPr>
          <w:rFonts w:cs="Arial"/>
        </w:rPr>
        <w:t>.</w:t>
      </w:r>
      <w:r w:rsidR="00422DB3" w:rsidRPr="00AA708E">
        <w:rPr>
          <w:rFonts w:cs="Arial"/>
        </w:rPr>
        <w:t>The unadjusted relationship of COPS and mo</w:t>
      </w:r>
      <w:r w:rsidR="00422DB3">
        <w:rPr>
          <w:rFonts w:cs="Arial"/>
        </w:rPr>
        <w:t>rtality is as follows: a COPS &lt;</w:t>
      </w:r>
      <w:r w:rsidR="00422DB3" w:rsidRPr="00AA708E">
        <w:rPr>
          <w:rFonts w:cs="Arial"/>
        </w:rPr>
        <w:t>50 is associated w</w:t>
      </w:r>
      <w:r w:rsidR="00422DB3">
        <w:rPr>
          <w:rFonts w:cs="Arial"/>
        </w:rPr>
        <w:t xml:space="preserve">ith a mortality risk </w:t>
      </w:r>
      <w:r w:rsidR="00422DB3">
        <w:rPr>
          <w:rFonts w:cs="Arial"/>
        </w:rPr>
        <w:lastRenderedPageBreak/>
        <w:t>of &lt;1%, &lt;</w:t>
      </w:r>
      <w:r w:rsidR="00422DB3" w:rsidRPr="00AA708E">
        <w:rPr>
          <w:rFonts w:cs="Arial"/>
        </w:rPr>
        <w:t xml:space="preserve">100 with </w:t>
      </w:r>
      <w:r w:rsidR="00422DB3">
        <w:rPr>
          <w:rFonts w:cs="Arial"/>
        </w:rPr>
        <w:t>a mortality risk of &lt;5%, and &gt;</w:t>
      </w:r>
      <w:r w:rsidR="00422DB3" w:rsidRPr="00AA708E">
        <w:rPr>
          <w:rFonts w:cs="Arial"/>
        </w:rPr>
        <w:t>145 with a mortality risk of 10% or more.  See text and reference</w:t>
      </w:r>
      <w:r w:rsidR="00422DB3">
        <w:rPr>
          <w:rFonts w:cs="Arial"/>
        </w:rPr>
        <w:t>s</w:t>
      </w:r>
      <w:r w:rsidR="00422DB3" w:rsidRPr="00AA708E">
        <w:rPr>
          <w:rFonts w:cs="Arial"/>
        </w:rPr>
        <w:t xml:space="preserve"> </w:t>
      </w:r>
      <w:r w:rsidR="00422DB3">
        <w:rPr>
          <w:rFonts w:cs="Arial"/>
        </w:rPr>
        <w:t>3</w:t>
      </w:r>
      <w:r w:rsidR="00422DB3" w:rsidRPr="00AA708E">
        <w:rPr>
          <w:rFonts w:cs="Arial"/>
        </w:rPr>
        <w:t xml:space="preserve"> and </w:t>
      </w:r>
      <w:r w:rsidR="00422DB3">
        <w:rPr>
          <w:rFonts w:cs="Arial"/>
        </w:rPr>
        <w:t>4</w:t>
      </w:r>
      <w:r w:rsidR="00422DB3" w:rsidRPr="00AA708E">
        <w:rPr>
          <w:rFonts w:cs="Arial"/>
        </w:rPr>
        <w:t xml:space="preserve"> for additional details.</w:t>
      </w:r>
    </w:p>
    <w:p w:rsidR="00422DB3" w:rsidRDefault="00422DB3" w:rsidP="00814E22"/>
    <w:p w:rsidR="00814E22" w:rsidRDefault="00814E22" w:rsidP="00814E22">
      <w:proofErr w:type="gramStart"/>
      <w:r w:rsidRPr="002F63DA">
        <w:rPr>
          <w:b/>
        </w:rPr>
        <w:t>Table 3.2.</w:t>
      </w:r>
      <w:proofErr w:type="gramEnd"/>
      <w:r>
        <w:t xml:space="preserve"> Demographic and unadjusted utilization rates for cases and corresponding controls</w:t>
      </w:r>
      <w:r w:rsidR="002A68F3">
        <w:t>, with inclusion of patients with refractory CDI</w:t>
      </w:r>
      <w:r>
        <w:t xml:space="preserve"> </w:t>
      </w:r>
    </w:p>
    <w:p w:rsidR="00814E22" w:rsidRDefault="00814E22" w:rsidP="00814E22"/>
    <w:p w:rsidR="00814E22" w:rsidRDefault="00454C1D" w:rsidP="00814E22">
      <w:r w:rsidRPr="00454C1D">
        <w:rPr>
          <w:noProof/>
        </w:rPr>
        <w:drawing>
          <wp:inline distT="0" distB="0" distL="0" distR="0" wp14:anchorId="6B1FDB9D" wp14:editId="403901A2">
            <wp:extent cx="8229600" cy="270216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70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22" w:rsidRDefault="00814E22" w:rsidP="00814E22"/>
    <w:p w:rsidR="00422DB3" w:rsidRPr="002D2E67" w:rsidRDefault="00422DB3" w:rsidP="00422DB3">
      <w:pPr>
        <w:autoSpaceDE w:val="0"/>
        <w:autoSpaceDN w:val="0"/>
        <w:adjustRightInd w:val="0"/>
        <w:rPr>
          <w:rFonts w:cs="Arial"/>
          <w:vertAlign w:val="subscript"/>
        </w:rPr>
      </w:pPr>
      <w:r>
        <w:rPr>
          <w:rFonts w:cs="Arial"/>
          <w:vertAlign w:val="superscript"/>
        </w:rPr>
        <w:t xml:space="preserve">1 </w:t>
      </w:r>
      <w:r w:rsidRPr="002D2E67">
        <w:rPr>
          <w:rFonts w:cs="Arial"/>
          <w:b/>
          <w:i/>
        </w:rPr>
        <w:t>Co</w:t>
      </w:r>
      <w:r w:rsidRPr="00AA708E">
        <w:rPr>
          <w:rFonts w:cs="Arial"/>
        </w:rPr>
        <w:t xml:space="preserve">morbidity </w:t>
      </w:r>
      <w:r w:rsidRPr="002D2E67">
        <w:rPr>
          <w:rFonts w:cs="Arial"/>
          <w:b/>
          <w:i/>
        </w:rPr>
        <w:t>P</w:t>
      </w:r>
      <w:r w:rsidRPr="00AA708E">
        <w:rPr>
          <w:rFonts w:cs="Arial"/>
        </w:rPr>
        <w:t xml:space="preserve">oint </w:t>
      </w:r>
      <w:r w:rsidRPr="002D2E67">
        <w:rPr>
          <w:rFonts w:cs="Arial"/>
          <w:b/>
          <w:i/>
        </w:rPr>
        <w:t>S</w:t>
      </w:r>
      <w:r>
        <w:rPr>
          <w:rFonts w:cs="Arial"/>
        </w:rPr>
        <w:t>core (COPS) quantifies patients’ comorbid illness burden based on patient’s preexisting diagnosis over the 12-month period preceding hospitalization</w:t>
      </w:r>
      <w:r w:rsidRPr="007E264D">
        <w:rPr>
          <w:rFonts w:cs="Arial"/>
        </w:rPr>
        <w:t>. For purposes of this study, COPS was calculated using preexisting diagnosis over the 12-month preceding T</w:t>
      </w:r>
      <w:r w:rsidRPr="007E264D">
        <w:rPr>
          <w:rFonts w:cs="Arial"/>
          <w:vertAlign w:val="subscript"/>
        </w:rPr>
        <w:t xml:space="preserve">0 </w:t>
      </w:r>
      <w:r w:rsidRPr="007E264D">
        <w:rPr>
          <w:rFonts w:cs="Arial"/>
        </w:rPr>
        <w:t>.</w:t>
      </w:r>
      <w:r w:rsidRPr="00AA708E">
        <w:rPr>
          <w:rFonts w:cs="Arial"/>
        </w:rPr>
        <w:t>The unadjusted relationship of COPS and mo</w:t>
      </w:r>
      <w:r>
        <w:rPr>
          <w:rFonts w:cs="Arial"/>
        </w:rPr>
        <w:t>rtality is as follows: a COPS &lt;</w:t>
      </w:r>
      <w:r w:rsidRPr="00AA708E">
        <w:rPr>
          <w:rFonts w:cs="Arial"/>
        </w:rPr>
        <w:t>50 is associated w</w:t>
      </w:r>
      <w:r>
        <w:rPr>
          <w:rFonts w:cs="Arial"/>
        </w:rPr>
        <w:t>ith a mortality risk of &lt;1%, &lt;</w:t>
      </w:r>
      <w:r w:rsidRPr="00AA708E">
        <w:rPr>
          <w:rFonts w:cs="Arial"/>
        </w:rPr>
        <w:t xml:space="preserve">100 with </w:t>
      </w:r>
      <w:r>
        <w:rPr>
          <w:rFonts w:cs="Arial"/>
        </w:rPr>
        <w:t>a mortality risk of &lt;5%, and &gt;</w:t>
      </w:r>
      <w:r w:rsidRPr="00AA708E">
        <w:rPr>
          <w:rFonts w:cs="Arial"/>
        </w:rPr>
        <w:t>145 with a mortality risk of 10% or more.  See text and reference</w:t>
      </w:r>
      <w:r>
        <w:rPr>
          <w:rFonts w:cs="Arial"/>
        </w:rPr>
        <w:t>s</w:t>
      </w:r>
      <w:r w:rsidRPr="00AA708E">
        <w:rPr>
          <w:rFonts w:cs="Arial"/>
        </w:rPr>
        <w:t xml:space="preserve"> </w:t>
      </w:r>
      <w:r>
        <w:rPr>
          <w:rFonts w:cs="Arial"/>
        </w:rPr>
        <w:t>3</w:t>
      </w:r>
      <w:r w:rsidRPr="00AA708E">
        <w:rPr>
          <w:rFonts w:cs="Arial"/>
        </w:rPr>
        <w:t xml:space="preserve"> and </w:t>
      </w:r>
      <w:r>
        <w:rPr>
          <w:rFonts w:cs="Arial"/>
        </w:rPr>
        <w:t>4</w:t>
      </w:r>
      <w:r w:rsidRPr="00AA708E">
        <w:rPr>
          <w:rFonts w:cs="Arial"/>
        </w:rPr>
        <w:t xml:space="preserve"> for additional details.</w:t>
      </w:r>
    </w:p>
    <w:p w:rsidR="00814E22" w:rsidRDefault="00814E22" w:rsidP="00814E22"/>
    <w:p w:rsidR="00814E22" w:rsidRDefault="00814E22" w:rsidP="00814E22"/>
    <w:p w:rsidR="00814E22" w:rsidRDefault="00814E22" w:rsidP="00814E22"/>
    <w:p w:rsidR="00422DB3" w:rsidRDefault="00422DB3" w:rsidP="00814E22"/>
    <w:p w:rsidR="00422DB3" w:rsidRDefault="00422DB3" w:rsidP="00814E22"/>
    <w:p w:rsidR="00422DB3" w:rsidRDefault="00422DB3" w:rsidP="00814E22"/>
    <w:p w:rsidR="00422DB3" w:rsidRDefault="00422DB3" w:rsidP="00814E22"/>
    <w:p w:rsidR="00422DB3" w:rsidRDefault="00422DB3" w:rsidP="00814E22"/>
    <w:p w:rsidR="00814E22" w:rsidRDefault="00814E22" w:rsidP="00814E22">
      <w:proofErr w:type="gramStart"/>
      <w:r w:rsidRPr="002F63DA">
        <w:rPr>
          <w:b/>
        </w:rPr>
        <w:lastRenderedPageBreak/>
        <w:t>Table 3.3.</w:t>
      </w:r>
      <w:proofErr w:type="gramEnd"/>
      <w:r>
        <w:t xml:space="preserve"> Relative risk for healthcare utilization and mortality and adjusted excess healthcare utilization an</w:t>
      </w:r>
      <w:r w:rsidR="002F63DA">
        <w:t>d mortality among Group I (</w:t>
      </w:r>
      <w:proofErr w:type="spellStart"/>
      <w:r w:rsidR="002F63DA">
        <w:t>rCDI</w:t>
      </w:r>
      <w:proofErr w:type="spellEnd"/>
      <w:r w:rsidR="002F63DA">
        <w:t xml:space="preserve"> patients) plus refractory recurrent patients, Group II (</w:t>
      </w:r>
      <w:r>
        <w:t>non-recurrent CDI patients</w:t>
      </w:r>
      <w:r w:rsidR="002F63DA">
        <w:t>) plus non-recurrent refractory patients</w:t>
      </w:r>
      <w:r>
        <w:t xml:space="preserve">, and </w:t>
      </w:r>
      <w:r w:rsidR="002F63DA">
        <w:t xml:space="preserve">Group III) </w:t>
      </w:r>
      <w:r>
        <w:t>patients without CDI.</w:t>
      </w:r>
    </w:p>
    <w:p w:rsidR="00992801" w:rsidRDefault="00992801"/>
    <w:p w:rsidR="00992801" w:rsidRDefault="00454C1D">
      <w:r w:rsidRPr="00454C1D">
        <w:rPr>
          <w:noProof/>
        </w:rPr>
        <w:drawing>
          <wp:inline distT="0" distB="0" distL="0" distR="0" wp14:anchorId="45F61EDB" wp14:editId="0E0A7F6B">
            <wp:extent cx="8229600" cy="23853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3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B3" w:rsidRDefault="00422DB3" w:rsidP="00422DB3"/>
    <w:p w:rsidR="00422DB3" w:rsidRDefault="00422DB3" w:rsidP="00422DB3">
      <w:r>
        <w:rPr>
          <w:vertAlign w:val="superscript"/>
        </w:rPr>
        <w:t>1</w:t>
      </w:r>
      <w:r>
        <w:t xml:space="preserve">The rate of utilization patients have in one group relative to patients in another group (e.g. when matched, patients </w:t>
      </w:r>
      <w:r w:rsidR="00D8673E">
        <w:t xml:space="preserve">in Group I including refractory </w:t>
      </w:r>
      <w:proofErr w:type="spellStart"/>
      <w:r w:rsidR="00D8673E">
        <w:t>rCDI</w:t>
      </w:r>
      <w:proofErr w:type="spellEnd"/>
      <w:r w:rsidR="00D8673E">
        <w:t xml:space="preserve"> patients </w:t>
      </w:r>
      <w:r>
        <w:t xml:space="preserve">have a 61% higher rate of ED visit than patients </w:t>
      </w:r>
      <w:r w:rsidR="00D8673E">
        <w:t>in Group III</w:t>
      </w:r>
      <w:r>
        <w:t>).</w:t>
      </w:r>
    </w:p>
    <w:p w:rsidR="00BA375B" w:rsidRDefault="00BA375B" w:rsidP="00422DB3"/>
    <w:p w:rsidR="00422DB3" w:rsidRDefault="00422DB3" w:rsidP="00422DB3">
      <w:r>
        <w:rPr>
          <w:vertAlign w:val="superscript"/>
        </w:rPr>
        <w:t>2</w:t>
      </w:r>
      <w:r>
        <w:t>Impact of outcomes refers to the excess amount of ED visits, hospital days, ICU days, or deaths one group of patients’ experiences over one year following T</w:t>
      </w:r>
      <w:r w:rsidRPr="00BA375B">
        <w:rPr>
          <w:vertAlign w:val="subscript"/>
        </w:rPr>
        <w:t>0</w:t>
      </w:r>
      <w:r>
        <w:t xml:space="preserve"> compared to its matched group of patients. </w:t>
      </w:r>
    </w:p>
    <w:p w:rsidR="00BA375B" w:rsidRDefault="00BA375B" w:rsidP="00422DB3"/>
    <w:p w:rsidR="008E24F8" w:rsidRDefault="00422DB3" w:rsidP="00422DB3">
      <w:r>
        <w:t xml:space="preserve">All values show p-value &lt;.0001 </w:t>
      </w:r>
      <w:r w:rsidR="00BA375B">
        <w:t>except</w:t>
      </w:r>
      <w:r>
        <w:t xml:space="preserve"> where noted by a "*"</w:t>
      </w:r>
    </w:p>
    <w:p w:rsidR="00570B99" w:rsidRDefault="00570B99" w:rsidP="00422DB3"/>
    <w:p w:rsidR="00570B99" w:rsidRDefault="00570B99" w:rsidP="00422DB3"/>
    <w:p w:rsidR="00570B99" w:rsidRDefault="00570B99" w:rsidP="00422DB3"/>
    <w:p w:rsidR="00570B99" w:rsidRDefault="00570B99" w:rsidP="00422DB3"/>
    <w:p w:rsidR="00570B99" w:rsidRDefault="00570B99" w:rsidP="00422DB3"/>
    <w:p w:rsidR="00570B99" w:rsidRDefault="00570B99" w:rsidP="00422DB3"/>
    <w:p w:rsidR="00570B99" w:rsidRDefault="00570B99" w:rsidP="00422DB3"/>
    <w:p w:rsidR="00570B99" w:rsidRDefault="00570B99" w:rsidP="00422DB3"/>
    <w:p w:rsidR="005E774B" w:rsidRDefault="005E774B" w:rsidP="00570B99">
      <w:pPr>
        <w:sectPr w:rsidR="005E774B" w:rsidSect="00570B9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70B99" w:rsidRPr="00E2642D" w:rsidRDefault="00570B99" w:rsidP="00570B99">
      <w:pPr>
        <w:rPr>
          <w:b/>
        </w:rPr>
      </w:pPr>
      <w:r w:rsidRPr="00E2642D">
        <w:rPr>
          <w:b/>
        </w:rPr>
        <w:lastRenderedPageBreak/>
        <w:t xml:space="preserve">Appendix </w:t>
      </w:r>
      <w:r w:rsidR="005E774B" w:rsidRPr="00E2642D">
        <w:rPr>
          <w:b/>
        </w:rPr>
        <w:t>3</w:t>
      </w:r>
      <w:r w:rsidRPr="00E2642D">
        <w:rPr>
          <w:b/>
        </w:rPr>
        <w:t>.4 Figure for cohort selection</w:t>
      </w:r>
      <w:r w:rsidR="00BF21B4">
        <w:rPr>
          <w:b/>
        </w:rPr>
        <w:t xml:space="preserve"> to include patients with refractory CDI</w:t>
      </w:r>
    </w:p>
    <w:p w:rsidR="005E774B" w:rsidRDefault="008356F9" w:rsidP="00422DB3">
      <w:pPr>
        <w:sectPr w:rsidR="005E774B" w:rsidSect="005E77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object w:dxaOrig="8651" w:dyaOrig="12136">
          <v:shape id="_x0000_i1032" type="#_x0000_t75" style="width:432.75pt;height:606.75pt" o:ole="">
            <v:imagedata r:id="rId20" o:title=""/>
          </v:shape>
          <o:OLEObject Type="Embed" ProgID="Visio.Drawing.11" ShapeID="_x0000_i1032" DrawAspect="Content" ObjectID="_1531829640" r:id="rId21"/>
        </w:object>
      </w:r>
      <w:bookmarkStart w:id="0" w:name="_GoBack"/>
      <w:bookmarkEnd w:id="0"/>
    </w:p>
    <w:p w:rsidR="00570B99" w:rsidRDefault="00B02FE9" w:rsidP="00422DB3">
      <w:r>
        <w:object w:dxaOrig="6033" w:dyaOrig="11288">
          <v:shape id="_x0000_i1029" type="#_x0000_t75" style="width:336pt;height:628.5pt" o:ole="">
            <v:imagedata r:id="rId22" o:title=""/>
          </v:shape>
          <o:OLEObject Type="Embed" ProgID="Visio.Drawing.11" ShapeID="_x0000_i1029" DrawAspect="Content" ObjectID="_1531829641" r:id="rId23"/>
        </w:object>
      </w:r>
    </w:p>
    <w:sectPr w:rsidR="00570B99" w:rsidSect="005E7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3E" w:rsidRDefault="009C613E" w:rsidP="009C613E">
      <w:r>
        <w:separator/>
      </w:r>
    </w:p>
  </w:endnote>
  <w:endnote w:type="continuationSeparator" w:id="0">
    <w:p w:rsidR="009C613E" w:rsidRDefault="009C613E" w:rsidP="009C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1198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613E" w:rsidRDefault="009C61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6F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6F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613E" w:rsidRDefault="009C6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3E" w:rsidRDefault="009C613E" w:rsidP="009C613E">
      <w:r>
        <w:separator/>
      </w:r>
    </w:p>
  </w:footnote>
  <w:footnote w:type="continuationSeparator" w:id="0">
    <w:p w:rsidR="009C613E" w:rsidRDefault="009C613E" w:rsidP="009C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CF"/>
    <w:rsid w:val="002A68F3"/>
    <w:rsid w:val="002B7CCF"/>
    <w:rsid w:val="002F63DA"/>
    <w:rsid w:val="00301DE8"/>
    <w:rsid w:val="00327EB7"/>
    <w:rsid w:val="003454CE"/>
    <w:rsid w:val="003B5171"/>
    <w:rsid w:val="00422DB3"/>
    <w:rsid w:val="00454C1D"/>
    <w:rsid w:val="00455A2A"/>
    <w:rsid w:val="004E5013"/>
    <w:rsid w:val="00525818"/>
    <w:rsid w:val="00570B99"/>
    <w:rsid w:val="005715EF"/>
    <w:rsid w:val="005A0CD0"/>
    <w:rsid w:val="005E774B"/>
    <w:rsid w:val="00625A62"/>
    <w:rsid w:val="00626190"/>
    <w:rsid w:val="006C5054"/>
    <w:rsid w:val="006D2069"/>
    <w:rsid w:val="00814E22"/>
    <w:rsid w:val="008356F9"/>
    <w:rsid w:val="008E24F8"/>
    <w:rsid w:val="00954AFA"/>
    <w:rsid w:val="00992801"/>
    <w:rsid w:val="009C0477"/>
    <w:rsid w:val="009C613E"/>
    <w:rsid w:val="00AD489E"/>
    <w:rsid w:val="00B02FE9"/>
    <w:rsid w:val="00B70EEF"/>
    <w:rsid w:val="00BA375B"/>
    <w:rsid w:val="00BE29A4"/>
    <w:rsid w:val="00BF21B4"/>
    <w:rsid w:val="00C22037"/>
    <w:rsid w:val="00C50497"/>
    <w:rsid w:val="00C97356"/>
    <w:rsid w:val="00CB620D"/>
    <w:rsid w:val="00CE7830"/>
    <w:rsid w:val="00D302B2"/>
    <w:rsid w:val="00D32ADA"/>
    <w:rsid w:val="00D8673E"/>
    <w:rsid w:val="00E2642D"/>
    <w:rsid w:val="00E71CD0"/>
    <w:rsid w:val="00E85508"/>
    <w:rsid w:val="00EC3D41"/>
    <w:rsid w:val="00F36086"/>
    <w:rsid w:val="00F81DA0"/>
    <w:rsid w:val="00FD5235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1CD0"/>
    <w:rPr>
      <w:rFonts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C6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3E"/>
  </w:style>
  <w:style w:type="paragraph" w:styleId="Footer">
    <w:name w:val="footer"/>
    <w:basedOn w:val="Normal"/>
    <w:link w:val="FooterChar"/>
    <w:uiPriority w:val="99"/>
    <w:unhideWhenUsed/>
    <w:rsid w:val="009C6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1CD0"/>
    <w:rPr>
      <w:rFonts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C6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3E"/>
  </w:style>
  <w:style w:type="paragraph" w:styleId="Footer">
    <w:name w:val="footer"/>
    <w:basedOn w:val="Normal"/>
    <w:link w:val="FooterChar"/>
    <w:uiPriority w:val="99"/>
    <w:unhideWhenUsed/>
    <w:rsid w:val="009C6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7204</TotalTime>
  <Pages>11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Baker</dc:creator>
  <cp:lastModifiedBy>Jennifer Baker</cp:lastModifiedBy>
  <cp:revision>39</cp:revision>
  <dcterms:created xsi:type="dcterms:W3CDTF">2015-12-01T00:07:00Z</dcterms:created>
  <dcterms:modified xsi:type="dcterms:W3CDTF">2016-08-04T22:26:00Z</dcterms:modified>
</cp:coreProperties>
</file>