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6C" w:rsidRDefault="001529F1" w:rsidP="0090082A">
      <w:pPr>
        <w:spacing w:line="480" w:lineRule="auto"/>
        <w:rPr>
          <w:rFonts w:ascii="Times New Roman" w:hAnsi="Times New Roman" w:cs="Times New Roman"/>
          <w:b/>
          <w:sz w:val="24"/>
          <w:szCs w:val="24"/>
        </w:rPr>
      </w:pPr>
      <w:r w:rsidRPr="006B3B00">
        <w:rPr>
          <w:rFonts w:ascii="Times New Roman" w:hAnsi="Times New Roman" w:cs="Times New Roman"/>
          <w:b/>
          <w:sz w:val="24"/>
          <w:szCs w:val="24"/>
        </w:rPr>
        <w:t>SUPPLEMENTARY MATERIALS</w:t>
      </w:r>
    </w:p>
    <w:p w:rsidR="006B3B00" w:rsidRDefault="006B3B00" w:rsidP="0090082A">
      <w:pPr>
        <w:spacing w:line="480" w:lineRule="auto"/>
        <w:rPr>
          <w:rFonts w:ascii="Times New Roman" w:hAnsi="Times New Roman" w:cs="Times New Roman"/>
          <w:b/>
          <w:sz w:val="24"/>
          <w:szCs w:val="24"/>
        </w:rPr>
      </w:pPr>
    </w:p>
    <w:p w:rsidR="006B3B00" w:rsidRPr="006B3B00" w:rsidRDefault="006B3B00" w:rsidP="0090082A">
      <w:pPr>
        <w:spacing w:line="480" w:lineRule="auto"/>
        <w:rPr>
          <w:rFonts w:ascii="Times New Roman" w:hAnsi="Times New Roman" w:cs="Times New Roman"/>
          <w:b/>
          <w:sz w:val="24"/>
          <w:szCs w:val="24"/>
        </w:rPr>
      </w:pPr>
    </w:p>
    <w:p w:rsidR="006B3B00" w:rsidRPr="006B3B00" w:rsidRDefault="006B3B00" w:rsidP="006B3B00">
      <w:pPr>
        <w:spacing w:line="480" w:lineRule="auto"/>
        <w:jc w:val="left"/>
        <w:rPr>
          <w:rFonts w:ascii="Times New Roman" w:hAnsi="Times New Roman" w:cs="Times New Roman"/>
          <w:sz w:val="24"/>
          <w:szCs w:val="24"/>
        </w:rPr>
      </w:pPr>
      <w:r>
        <w:rPr>
          <w:rFonts w:ascii="Times New Roman" w:eastAsia="Arial Unicode MS" w:hAnsi="Times New Roman" w:cs="Times New Roman" w:hint="eastAsia"/>
          <w:b/>
          <w:sz w:val="24"/>
          <w:szCs w:val="24"/>
        </w:rPr>
        <w:t>D</w:t>
      </w:r>
      <w:r w:rsidRPr="006B3B00">
        <w:rPr>
          <w:rFonts w:ascii="Times New Roman" w:eastAsia="Arial Unicode MS" w:hAnsi="Times New Roman" w:cs="Times New Roman"/>
          <w:b/>
          <w:sz w:val="24"/>
          <w:szCs w:val="24"/>
        </w:rPr>
        <w:t>escription of HCP</w:t>
      </w:r>
      <w:r>
        <w:rPr>
          <w:rFonts w:ascii="Times New Roman" w:eastAsia="Arial Unicode MS" w:hAnsi="Times New Roman" w:cs="Times New Roman" w:hint="eastAsia"/>
          <w:b/>
          <w:sz w:val="24"/>
          <w:szCs w:val="24"/>
        </w:rPr>
        <w:t xml:space="preserve"> and</w:t>
      </w:r>
      <w:r w:rsidRPr="006B3B00">
        <w:rPr>
          <w:rFonts w:ascii="Times New Roman" w:eastAsia="Arial Unicode MS" w:hAnsi="Times New Roman" w:cs="Times New Roman"/>
          <w:b/>
          <w:sz w:val="24"/>
          <w:szCs w:val="24"/>
        </w:rPr>
        <w:t xml:space="preserve"> </w:t>
      </w:r>
      <w:r>
        <w:rPr>
          <w:rFonts w:ascii="Times New Roman" w:eastAsia="Arial Unicode MS" w:hAnsi="Times New Roman" w:cs="Times New Roman" w:hint="eastAsia"/>
          <w:b/>
          <w:sz w:val="24"/>
          <w:szCs w:val="24"/>
        </w:rPr>
        <w:t>the s</w:t>
      </w:r>
      <w:r w:rsidRPr="00D31A38">
        <w:rPr>
          <w:rFonts w:ascii="Times New Roman" w:eastAsia="Arial Unicode MS" w:hAnsi="Times New Roman" w:cs="Times New Roman"/>
          <w:b/>
          <w:sz w:val="24"/>
          <w:szCs w:val="24"/>
        </w:rPr>
        <w:t xml:space="preserve">creening </w:t>
      </w:r>
      <w:r>
        <w:rPr>
          <w:rFonts w:ascii="Times New Roman" w:eastAsia="Arial Unicode MS" w:hAnsi="Times New Roman" w:cs="Times New Roman" w:hint="eastAsia"/>
          <w:b/>
          <w:sz w:val="24"/>
          <w:szCs w:val="24"/>
        </w:rPr>
        <w:t>s</w:t>
      </w:r>
      <w:r w:rsidRPr="00D31A38">
        <w:rPr>
          <w:rFonts w:ascii="Times New Roman" w:eastAsia="Arial Unicode MS" w:hAnsi="Times New Roman" w:cs="Times New Roman"/>
          <w:b/>
          <w:sz w:val="24"/>
          <w:szCs w:val="24"/>
        </w:rPr>
        <w:t>trategy</w:t>
      </w:r>
      <w:r w:rsidRPr="006B3B00">
        <w:rPr>
          <w:rFonts w:ascii="Times New Roman" w:eastAsia="Arial Unicode MS" w:hAnsi="Times New Roman" w:cs="Times New Roman"/>
          <w:b/>
          <w:sz w:val="24"/>
          <w:szCs w:val="24"/>
        </w:rPr>
        <w:t xml:space="preserve"> in the hospital-associated outbreak</w:t>
      </w:r>
    </w:p>
    <w:p w:rsidR="00FE6F8D" w:rsidRPr="006B3B00" w:rsidRDefault="00FE6F8D" w:rsidP="00FE6F8D">
      <w:pPr>
        <w:spacing w:line="480" w:lineRule="auto"/>
        <w:jc w:val="left"/>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On May 17, the first case of MERS in Korea (Patient A) visited our hospital and 27 HCP were quarantined due to unprotected close exposure to the patient. Ten days later, a secondary case (Patient B) who was infected with MERS-</w:t>
      </w:r>
      <w:proofErr w:type="spellStart"/>
      <w:r w:rsidRPr="006B3B00">
        <w:rPr>
          <w:rFonts w:ascii="Times New Roman" w:eastAsia="Arial Unicode MS" w:hAnsi="Times New Roman" w:cs="Times New Roman"/>
          <w:sz w:val="24"/>
          <w:szCs w:val="24"/>
        </w:rPr>
        <w:t>CoV</w:t>
      </w:r>
      <w:proofErr w:type="spellEnd"/>
      <w:r w:rsidRPr="006B3B00">
        <w:rPr>
          <w:rFonts w:ascii="Times New Roman" w:eastAsia="Arial Unicode MS" w:hAnsi="Times New Roman" w:cs="Times New Roman"/>
          <w:sz w:val="24"/>
          <w:szCs w:val="24"/>
        </w:rPr>
        <w:t xml:space="preserve"> from Patient A while staying at the same hospital was admitted at our ED. As he had remained in our ED for three days prior to recognition of his contact history, the exposure was extensive. This exposure generated 82 tertiary cases including eight HCP, making it the most extensive super-spreading event during the 2015 Korean MERS outbreak. 89 HCP were quarantined from this exposure, and additional 716 HCP were quarantined from exposure to part of the 82 tertiary cases. In the late phase of the outbreak, two tertiary cases who were managed in our hospital (Patient C and D) transmitted MERS-</w:t>
      </w:r>
      <w:proofErr w:type="spellStart"/>
      <w:r w:rsidRPr="006B3B00">
        <w:rPr>
          <w:rFonts w:ascii="Times New Roman" w:eastAsia="Arial Unicode MS" w:hAnsi="Times New Roman" w:cs="Times New Roman"/>
          <w:sz w:val="24"/>
          <w:szCs w:val="24"/>
        </w:rPr>
        <w:t>CoV</w:t>
      </w:r>
      <w:proofErr w:type="spellEnd"/>
      <w:r w:rsidRPr="006B3B00">
        <w:rPr>
          <w:rFonts w:ascii="Times New Roman" w:eastAsia="Arial Unicode MS" w:hAnsi="Times New Roman" w:cs="Times New Roman"/>
          <w:sz w:val="24"/>
          <w:szCs w:val="24"/>
        </w:rPr>
        <w:t xml:space="preserve"> to seven HCP caring for MERS patients despite application of standard PPE, and additional 205 HCP were quarantined from exposure to these seven quaternary cases. Quarantined HCP were monitored for two weeks from exposure, and those who experience any MERS-like symptom were tested sputum </w:t>
      </w:r>
      <w:proofErr w:type="spellStart"/>
      <w:r w:rsidRPr="006B3B00">
        <w:rPr>
          <w:rFonts w:ascii="Times New Roman" w:eastAsia="Arial Unicode MS" w:hAnsi="Times New Roman" w:cs="Times New Roman"/>
          <w:sz w:val="24"/>
          <w:szCs w:val="24"/>
        </w:rPr>
        <w:t>rRT</w:t>
      </w:r>
      <w:proofErr w:type="spellEnd"/>
      <w:r w:rsidRPr="006B3B00">
        <w:rPr>
          <w:rFonts w:ascii="Times New Roman" w:eastAsia="Arial Unicode MS" w:hAnsi="Times New Roman" w:cs="Times New Roman"/>
          <w:sz w:val="24"/>
          <w:szCs w:val="24"/>
        </w:rPr>
        <w:t xml:space="preserve">-PCR repeatedly with 48-hr interval till symptom resolution. Thereafter, all quarantined HCP were additionally tested a screening </w:t>
      </w:r>
      <w:proofErr w:type="spellStart"/>
      <w:r w:rsidRPr="006B3B00">
        <w:rPr>
          <w:rFonts w:ascii="Times New Roman" w:eastAsia="Arial Unicode MS" w:hAnsi="Times New Roman" w:cs="Times New Roman"/>
          <w:sz w:val="24"/>
          <w:szCs w:val="24"/>
        </w:rPr>
        <w:t>rRT</w:t>
      </w:r>
      <w:proofErr w:type="spellEnd"/>
      <w:r w:rsidRPr="006B3B00">
        <w:rPr>
          <w:rFonts w:ascii="Times New Roman" w:eastAsia="Arial Unicode MS" w:hAnsi="Times New Roman" w:cs="Times New Roman"/>
          <w:sz w:val="24"/>
          <w:szCs w:val="24"/>
        </w:rPr>
        <w:t>-PCR assay before returning to general patient care. Among the 45 MERS-</w:t>
      </w:r>
      <w:proofErr w:type="spellStart"/>
      <w:r w:rsidRPr="006B3B00">
        <w:rPr>
          <w:rFonts w:ascii="Times New Roman" w:eastAsia="Arial Unicode MS" w:hAnsi="Times New Roman" w:cs="Times New Roman"/>
          <w:sz w:val="24"/>
          <w:szCs w:val="24"/>
        </w:rPr>
        <w:t>CoV</w:t>
      </w:r>
      <w:proofErr w:type="spellEnd"/>
      <w:r w:rsidRPr="006B3B00">
        <w:rPr>
          <w:rFonts w:ascii="Times New Roman" w:eastAsia="Arial Unicode MS" w:hAnsi="Times New Roman" w:cs="Times New Roman"/>
          <w:sz w:val="24"/>
          <w:szCs w:val="24"/>
        </w:rPr>
        <w:t xml:space="preserve"> infected patients managed in our hospital, only four of them additionally transmitted MERS-</w:t>
      </w:r>
      <w:proofErr w:type="spellStart"/>
      <w:r w:rsidRPr="006B3B00">
        <w:rPr>
          <w:rFonts w:ascii="Times New Roman" w:eastAsia="Arial Unicode MS" w:hAnsi="Times New Roman" w:cs="Times New Roman"/>
          <w:sz w:val="24"/>
          <w:szCs w:val="24"/>
        </w:rPr>
        <w:t>CoV</w:t>
      </w:r>
      <w:proofErr w:type="spellEnd"/>
      <w:r w:rsidRPr="006B3B00">
        <w:rPr>
          <w:rFonts w:ascii="Times New Roman" w:eastAsia="Arial Unicode MS" w:hAnsi="Times New Roman" w:cs="Times New Roman"/>
          <w:sz w:val="24"/>
          <w:szCs w:val="24"/>
        </w:rPr>
        <w:t xml:space="preserve"> to others (Patient A, B, C, and D) and were considered as highly infective MERS patients. 59 out of 189 HCP (31.2%) closely exposed to these highly infective patients </w:t>
      </w:r>
      <w:r w:rsidRPr="006B3B00">
        <w:rPr>
          <w:rFonts w:ascii="Times New Roman" w:eastAsia="Arial Unicode MS" w:hAnsi="Times New Roman" w:cs="Times New Roman"/>
          <w:sz w:val="24"/>
          <w:szCs w:val="24"/>
        </w:rPr>
        <w:lastRenderedPageBreak/>
        <w:t>consented to this study for serologic investigation. Although enrolled HCP were younger than refused HCP, proportion of male sex, exposure duration, and MERS-like symptom experience were not statistically different between enrolled and refused HCP (Supplementary Table 1).</w:t>
      </w:r>
    </w:p>
    <w:p w:rsidR="008F36A0" w:rsidRPr="006B3B00" w:rsidRDefault="008F36A0" w:rsidP="006B3B00">
      <w:pPr>
        <w:spacing w:line="480" w:lineRule="auto"/>
        <w:ind w:firstLineChars="100" w:firstLine="240"/>
        <w:jc w:val="left"/>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 xml:space="preserve">In managing MERS patients, HCP were </w:t>
      </w:r>
      <w:proofErr w:type="spellStart"/>
      <w:r w:rsidRPr="006B3B00">
        <w:rPr>
          <w:rFonts w:ascii="Times New Roman" w:eastAsia="Arial Unicode MS" w:hAnsi="Times New Roman" w:cs="Times New Roman"/>
          <w:sz w:val="24"/>
          <w:szCs w:val="24"/>
        </w:rPr>
        <w:t>cohorted</w:t>
      </w:r>
      <w:proofErr w:type="spellEnd"/>
      <w:r w:rsidRPr="006B3B00">
        <w:rPr>
          <w:rFonts w:ascii="Times New Roman" w:eastAsia="Arial Unicode MS" w:hAnsi="Times New Roman" w:cs="Times New Roman"/>
          <w:sz w:val="24"/>
          <w:szCs w:val="24"/>
        </w:rPr>
        <w:t xml:space="preserve"> such that those assigned to MERS patient care would not care for general patients. Assigned HCP were monitored and symptomatic HCP were isolated and tested </w:t>
      </w:r>
      <w:proofErr w:type="spellStart"/>
      <w:r w:rsidRPr="006B3B00">
        <w:rPr>
          <w:rFonts w:ascii="Times New Roman" w:eastAsia="Arial Unicode MS" w:hAnsi="Times New Roman" w:cs="Times New Roman"/>
          <w:sz w:val="24"/>
          <w:szCs w:val="24"/>
        </w:rPr>
        <w:t>rRT</w:t>
      </w:r>
      <w:proofErr w:type="spellEnd"/>
      <w:r w:rsidRPr="006B3B00">
        <w:rPr>
          <w:rFonts w:ascii="Times New Roman" w:eastAsia="Arial Unicode MS" w:hAnsi="Times New Roman" w:cs="Times New Roman"/>
          <w:sz w:val="24"/>
          <w:szCs w:val="24"/>
        </w:rPr>
        <w:t>-PCR as the same way with exposed HCP. After the development of MERS-</w:t>
      </w:r>
      <w:proofErr w:type="spellStart"/>
      <w:r w:rsidRPr="006B3B00">
        <w:rPr>
          <w:rFonts w:ascii="Times New Roman" w:eastAsia="Arial Unicode MS" w:hAnsi="Times New Roman" w:cs="Times New Roman"/>
          <w:sz w:val="24"/>
          <w:szCs w:val="24"/>
        </w:rPr>
        <w:t>CoV</w:t>
      </w:r>
      <w:proofErr w:type="spellEnd"/>
      <w:r w:rsidRPr="006B3B00">
        <w:rPr>
          <w:rFonts w:ascii="Times New Roman" w:eastAsia="Arial Unicode MS" w:hAnsi="Times New Roman" w:cs="Times New Roman"/>
          <w:sz w:val="24"/>
          <w:szCs w:val="24"/>
        </w:rPr>
        <w:t xml:space="preserve"> infection in four assigned HCP despite application of PPE, one-point screening </w:t>
      </w:r>
      <w:proofErr w:type="spellStart"/>
      <w:r w:rsidRPr="006B3B00">
        <w:rPr>
          <w:rFonts w:ascii="Times New Roman" w:eastAsia="Arial Unicode MS" w:hAnsi="Times New Roman" w:cs="Times New Roman"/>
          <w:sz w:val="24"/>
          <w:szCs w:val="24"/>
        </w:rPr>
        <w:t>rRT</w:t>
      </w:r>
      <w:proofErr w:type="spellEnd"/>
      <w:r w:rsidRPr="006B3B00">
        <w:rPr>
          <w:rFonts w:ascii="Times New Roman" w:eastAsia="Arial Unicode MS" w:hAnsi="Times New Roman" w:cs="Times New Roman"/>
          <w:sz w:val="24"/>
          <w:szCs w:val="24"/>
        </w:rPr>
        <w:t xml:space="preserve">-PCR was performed in all assigned HCP which detected three additional asymptomatic infections. After the end of MERS patient care, assigned HCP were quarantined at home for two weeks and </w:t>
      </w:r>
      <w:proofErr w:type="spellStart"/>
      <w:r w:rsidRPr="006B3B00">
        <w:rPr>
          <w:rFonts w:ascii="Times New Roman" w:eastAsia="Arial Unicode MS" w:hAnsi="Times New Roman" w:cs="Times New Roman"/>
          <w:sz w:val="24"/>
          <w:szCs w:val="24"/>
        </w:rPr>
        <w:t>rRT</w:t>
      </w:r>
      <w:proofErr w:type="spellEnd"/>
      <w:r w:rsidRPr="006B3B00">
        <w:rPr>
          <w:rFonts w:ascii="Times New Roman" w:eastAsia="Arial Unicode MS" w:hAnsi="Times New Roman" w:cs="Times New Roman"/>
          <w:sz w:val="24"/>
          <w:szCs w:val="24"/>
        </w:rPr>
        <w:t>-PCR tested twice before being allowed to care for general patients. After the outbreak, among these 247 HCP assigned to MERS patient care, 130 HCP (52.6%) consented to the study. Demographics, ICU patient care, and MERS-like symptom experience were not statistically different between enrolled and refused HCP (Supplementary Table 1).</w:t>
      </w:r>
    </w:p>
    <w:p w:rsidR="001529F1" w:rsidRDefault="001529F1" w:rsidP="0090082A">
      <w:pPr>
        <w:spacing w:line="480" w:lineRule="auto"/>
        <w:rPr>
          <w:rFonts w:ascii="Times New Roman" w:hAnsi="Times New Roman" w:cs="Times New Roman"/>
          <w:sz w:val="24"/>
          <w:szCs w:val="24"/>
        </w:rPr>
      </w:pPr>
    </w:p>
    <w:p w:rsidR="006B3B00" w:rsidRDefault="006B3B00" w:rsidP="0090082A">
      <w:pPr>
        <w:spacing w:line="480" w:lineRule="auto"/>
        <w:rPr>
          <w:rFonts w:ascii="Times New Roman" w:hAnsi="Times New Roman" w:cs="Times New Roman"/>
          <w:sz w:val="24"/>
          <w:szCs w:val="24"/>
        </w:rPr>
      </w:pPr>
    </w:p>
    <w:p w:rsidR="006B3B00" w:rsidRDefault="006B3B00" w:rsidP="0090082A">
      <w:pPr>
        <w:spacing w:line="480" w:lineRule="auto"/>
        <w:rPr>
          <w:rFonts w:ascii="Times New Roman" w:hAnsi="Times New Roman" w:cs="Times New Roman"/>
          <w:sz w:val="24"/>
          <w:szCs w:val="24"/>
        </w:rPr>
      </w:pPr>
    </w:p>
    <w:p w:rsidR="006B3B00" w:rsidRDefault="006B3B00" w:rsidP="0090082A">
      <w:pPr>
        <w:spacing w:line="480" w:lineRule="auto"/>
        <w:rPr>
          <w:rFonts w:ascii="Times New Roman" w:hAnsi="Times New Roman" w:cs="Times New Roman"/>
          <w:sz w:val="24"/>
          <w:szCs w:val="24"/>
        </w:rPr>
      </w:pPr>
    </w:p>
    <w:p w:rsidR="006B3B00" w:rsidRDefault="006B3B00" w:rsidP="0090082A">
      <w:pPr>
        <w:spacing w:line="480" w:lineRule="auto"/>
        <w:rPr>
          <w:rFonts w:ascii="Times New Roman" w:hAnsi="Times New Roman" w:cs="Times New Roman"/>
          <w:sz w:val="24"/>
          <w:szCs w:val="24"/>
        </w:rPr>
      </w:pPr>
    </w:p>
    <w:p w:rsidR="00EE0E13" w:rsidRPr="006B3B00" w:rsidRDefault="00EE0E13" w:rsidP="0090082A">
      <w:pPr>
        <w:spacing w:line="480" w:lineRule="auto"/>
        <w:rPr>
          <w:rFonts w:ascii="Times New Roman" w:hAnsi="Times New Roman" w:cs="Times New Roman"/>
          <w:sz w:val="24"/>
          <w:szCs w:val="24"/>
        </w:rPr>
      </w:pPr>
    </w:p>
    <w:p w:rsidR="008F36A0" w:rsidRPr="006B3B00" w:rsidRDefault="008F36A0" w:rsidP="0090082A">
      <w:pPr>
        <w:spacing w:line="480" w:lineRule="auto"/>
        <w:rPr>
          <w:rFonts w:ascii="Times New Roman" w:hAnsi="Times New Roman" w:cs="Times New Roman"/>
          <w:sz w:val="24"/>
          <w:szCs w:val="24"/>
        </w:rPr>
      </w:pPr>
    </w:p>
    <w:p w:rsidR="00D824A2" w:rsidRPr="006B3B00" w:rsidRDefault="00D824A2" w:rsidP="0090082A">
      <w:pPr>
        <w:spacing w:line="480" w:lineRule="auto"/>
        <w:rPr>
          <w:rFonts w:ascii="Times New Roman" w:hAnsi="Times New Roman" w:cs="Times New Roman"/>
          <w:b/>
          <w:sz w:val="24"/>
          <w:szCs w:val="24"/>
        </w:rPr>
      </w:pPr>
      <w:proofErr w:type="gramStart"/>
      <w:r w:rsidRPr="006B3B00">
        <w:rPr>
          <w:rFonts w:ascii="Times New Roman" w:hAnsi="Times New Roman" w:cs="Times New Roman"/>
          <w:b/>
          <w:sz w:val="24"/>
          <w:szCs w:val="24"/>
        </w:rPr>
        <w:lastRenderedPageBreak/>
        <w:t>Supplementary</w:t>
      </w:r>
      <w:r w:rsidR="0090082A" w:rsidRPr="006B3B00">
        <w:rPr>
          <w:rFonts w:ascii="Times New Roman" w:hAnsi="Times New Roman" w:cs="Times New Roman"/>
          <w:b/>
          <w:sz w:val="24"/>
          <w:szCs w:val="24"/>
        </w:rPr>
        <w:t xml:space="preserve"> </w:t>
      </w:r>
      <w:r w:rsidRPr="006B3B00">
        <w:rPr>
          <w:rFonts w:ascii="Times New Roman" w:hAnsi="Times New Roman" w:cs="Times New Roman"/>
          <w:b/>
          <w:sz w:val="24"/>
          <w:szCs w:val="24"/>
        </w:rPr>
        <w:t>Table 1.</w:t>
      </w:r>
      <w:proofErr w:type="gramEnd"/>
      <w:r w:rsidRPr="006B3B00">
        <w:rPr>
          <w:rFonts w:ascii="Times New Roman" w:hAnsi="Times New Roman" w:cs="Times New Roman"/>
          <w:b/>
          <w:sz w:val="24"/>
          <w:szCs w:val="24"/>
        </w:rPr>
        <w:t xml:space="preserve"> </w:t>
      </w:r>
      <w:r w:rsidR="001529F1" w:rsidRPr="006B3B00">
        <w:rPr>
          <w:rFonts w:ascii="Times New Roman" w:hAnsi="Times New Roman" w:cs="Times New Roman"/>
          <w:b/>
          <w:sz w:val="24"/>
          <w:szCs w:val="24"/>
        </w:rPr>
        <w:t>D</w:t>
      </w:r>
      <w:r w:rsidR="0090082A" w:rsidRPr="006B3B00">
        <w:rPr>
          <w:rFonts w:ascii="Times New Roman" w:hAnsi="Times New Roman" w:cs="Times New Roman"/>
          <w:b/>
          <w:sz w:val="24"/>
          <w:szCs w:val="24"/>
        </w:rPr>
        <w:t xml:space="preserve">emographics, exposure risks, and MERS-like symptom experience of </w:t>
      </w:r>
      <w:r w:rsidR="001529F1" w:rsidRPr="006B3B00">
        <w:rPr>
          <w:rFonts w:ascii="Times New Roman" w:hAnsi="Times New Roman" w:cs="Times New Roman"/>
          <w:b/>
          <w:sz w:val="24"/>
          <w:szCs w:val="24"/>
        </w:rPr>
        <w:t>HCP who were enrolled and refused to participate in the study</w:t>
      </w:r>
    </w:p>
    <w:tbl>
      <w:tblPr>
        <w:tblStyle w:val="a3"/>
        <w:tblW w:w="10774" w:type="dxa"/>
        <w:tblInd w:w="-7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84"/>
        <w:gridCol w:w="1134"/>
        <w:gridCol w:w="1417"/>
        <w:gridCol w:w="993"/>
        <w:gridCol w:w="283"/>
        <w:gridCol w:w="284"/>
        <w:gridCol w:w="1134"/>
        <w:gridCol w:w="1417"/>
        <w:gridCol w:w="992"/>
        <w:gridCol w:w="284"/>
      </w:tblGrid>
      <w:tr w:rsidR="00F456B2" w:rsidRPr="006B3B00" w:rsidTr="001F4BD0">
        <w:trPr>
          <w:trHeight w:val="529"/>
        </w:trPr>
        <w:tc>
          <w:tcPr>
            <w:tcW w:w="2552" w:type="dxa"/>
            <w:vMerge w:val="restart"/>
            <w:tcBorders>
              <w:top w:val="single" w:sz="4" w:space="0" w:color="auto"/>
              <w:bottom w:val="nil"/>
              <w:right w:val="nil"/>
            </w:tcBorders>
            <w:vAlign w:val="center"/>
          </w:tcPr>
          <w:p w:rsidR="00F456B2" w:rsidRPr="006B3B00" w:rsidRDefault="00F456B2" w:rsidP="0090082A">
            <w:pPr>
              <w:spacing w:line="480" w:lineRule="auto"/>
              <w:ind w:firstLineChars="100" w:firstLine="240"/>
              <w:jc w:val="left"/>
              <w:rPr>
                <w:rFonts w:ascii="Times New Roman" w:hAnsi="Times New Roman" w:cs="Times New Roman"/>
                <w:b/>
                <w:sz w:val="24"/>
                <w:szCs w:val="24"/>
              </w:rPr>
            </w:pPr>
            <w:r w:rsidRPr="006B3B00">
              <w:rPr>
                <w:rFonts w:ascii="Times New Roman" w:hAnsi="Times New Roman" w:cs="Times New Roman"/>
                <w:b/>
                <w:sz w:val="24"/>
                <w:szCs w:val="24"/>
              </w:rPr>
              <w:t>Variables</w:t>
            </w:r>
          </w:p>
        </w:tc>
        <w:tc>
          <w:tcPr>
            <w:tcW w:w="284" w:type="dxa"/>
            <w:tcBorders>
              <w:top w:val="single" w:sz="4" w:space="0" w:color="auto"/>
              <w:left w:val="nil"/>
              <w:bottom w:val="nil"/>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p>
        </w:tc>
        <w:tc>
          <w:tcPr>
            <w:tcW w:w="3544" w:type="dxa"/>
            <w:gridSpan w:val="3"/>
            <w:tcBorders>
              <w:top w:val="single" w:sz="4" w:space="0" w:color="auto"/>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r w:rsidRPr="006B3B00">
              <w:rPr>
                <w:rFonts w:ascii="Times New Roman" w:hAnsi="Times New Roman" w:cs="Times New Roman"/>
                <w:b/>
                <w:sz w:val="24"/>
                <w:szCs w:val="24"/>
              </w:rPr>
              <w:t>Exposed HCP (n=189)</w:t>
            </w:r>
          </w:p>
        </w:tc>
        <w:tc>
          <w:tcPr>
            <w:tcW w:w="283" w:type="dxa"/>
            <w:tcBorders>
              <w:top w:val="single" w:sz="4" w:space="0" w:color="auto"/>
              <w:left w:val="nil"/>
              <w:bottom w:val="nil"/>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p>
        </w:tc>
        <w:tc>
          <w:tcPr>
            <w:tcW w:w="284" w:type="dxa"/>
            <w:tcBorders>
              <w:top w:val="single" w:sz="4" w:space="0" w:color="auto"/>
              <w:left w:val="nil"/>
              <w:bottom w:val="nil"/>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p>
        </w:tc>
        <w:tc>
          <w:tcPr>
            <w:tcW w:w="3543" w:type="dxa"/>
            <w:gridSpan w:val="3"/>
            <w:tcBorders>
              <w:top w:val="single" w:sz="4" w:space="0" w:color="auto"/>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r w:rsidRPr="006B3B00">
              <w:rPr>
                <w:rFonts w:ascii="Times New Roman" w:hAnsi="Times New Roman" w:cs="Times New Roman"/>
                <w:b/>
                <w:sz w:val="24"/>
                <w:szCs w:val="24"/>
              </w:rPr>
              <w:t>Assigned HCP (n=247)</w:t>
            </w:r>
          </w:p>
        </w:tc>
        <w:tc>
          <w:tcPr>
            <w:tcW w:w="284" w:type="dxa"/>
            <w:tcBorders>
              <w:top w:val="single" w:sz="4" w:space="0" w:color="auto"/>
              <w:left w:val="nil"/>
              <w:bottom w:val="nil"/>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p>
        </w:tc>
      </w:tr>
      <w:tr w:rsidR="00F456B2" w:rsidRPr="006B3B00" w:rsidTr="001F4BD0">
        <w:trPr>
          <w:trHeight w:val="391"/>
        </w:trPr>
        <w:tc>
          <w:tcPr>
            <w:tcW w:w="2552" w:type="dxa"/>
            <w:vMerge/>
            <w:tcBorders>
              <w:top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p>
        </w:tc>
        <w:tc>
          <w:tcPr>
            <w:tcW w:w="1418" w:type="dxa"/>
            <w:gridSpan w:val="2"/>
            <w:tcBorders>
              <w:top w:val="nil"/>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r w:rsidRPr="006B3B00">
              <w:rPr>
                <w:rFonts w:ascii="Times New Roman" w:hAnsi="Times New Roman" w:cs="Times New Roman"/>
                <w:b/>
                <w:sz w:val="24"/>
                <w:szCs w:val="24"/>
              </w:rPr>
              <w:t>Enrolled</w:t>
            </w:r>
          </w:p>
          <w:p w:rsidR="00F456B2" w:rsidRPr="006B3B00" w:rsidRDefault="00F456B2" w:rsidP="0090082A">
            <w:pPr>
              <w:spacing w:line="480" w:lineRule="auto"/>
              <w:jc w:val="center"/>
              <w:rPr>
                <w:rFonts w:ascii="Times New Roman" w:hAnsi="Times New Roman" w:cs="Times New Roman"/>
                <w:sz w:val="24"/>
                <w:szCs w:val="24"/>
              </w:rPr>
            </w:pPr>
            <w:r w:rsidRPr="006B3B00">
              <w:rPr>
                <w:rFonts w:ascii="Times New Roman" w:hAnsi="Times New Roman" w:cs="Times New Roman"/>
                <w:sz w:val="24"/>
                <w:szCs w:val="24"/>
              </w:rPr>
              <w:t>(n=59)</w:t>
            </w:r>
          </w:p>
        </w:tc>
        <w:tc>
          <w:tcPr>
            <w:tcW w:w="1417" w:type="dxa"/>
            <w:tcBorders>
              <w:top w:val="nil"/>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r w:rsidRPr="006B3B00">
              <w:rPr>
                <w:rFonts w:ascii="Times New Roman" w:hAnsi="Times New Roman" w:cs="Times New Roman"/>
                <w:b/>
                <w:sz w:val="24"/>
                <w:szCs w:val="24"/>
              </w:rPr>
              <w:t>Refused</w:t>
            </w:r>
          </w:p>
          <w:p w:rsidR="00F456B2" w:rsidRPr="006B3B00" w:rsidRDefault="00F456B2" w:rsidP="0090082A">
            <w:pPr>
              <w:spacing w:line="480" w:lineRule="auto"/>
              <w:jc w:val="center"/>
              <w:rPr>
                <w:rFonts w:ascii="Times New Roman" w:hAnsi="Times New Roman" w:cs="Times New Roman"/>
                <w:sz w:val="24"/>
                <w:szCs w:val="24"/>
              </w:rPr>
            </w:pPr>
            <w:r w:rsidRPr="006B3B00">
              <w:rPr>
                <w:rFonts w:ascii="Times New Roman" w:hAnsi="Times New Roman" w:cs="Times New Roman"/>
                <w:sz w:val="24"/>
                <w:szCs w:val="24"/>
              </w:rPr>
              <w:t>(n=130)</w:t>
            </w:r>
          </w:p>
        </w:tc>
        <w:tc>
          <w:tcPr>
            <w:tcW w:w="1276" w:type="dxa"/>
            <w:gridSpan w:val="2"/>
            <w:tcBorders>
              <w:top w:val="nil"/>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sz w:val="24"/>
                <w:szCs w:val="24"/>
              </w:rPr>
            </w:pPr>
            <w:r w:rsidRPr="006B3B00">
              <w:rPr>
                <w:rFonts w:ascii="Times New Roman" w:hAnsi="Times New Roman" w:cs="Times New Roman"/>
                <w:b/>
                <w:i/>
                <w:sz w:val="24"/>
                <w:szCs w:val="24"/>
              </w:rPr>
              <w:t>P</w:t>
            </w:r>
            <w:r w:rsidRPr="006B3B00">
              <w:rPr>
                <w:rFonts w:ascii="Times New Roman" w:hAnsi="Times New Roman" w:cs="Times New Roman"/>
                <w:b/>
                <w:sz w:val="24"/>
                <w:szCs w:val="24"/>
              </w:rPr>
              <w:t xml:space="preserve"> value</w:t>
            </w:r>
          </w:p>
        </w:tc>
        <w:tc>
          <w:tcPr>
            <w:tcW w:w="1418" w:type="dxa"/>
            <w:gridSpan w:val="2"/>
            <w:tcBorders>
              <w:top w:val="nil"/>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r w:rsidRPr="006B3B00">
              <w:rPr>
                <w:rFonts w:ascii="Times New Roman" w:hAnsi="Times New Roman" w:cs="Times New Roman"/>
                <w:b/>
                <w:sz w:val="24"/>
                <w:szCs w:val="24"/>
              </w:rPr>
              <w:t>Enrolled</w:t>
            </w:r>
          </w:p>
          <w:p w:rsidR="00F456B2" w:rsidRPr="006B3B00" w:rsidRDefault="00F456B2" w:rsidP="0090082A">
            <w:pPr>
              <w:spacing w:line="480" w:lineRule="auto"/>
              <w:jc w:val="center"/>
              <w:rPr>
                <w:rFonts w:ascii="Times New Roman" w:hAnsi="Times New Roman" w:cs="Times New Roman"/>
                <w:sz w:val="24"/>
                <w:szCs w:val="24"/>
              </w:rPr>
            </w:pPr>
            <w:r w:rsidRPr="006B3B00">
              <w:rPr>
                <w:rFonts w:ascii="Times New Roman" w:hAnsi="Times New Roman" w:cs="Times New Roman"/>
                <w:sz w:val="24"/>
                <w:szCs w:val="24"/>
              </w:rPr>
              <w:t>(n=130)</w:t>
            </w:r>
          </w:p>
        </w:tc>
        <w:tc>
          <w:tcPr>
            <w:tcW w:w="1417" w:type="dxa"/>
            <w:tcBorders>
              <w:top w:val="nil"/>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b/>
                <w:sz w:val="24"/>
                <w:szCs w:val="24"/>
              </w:rPr>
            </w:pPr>
            <w:r w:rsidRPr="006B3B00">
              <w:rPr>
                <w:rFonts w:ascii="Times New Roman" w:hAnsi="Times New Roman" w:cs="Times New Roman"/>
                <w:b/>
                <w:sz w:val="24"/>
                <w:szCs w:val="24"/>
              </w:rPr>
              <w:t>Refused</w:t>
            </w:r>
          </w:p>
          <w:p w:rsidR="00F456B2" w:rsidRPr="006B3B00" w:rsidRDefault="00F456B2" w:rsidP="0090082A">
            <w:pPr>
              <w:spacing w:line="480" w:lineRule="auto"/>
              <w:jc w:val="center"/>
              <w:rPr>
                <w:rFonts w:ascii="Times New Roman" w:hAnsi="Times New Roman" w:cs="Times New Roman"/>
                <w:sz w:val="24"/>
                <w:szCs w:val="24"/>
              </w:rPr>
            </w:pPr>
            <w:r w:rsidRPr="006B3B00">
              <w:rPr>
                <w:rFonts w:ascii="Times New Roman" w:hAnsi="Times New Roman" w:cs="Times New Roman"/>
                <w:sz w:val="24"/>
                <w:szCs w:val="24"/>
              </w:rPr>
              <w:t>(n=117)</w:t>
            </w:r>
          </w:p>
        </w:tc>
        <w:tc>
          <w:tcPr>
            <w:tcW w:w="1276" w:type="dxa"/>
            <w:gridSpan w:val="2"/>
            <w:tcBorders>
              <w:top w:val="nil"/>
              <w:left w:val="nil"/>
              <w:bottom w:val="single" w:sz="4" w:space="0" w:color="auto"/>
              <w:right w:val="nil"/>
            </w:tcBorders>
            <w:vAlign w:val="center"/>
          </w:tcPr>
          <w:p w:rsidR="00F456B2" w:rsidRPr="006B3B00" w:rsidRDefault="00F456B2" w:rsidP="0090082A">
            <w:pPr>
              <w:spacing w:line="480" w:lineRule="auto"/>
              <w:jc w:val="center"/>
              <w:rPr>
                <w:rFonts w:ascii="Times New Roman" w:hAnsi="Times New Roman" w:cs="Times New Roman"/>
                <w:sz w:val="24"/>
                <w:szCs w:val="24"/>
              </w:rPr>
            </w:pPr>
            <w:r w:rsidRPr="006B3B00">
              <w:rPr>
                <w:rFonts w:ascii="Times New Roman" w:hAnsi="Times New Roman" w:cs="Times New Roman"/>
                <w:b/>
                <w:i/>
                <w:sz w:val="24"/>
                <w:szCs w:val="24"/>
              </w:rPr>
              <w:t>P</w:t>
            </w:r>
            <w:r w:rsidRPr="006B3B00">
              <w:rPr>
                <w:rFonts w:ascii="Times New Roman" w:hAnsi="Times New Roman" w:cs="Times New Roman"/>
                <w:b/>
                <w:sz w:val="24"/>
                <w:szCs w:val="24"/>
              </w:rPr>
              <w:t xml:space="preserve"> value</w:t>
            </w:r>
          </w:p>
        </w:tc>
      </w:tr>
      <w:tr w:rsidR="0014481D" w:rsidRPr="006B3B00" w:rsidTr="001F4BD0">
        <w:trPr>
          <w:trHeight w:val="274"/>
        </w:trPr>
        <w:tc>
          <w:tcPr>
            <w:tcW w:w="2552" w:type="dxa"/>
            <w:tcBorders>
              <w:top w:val="single" w:sz="4" w:space="0" w:color="auto"/>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Age</w:t>
            </w:r>
          </w:p>
        </w:tc>
        <w:tc>
          <w:tcPr>
            <w:tcW w:w="1418" w:type="dxa"/>
            <w:gridSpan w:val="2"/>
            <w:tcBorders>
              <w:top w:val="single" w:sz="4" w:space="0" w:color="auto"/>
              <w:left w:val="nil"/>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30.2 ± 6.1</w:t>
            </w:r>
          </w:p>
        </w:tc>
        <w:tc>
          <w:tcPr>
            <w:tcW w:w="1417" w:type="dxa"/>
            <w:tcBorders>
              <w:top w:val="single" w:sz="4" w:space="0" w:color="auto"/>
              <w:left w:val="nil"/>
              <w:bottom w:val="nil"/>
              <w:right w:val="nil"/>
            </w:tcBorders>
          </w:tcPr>
          <w:p w:rsidR="0014481D" w:rsidRPr="006B3B00" w:rsidRDefault="005773E9"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33.3 ± 8.6</w:t>
            </w:r>
          </w:p>
        </w:tc>
        <w:tc>
          <w:tcPr>
            <w:tcW w:w="1276" w:type="dxa"/>
            <w:gridSpan w:val="2"/>
            <w:tcBorders>
              <w:top w:val="single" w:sz="4" w:space="0" w:color="auto"/>
              <w:left w:val="nil"/>
              <w:bottom w:val="nil"/>
              <w:right w:val="nil"/>
            </w:tcBorders>
          </w:tcPr>
          <w:p w:rsidR="0014481D" w:rsidRPr="006B3B00" w:rsidRDefault="005773E9"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0.005</w:t>
            </w:r>
          </w:p>
        </w:tc>
        <w:tc>
          <w:tcPr>
            <w:tcW w:w="1418" w:type="dxa"/>
            <w:gridSpan w:val="2"/>
            <w:tcBorders>
              <w:top w:val="single" w:sz="4" w:space="0" w:color="auto"/>
              <w:left w:val="nil"/>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29.7 ± 5.8</w:t>
            </w:r>
          </w:p>
        </w:tc>
        <w:tc>
          <w:tcPr>
            <w:tcW w:w="1417" w:type="dxa"/>
            <w:tcBorders>
              <w:top w:val="single" w:sz="4" w:space="0" w:color="auto"/>
              <w:left w:val="nil"/>
              <w:bottom w:val="nil"/>
              <w:right w:val="nil"/>
            </w:tcBorders>
          </w:tcPr>
          <w:p w:rsidR="0014481D" w:rsidRPr="006B3B00" w:rsidRDefault="00AE676B"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30.0 ± 6.3</w:t>
            </w:r>
          </w:p>
        </w:tc>
        <w:tc>
          <w:tcPr>
            <w:tcW w:w="1276" w:type="dxa"/>
            <w:gridSpan w:val="2"/>
            <w:tcBorders>
              <w:top w:val="single" w:sz="4" w:space="0" w:color="auto"/>
              <w:left w:val="nil"/>
              <w:bottom w:val="nil"/>
              <w:right w:val="nil"/>
            </w:tcBorders>
          </w:tcPr>
          <w:p w:rsidR="0014481D" w:rsidRPr="006B3B00" w:rsidRDefault="00AE676B"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0.759</w:t>
            </w:r>
          </w:p>
        </w:tc>
      </w:tr>
      <w:tr w:rsidR="0014481D" w:rsidRPr="006B3B00" w:rsidTr="00F456B2">
        <w:trPr>
          <w:trHeight w:val="426"/>
        </w:trPr>
        <w:tc>
          <w:tcPr>
            <w:tcW w:w="2552" w:type="dxa"/>
            <w:tcBorders>
              <w:top w:val="nil"/>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Male sex</w:t>
            </w:r>
          </w:p>
        </w:tc>
        <w:tc>
          <w:tcPr>
            <w:tcW w:w="1418" w:type="dxa"/>
            <w:gridSpan w:val="2"/>
            <w:tcBorders>
              <w:top w:val="nil"/>
              <w:left w:val="nil"/>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18 (30.5%)</w:t>
            </w:r>
          </w:p>
        </w:tc>
        <w:tc>
          <w:tcPr>
            <w:tcW w:w="1417" w:type="dxa"/>
            <w:tcBorders>
              <w:top w:val="nil"/>
              <w:left w:val="nil"/>
              <w:bottom w:val="nil"/>
              <w:right w:val="nil"/>
            </w:tcBorders>
          </w:tcPr>
          <w:p w:rsidR="0014481D" w:rsidRPr="006B3B00" w:rsidRDefault="005773E9"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47 (36.4%)</w:t>
            </w:r>
          </w:p>
        </w:tc>
        <w:tc>
          <w:tcPr>
            <w:tcW w:w="1276" w:type="dxa"/>
            <w:gridSpan w:val="2"/>
            <w:tcBorders>
              <w:top w:val="nil"/>
              <w:left w:val="nil"/>
              <w:bottom w:val="nil"/>
              <w:right w:val="nil"/>
            </w:tcBorders>
          </w:tcPr>
          <w:p w:rsidR="0014481D" w:rsidRPr="006B3B00" w:rsidRDefault="005773E9"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0.428</w:t>
            </w:r>
          </w:p>
        </w:tc>
        <w:tc>
          <w:tcPr>
            <w:tcW w:w="1418" w:type="dxa"/>
            <w:gridSpan w:val="2"/>
            <w:tcBorders>
              <w:top w:val="nil"/>
              <w:left w:val="nil"/>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18 (13.8%)</w:t>
            </w:r>
          </w:p>
        </w:tc>
        <w:tc>
          <w:tcPr>
            <w:tcW w:w="1417" w:type="dxa"/>
            <w:tcBorders>
              <w:top w:val="nil"/>
              <w:left w:val="nil"/>
              <w:bottom w:val="nil"/>
              <w:right w:val="nil"/>
            </w:tcBorders>
          </w:tcPr>
          <w:p w:rsidR="0014481D" w:rsidRPr="006B3B00" w:rsidRDefault="00AE676B"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23 (19.7%)</w:t>
            </w:r>
          </w:p>
        </w:tc>
        <w:tc>
          <w:tcPr>
            <w:tcW w:w="1276" w:type="dxa"/>
            <w:gridSpan w:val="2"/>
            <w:tcBorders>
              <w:top w:val="nil"/>
              <w:left w:val="nil"/>
              <w:bottom w:val="nil"/>
              <w:right w:val="nil"/>
            </w:tcBorders>
          </w:tcPr>
          <w:p w:rsidR="0014481D" w:rsidRPr="006B3B00" w:rsidRDefault="00AE676B"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0.220</w:t>
            </w:r>
          </w:p>
        </w:tc>
      </w:tr>
      <w:tr w:rsidR="0014481D" w:rsidRPr="006B3B00" w:rsidTr="00F456B2">
        <w:trPr>
          <w:trHeight w:val="275"/>
        </w:trPr>
        <w:tc>
          <w:tcPr>
            <w:tcW w:w="2552" w:type="dxa"/>
            <w:tcBorders>
              <w:top w:val="nil"/>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Exposure duration, days</w:t>
            </w:r>
          </w:p>
        </w:tc>
        <w:tc>
          <w:tcPr>
            <w:tcW w:w="1418" w:type="dxa"/>
            <w:gridSpan w:val="2"/>
            <w:tcBorders>
              <w:top w:val="nil"/>
              <w:left w:val="nil"/>
              <w:bottom w:val="nil"/>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(1-2)</w:t>
            </w:r>
          </w:p>
        </w:tc>
        <w:tc>
          <w:tcPr>
            <w:tcW w:w="1417" w:type="dxa"/>
            <w:tcBorders>
              <w:top w:val="nil"/>
              <w:left w:val="nil"/>
              <w:bottom w:val="nil"/>
              <w:right w:val="nil"/>
            </w:tcBorders>
          </w:tcPr>
          <w:p w:rsidR="0014481D" w:rsidRPr="006B3B00" w:rsidRDefault="005773E9"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(1-2)</w:t>
            </w:r>
          </w:p>
        </w:tc>
        <w:tc>
          <w:tcPr>
            <w:tcW w:w="1276" w:type="dxa"/>
            <w:gridSpan w:val="2"/>
            <w:tcBorders>
              <w:top w:val="nil"/>
              <w:left w:val="nil"/>
              <w:bottom w:val="nil"/>
              <w:right w:val="nil"/>
            </w:tcBorders>
          </w:tcPr>
          <w:p w:rsidR="0014481D" w:rsidRPr="006B3B00" w:rsidRDefault="005773E9"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0.139</w:t>
            </w:r>
          </w:p>
        </w:tc>
        <w:tc>
          <w:tcPr>
            <w:tcW w:w="1418" w:type="dxa"/>
            <w:gridSpan w:val="2"/>
            <w:tcBorders>
              <w:top w:val="nil"/>
              <w:left w:val="nil"/>
              <w:bottom w:val="nil"/>
              <w:right w:val="nil"/>
            </w:tcBorders>
          </w:tcPr>
          <w:p w:rsidR="0014481D" w:rsidRPr="006B3B00" w:rsidRDefault="00D4398F"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417" w:type="dxa"/>
            <w:tcBorders>
              <w:top w:val="nil"/>
              <w:left w:val="nil"/>
              <w:bottom w:val="nil"/>
              <w:right w:val="nil"/>
            </w:tcBorders>
          </w:tcPr>
          <w:p w:rsidR="0014481D" w:rsidRPr="006B3B00" w:rsidRDefault="00D4398F"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276" w:type="dxa"/>
            <w:gridSpan w:val="2"/>
            <w:tcBorders>
              <w:top w:val="nil"/>
              <w:left w:val="nil"/>
              <w:bottom w:val="nil"/>
              <w:right w:val="nil"/>
            </w:tcBorders>
          </w:tcPr>
          <w:p w:rsidR="0014481D" w:rsidRPr="006B3B00" w:rsidRDefault="00D4398F"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N/A</w:t>
            </w:r>
          </w:p>
        </w:tc>
      </w:tr>
      <w:tr w:rsidR="00D4398F" w:rsidRPr="006B3B00" w:rsidTr="00D4398F">
        <w:trPr>
          <w:trHeight w:val="275"/>
        </w:trPr>
        <w:tc>
          <w:tcPr>
            <w:tcW w:w="2552" w:type="dxa"/>
            <w:tcBorders>
              <w:top w:val="nil"/>
              <w:bottom w:val="nil"/>
              <w:right w:val="nil"/>
            </w:tcBorders>
          </w:tcPr>
          <w:p w:rsidR="00D4398F" w:rsidRPr="006B3B00" w:rsidRDefault="00D4398F"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ICU patient care</w:t>
            </w:r>
          </w:p>
        </w:tc>
        <w:tc>
          <w:tcPr>
            <w:tcW w:w="1418" w:type="dxa"/>
            <w:gridSpan w:val="2"/>
            <w:tcBorders>
              <w:top w:val="nil"/>
              <w:left w:val="nil"/>
              <w:bottom w:val="nil"/>
              <w:right w:val="nil"/>
            </w:tcBorders>
          </w:tcPr>
          <w:p w:rsidR="00D4398F" w:rsidRPr="006B3B00" w:rsidRDefault="00D4398F"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417" w:type="dxa"/>
            <w:tcBorders>
              <w:top w:val="nil"/>
              <w:left w:val="nil"/>
              <w:bottom w:val="nil"/>
              <w:right w:val="nil"/>
            </w:tcBorders>
          </w:tcPr>
          <w:p w:rsidR="00D4398F" w:rsidRPr="006B3B00" w:rsidRDefault="00D4398F"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276" w:type="dxa"/>
            <w:gridSpan w:val="2"/>
            <w:tcBorders>
              <w:top w:val="nil"/>
              <w:left w:val="nil"/>
              <w:bottom w:val="nil"/>
              <w:right w:val="nil"/>
            </w:tcBorders>
          </w:tcPr>
          <w:p w:rsidR="00D4398F" w:rsidRPr="006B3B00" w:rsidRDefault="00D4398F"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418" w:type="dxa"/>
            <w:gridSpan w:val="2"/>
            <w:tcBorders>
              <w:top w:val="nil"/>
              <w:left w:val="nil"/>
              <w:bottom w:val="nil"/>
              <w:right w:val="nil"/>
            </w:tcBorders>
          </w:tcPr>
          <w:p w:rsidR="00D4398F" w:rsidRPr="006B3B00" w:rsidRDefault="00D4398F"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72 (55.4%)</w:t>
            </w:r>
          </w:p>
        </w:tc>
        <w:tc>
          <w:tcPr>
            <w:tcW w:w="1417" w:type="dxa"/>
            <w:tcBorders>
              <w:top w:val="nil"/>
              <w:left w:val="nil"/>
              <w:bottom w:val="nil"/>
              <w:right w:val="nil"/>
            </w:tcBorders>
          </w:tcPr>
          <w:p w:rsidR="00D4398F" w:rsidRPr="006B3B00" w:rsidRDefault="00C9671C"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79</w:t>
            </w:r>
            <w:r w:rsidR="00AE676B" w:rsidRPr="006B3B00">
              <w:rPr>
                <w:rFonts w:ascii="Times New Roman" w:hAnsi="Times New Roman" w:cs="Times New Roman"/>
                <w:sz w:val="24"/>
                <w:szCs w:val="24"/>
              </w:rPr>
              <w:t xml:space="preserve"> (</w:t>
            </w:r>
            <w:r w:rsidRPr="006B3B00">
              <w:rPr>
                <w:rFonts w:ascii="Times New Roman" w:hAnsi="Times New Roman" w:cs="Times New Roman"/>
                <w:sz w:val="24"/>
                <w:szCs w:val="24"/>
              </w:rPr>
              <w:t>67.5</w:t>
            </w:r>
            <w:r w:rsidR="00AE676B" w:rsidRPr="006B3B00">
              <w:rPr>
                <w:rFonts w:ascii="Times New Roman" w:hAnsi="Times New Roman" w:cs="Times New Roman"/>
                <w:sz w:val="24"/>
                <w:szCs w:val="24"/>
              </w:rPr>
              <w:t>%)</w:t>
            </w:r>
          </w:p>
        </w:tc>
        <w:tc>
          <w:tcPr>
            <w:tcW w:w="1276" w:type="dxa"/>
            <w:gridSpan w:val="2"/>
            <w:tcBorders>
              <w:top w:val="nil"/>
              <w:left w:val="nil"/>
              <w:bottom w:val="nil"/>
              <w:right w:val="nil"/>
            </w:tcBorders>
          </w:tcPr>
          <w:p w:rsidR="00D4398F" w:rsidRPr="006B3B00" w:rsidRDefault="00C9671C"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0.051</w:t>
            </w:r>
          </w:p>
        </w:tc>
      </w:tr>
      <w:tr w:rsidR="0014481D" w:rsidRPr="006B3B00" w:rsidTr="00D4398F">
        <w:trPr>
          <w:trHeight w:val="289"/>
        </w:trPr>
        <w:tc>
          <w:tcPr>
            <w:tcW w:w="2552" w:type="dxa"/>
            <w:tcBorders>
              <w:top w:val="nil"/>
              <w:bottom w:val="single" w:sz="4" w:space="0" w:color="auto"/>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Symptoms within 2wks.</w:t>
            </w:r>
          </w:p>
        </w:tc>
        <w:tc>
          <w:tcPr>
            <w:tcW w:w="1418" w:type="dxa"/>
            <w:gridSpan w:val="2"/>
            <w:tcBorders>
              <w:top w:val="nil"/>
              <w:left w:val="nil"/>
              <w:bottom w:val="single" w:sz="4" w:space="0" w:color="auto"/>
              <w:right w:val="nil"/>
            </w:tcBorders>
          </w:tcPr>
          <w:p w:rsidR="0014481D" w:rsidRPr="006B3B00" w:rsidRDefault="0014481D"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15 (25.4%)</w:t>
            </w:r>
          </w:p>
        </w:tc>
        <w:tc>
          <w:tcPr>
            <w:tcW w:w="1417" w:type="dxa"/>
            <w:tcBorders>
              <w:top w:val="nil"/>
              <w:left w:val="nil"/>
              <w:bottom w:val="single" w:sz="4" w:space="0" w:color="auto"/>
              <w:right w:val="nil"/>
            </w:tcBorders>
          </w:tcPr>
          <w:p w:rsidR="0014481D" w:rsidRPr="006B3B00" w:rsidRDefault="005773E9"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18 (13.5%)</w:t>
            </w:r>
          </w:p>
        </w:tc>
        <w:tc>
          <w:tcPr>
            <w:tcW w:w="1276" w:type="dxa"/>
            <w:gridSpan w:val="2"/>
            <w:tcBorders>
              <w:top w:val="nil"/>
              <w:left w:val="nil"/>
              <w:bottom w:val="single" w:sz="4" w:space="0" w:color="auto"/>
              <w:right w:val="nil"/>
            </w:tcBorders>
          </w:tcPr>
          <w:p w:rsidR="0014481D" w:rsidRPr="006B3B00" w:rsidRDefault="005773E9"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0.063</w:t>
            </w:r>
          </w:p>
        </w:tc>
        <w:tc>
          <w:tcPr>
            <w:tcW w:w="1418" w:type="dxa"/>
            <w:gridSpan w:val="2"/>
            <w:tcBorders>
              <w:top w:val="nil"/>
              <w:left w:val="nil"/>
              <w:bottom w:val="single" w:sz="4" w:space="0" w:color="auto"/>
              <w:right w:val="nil"/>
            </w:tcBorders>
          </w:tcPr>
          <w:p w:rsidR="0014481D" w:rsidRPr="006B3B00" w:rsidRDefault="00D4398F"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w:t>
            </w:r>
            <w:r w:rsidR="00C9671C" w:rsidRPr="006B3B00">
              <w:rPr>
                <w:rFonts w:ascii="Times New Roman" w:hAnsi="Times New Roman" w:cs="Times New Roman"/>
                <w:sz w:val="24"/>
                <w:szCs w:val="24"/>
              </w:rPr>
              <w:t>7 (20.8</w:t>
            </w:r>
            <w:r w:rsidRPr="006B3B00">
              <w:rPr>
                <w:rFonts w:ascii="Times New Roman" w:hAnsi="Times New Roman" w:cs="Times New Roman"/>
                <w:sz w:val="24"/>
                <w:szCs w:val="24"/>
              </w:rPr>
              <w:t>%)</w:t>
            </w:r>
          </w:p>
        </w:tc>
        <w:tc>
          <w:tcPr>
            <w:tcW w:w="1417" w:type="dxa"/>
            <w:tcBorders>
              <w:top w:val="nil"/>
              <w:left w:val="nil"/>
              <w:bottom w:val="single" w:sz="4" w:space="0" w:color="auto"/>
              <w:right w:val="nil"/>
            </w:tcBorders>
          </w:tcPr>
          <w:p w:rsidR="0014481D" w:rsidRPr="006B3B00" w:rsidRDefault="00C9671C" w:rsidP="0090082A">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25 (21.4%)</w:t>
            </w:r>
          </w:p>
        </w:tc>
        <w:tc>
          <w:tcPr>
            <w:tcW w:w="1276" w:type="dxa"/>
            <w:gridSpan w:val="2"/>
            <w:tcBorders>
              <w:top w:val="nil"/>
              <w:left w:val="nil"/>
              <w:bottom w:val="single" w:sz="4" w:space="0" w:color="auto"/>
              <w:right w:val="nil"/>
            </w:tcBorders>
          </w:tcPr>
          <w:p w:rsidR="0014481D" w:rsidRPr="006B3B00" w:rsidRDefault="00C9671C" w:rsidP="0090082A">
            <w:pPr>
              <w:spacing w:line="480" w:lineRule="auto"/>
              <w:ind w:firstLineChars="100" w:firstLine="240"/>
              <w:jc w:val="left"/>
              <w:rPr>
                <w:rFonts w:ascii="Times New Roman" w:hAnsi="Times New Roman" w:cs="Times New Roman"/>
                <w:sz w:val="24"/>
                <w:szCs w:val="24"/>
              </w:rPr>
            </w:pPr>
            <w:r w:rsidRPr="006B3B00">
              <w:rPr>
                <w:rFonts w:ascii="Times New Roman" w:hAnsi="Times New Roman" w:cs="Times New Roman"/>
                <w:sz w:val="24"/>
                <w:szCs w:val="24"/>
              </w:rPr>
              <w:t>0.908</w:t>
            </w:r>
          </w:p>
        </w:tc>
      </w:tr>
    </w:tbl>
    <w:p w:rsidR="00212CB2" w:rsidRPr="006B3B00" w:rsidRDefault="001529F1" w:rsidP="0090082A">
      <w:pPr>
        <w:spacing w:line="480" w:lineRule="auto"/>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Data are expressed as the number (%) of patients, mean ± SD, or median (IQR).</w:t>
      </w:r>
    </w:p>
    <w:p w:rsidR="001529F1" w:rsidRPr="006B3B00" w:rsidRDefault="001529F1" w:rsidP="001529F1">
      <w:pPr>
        <w:spacing w:after="0" w:line="480" w:lineRule="auto"/>
        <w:jc w:val="left"/>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Abbreviations: MERS, Middle East re</w:t>
      </w:r>
      <w:r w:rsidR="00185AD4">
        <w:rPr>
          <w:rFonts w:ascii="Times New Roman" w:eastAsia="Arial Unicode MS" w:hAnsi="Times New Roman" w:cs="Times New Roman"/>
          <w:sz w:val="24"/>
          <w:szCs w:val="24"/>
        </w:rPr>
        <w:t>spiratory syndrome; HCP, health</w:t>
      </w:r>
      <w:r w:rsidRPr="006B3B00">
        <w:rPr>
          <w:rFonts w:ascii="Times New Roman" w:eastAsia="Arial Unicode MS" w:hAnsi="Times New Roman" w:cs="Times New Roman"/>
          <w:sz w:val="24"/>
          <w:szCs w:val="24"/>
        </w:rPr>
        <w:t>care personnel; N/A, not available; ICU, intensive care unit</w:t>
      </w:r>
    </w:p>
    <w:p w:rsidR="001529F1" w:rsidRPr="006B3B00" w:rsidRDefault="001529F1" w:rsidP="001529F1">
      <w:pPr>
        <w:spacing w:after="0" w:line="480" w:lineRule="auto"/>
        <w:jc w:val="left"/>
        <w:rPr>
          <w:rFonts w:ascii="Times New Roman" w:hAnsi="Times New Roman" w:cs="Times New Roman"/>
          <w:sz w:val="24"/>
          <w:szCs w:val="24"/>
        </w:rPr>
      </w:pPr>
    </w:p>
    <w:p w:rsidR="00697DE1" w:rsidRPr="006B3B00" w:rsidRDefault="00697DE1" w:rsidP="001529F1">
      <w:pPr>
        <w:spacing w:after="0" w:line="480" w:lineRule="auto"/>
        <w:jc w:val="left"/>
        <w:rPr>
          <w:rFonts w:ascii="Times New Roman" w:hAnsi="Times New Roman" w:cs="Times New Roman"/>
          <w:sz w:val="24"/>
          <w:szCs w:val="24"/>
        </w:rPr>
      </w:pPr>
    </w:p>
    <w:p w:rsidR="00697DE1" w:rsidRPr="006B3B00" w:rsidRDefault="00697DE1" w:rsidP="001529F1">
      <w:pPr>
        <w:spacing w:after="0" w:line="480" w:lineRule="auto"/>
        <w:jc w:val="left"/>
        <w:rPr>
          <w:rFonts w:ascii="Times New Roman" w:hAnsi="Times New Roman" w:cs="Times New Roman"/>
          <w:sz w:val="24"/>
          <w:szCs w:val="24"/>
        </w:rPr>
      </w:pPr>
    </w:p>
    <w:p w:rsidR="00697DE1" w:rsidRPr="006B3B00" w:rsidRDefault="00697DE1" w:rsidP="001529F1">
      <w:pPr>
        <w:spacing w:after="0" w:line="480" w:lineRule="auto"/>
        <w:jc w:val="left"/>
        <w:rPr>
          <w:rFonts w:ascii="Times New Roman" w:hAnsi="Times New Roman" w:cs="Times New Roman"/>
          <w:sz w:val="24"/>
          <w:szCs w:val="24"/>
        </w:rPr>
      </w:pPr>
    </w:p>
    <w:p w:rsidR="00697DE1" w:rsidRDefault="00697DE1" w:rsidP="001529F1">
      <w:pPr>
        <w:spacing w:after="0" w:line="480" w:lineRule="auto"/>
        <w:jc w:val="left"/>
        <w:rPr>
          <w:rFonts w:ascii="Times New Roman" w:hAnsi="Times New Roman" w:cs="Times New Roman"/>
          <w:sz w:val="24"/>
          <w:szCs w:val="24"/>
        </w:rPr>
      </w:pPr>
    </w:p>
    <w:p w:rsidR="006B3B00" w:rsidRDefault="006B3B00" w:rsidP="001529F1">
      <w:pPr>
        <w:spacing w:after="0" w:line="480" w:lineRule="auto"/>
        <w:jc w:val="left"/>
        <w:rPr>
          <w:rFonts w:ascii="Times New Roman" w:hAnsi="Times New Roman" w:cs="Times New Roman"/>
          <w:sz w:val="24"/>
          <w:szCs w:val="24"/>
        </w:rPr>
      </w:pPr>
    </w:p>
    <w:p w:rsidR="006B3B00" w:rsidRDefault="006B3B00" w:rsidP="001529F1">
      <w:pPr>
        <w:spacing w:after="0" w:line="480" w:lineRule="auto"/>
        <w:jc w:val="left"/>
        <w:rPr>
          <w:rFonts w:ascii="Times New Roman" w:hAnsi="Times New Roman" w:cs="Times New Roman"/>
          <w:sz w:val="24"/>
          <w:szCs w:val="24"/>
        </w:rPr>
      </w:pPr>
    </w:p>
    <w:p w:rsidR="006B3B00" w:rsidRDefault="006B3B00" w:rsidP="001529F1">
      <w:pPr>
        <w:spacing w:after="0" w:line="480" w:lineRule="auto"/>
        <w:jc w:val="left"/>
        <w:rPr>
          <w:rFonts w:ascii="Times New Roman" w:hAnsi="Times New Roman" w:cs="Times New Roman"/>
          <w:sz w:val="24"/>
          <w:szCs w:val="24"/>
        </w:rPr>
      </w:pPr>
    </w:p>
    <w:p w:rsidR="006B3B00" w:rsidRPr="006B3B00" w:rsidRDefault="006B3B00" w:rsidP="001529F1">
      <w:pPr>
        <w:spacing w:after="0" w:line="480" w:lineRule="auto"/>
        <w:jc w:val="left"/>
        <w:rPr>
          <w:rFonts w:ascii="Times New Roman" w:hAnsi="Times New Roman" w:cs="Times New Roman"/>
          <w:sz w:val="24"/>
          <w:szCs w:val="24"/>
        </w:rPr>
      </w:pPr>
    </w:p>
    <w:p w:rsidR="00697DE1" w:rsidRPr="006B3B00" w:rsidRDefault="00697DE1" w:rsidP="001529F1">
      <w:pPr>
        <w:spacing w:after="0" w:line="480" w:lineRule="auto"/>
        <w:jc w:val="left"/>
        <w:rPr>
          <w:rFonts w:ascii="Times New Roman" w:hAnsi="Times New Roman" w:cs="Times New Roman"/>
          <w:sz w:val="24"/>
          <w:szCs w:val="24"/>
        </w:rPr>
      </w:pPr>
    </w:p>
    <w:p w:rsidR="00F34D9C" w:rsidRPr="006B3B00" w:rsidRDefault="00F34D9C" w:rsidP="00F34D9C">
      <w:pPr>
        <w:spacing w:after="0" w:line="480" w:lineRule="auto"/>
        <w:jc w:val="left"/>
        <w:rPr>
          <w:rFonts w:ascii="Times New Roman" w:eastAsia="Arial Unicode MS" w:hAnsi="Times New Roman" w:cs="Times New Roman"/>
          <w:b/>
          <w:sz w:val="24"/>
          <w:szCs w:val="24"/>
        </w:rPr>
      </w:pPr>
      <w:proofErr w:type="gramStart"/>
      <w:r w:rsidRPr="006B3B00">
        <w:rPr>
          <w:rFonts w:ascii="Times New Roman" w:eastAsia="Arial Unicode MS" w:hAnsi="Times New Roman" w:cs="Times New Roman"/>
          <w:b/>
          <w:sz w:val="24"/>
          <w:szCs w:val="24"/>
        </w:rPr>
        <w:lastRenderedPageBreak/>
        <w:t>Supplementary Table 2.</w:t>
      </w:r>
      <w:proofErr w:type="gramEnd"/>
      <w:r w:rsidRPr="006B3B00">
        <w:rPr>
          <w:rFonts w:ascii="Times New Roman" w:eastAsia="Arial Unicode MS" w:hAnsi="Times New Roman" w:cs="Times New Roman"/>
          <w:b/>
          <w:sz w:val="24"/>
          <w:szCs w:val="24"/>
        </w:rPr>
        <w:t xml:space="preserve"> Characteristics and antibody response of HCP exposed to four highly infective MERS patients</w:t>
      </w:r>
    </w:p>
    <w:tbl>
      <w:tblPr>
        <w:tblStyle w:val="a3"/>
        <w:tblW w:w="10632" w:type="dxa"/>
        <w:tblInd w:w="-7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629"/>
        <w:gridCol w:w="1582"/>
        <w:gridCol w:w="1609"/>
        <w:gridCol w:w="1559"/>
        <w:gridCol w:w="1559"/>
      </w:tblGrid>
      <w:tr w:rsidR="00F34D9C" w:rsidRPr="006B3B00" w:rsidTr="006F6D34">
        <w:trPr>
          <w:trHeight w:val="356"/>
        </w:trPr>
        <w:tc>
          <w:tcPr>
            <w:tcW w:w="2694" w:type="dxa"/>
            <w:vMerge w:val="restart"/>
            <w:tcBorders>
              <w:top w:val="single" w:sz="4" w:space="0" w:color="auto"/>
              <w:left w:val="nil"/>
              <w:bottom w:val="nil"/>
              <w:right w:val="nil"/>
            </w:tcBorders>
            <w:vAlign w:val="center"/>
            <w:hideMark/>
          </w:tcPr>
          <w:p w:rsidR="00F34D9C" w:rsidRPr="006B3B00" w:rsidRDefault="00F34D9C" w:rsidP="006F6D34">
            <w:pPr>
              <w:spacing w:line="480" w:lineRule="auto"/>
              <w:ind w:firstLineChars="100" w:firstLine="240"/>
              <w:jc w:val="left"/>
              <w:rPr>
                <w:rFonts w:ascii="Times New Roman" w:hAnsi="Times New Roman" w:cs="Times New Roman"/>
                <w:b/>
                <w:sz w:val="24"/>
                <w:szCs w:val="24"/>
              </w:rPr>
            </w:pPr>
            <w:r w:rsidRPr="006B3B00">
              <w:rPr>
                <w:rFonts w:ascii="Times New Roman" w:hAnsi="Times New Roman" w:cs="Times New Roman"/>
                <w:b/>
                <w:sz w:val="24"/>
                <w:szCs w:val="24"/>
              </w:rPr>
              <w:t>Variables</w:t>
            </w:r>
          </w:p>
        </w:tc>
        <w:tc>
          <w:tcPr>
            <w:tcW w:w="1629" w:type="dxa"/>
            <w:vMerge w:val="restart"/>
            <w:tcBorders>
              <w:top w:val="single" w:sz="4" w:space="0" w:color="auto"/>
              <w:left w:val="nil"/>
              <w:bottom w:val="nil"/>
              <w:right w:val="nil"/>
            </w:tcBorders>
            <w:vAlign w:val="center"/>
            <w:hideMark/>
          </w:tcPr>
          <w:p w:rsidR="00F34D9C" w:rsidRPr="006B3B00" w:rsidRDefault="00F34D9C" w:rsidP="006F6D34">
            <w:pPr>
              <w:spacing w:line="480" w:lineRule="auto"/>
              <w:jc w:val="left"/>
              <w:rPr>
                <w:rFonts w:ascii="Times New Roman" w:hAnsi="Times New Roman" w:cs="Times New Roman"/>
                <w:b/>
                <w:sz w:val="24"/>
                <w:szCs w:val="24"/>
              </w:rPr>
            </w:pPr>
            <w:r w:rsidRPr="006B3B00">
              <w:rPr>
                <w:rFonts w:ascii="Times New Roman" w:hAnsi="Times New Roman" w:cs="Times New Roman"/>
                <w:b/>
                <w:sz w:val="24"/>
                <w:szCs w:val="24"/>
              </w:rPr>
              <w:t xml:space="preserve">Total </w:t>
            </w:r>
            <w:r w:rsidRPr="006B3B00">
              <w:rPr>
                <w:rFonts w:ascii="Times New Roman" w:hAnsi="Times New Roman" w:cs="Times New Roman"/>
                <w:sz w:val="24"/>
                <w:szCs w:val="24"/>
              </w:rPr>
              <w:t>(n=59)</w:t>
            </w:r>
          </w:p>
        </w:tc>
        <w:tc>
          <w:tcPr>
            <w:tcW w:w="6309" w:type="dxa"/>
            <w:gridSpan w:val="4"/>
            <w:tcBorders>
              <w:top w:val="single" w:sz="4" w:space="0" w:color="auto"/>
              <w:left w:val="nil"/>
              <w:bottom w:val="single" w:sz="4" w:space="0" w:color="auto"/>
              <w:right w:val="nil"/>
            </w:tcBorders>
            <w:vAlign w:val="center"/>
            <w:hideMark/>
          </w:tcPr>
          <w:p w:rsidR="00F34D9C" w:rsidRPr="006B3B00" w:rsidRDefault="00F34D9C" w:rsidP="006F6D34">
            <w:pPr>
              <w:spacing w:line="480" w:lineRule="auto"/>
              <w:ind w:leftChars="100" w:left="200"/>
              <w:jc w:val="left"/>
              <w:rPr>
                <w:rFonts w:ascii="Times New Roman" w:hAnsi="Times New Roman" w:cs="Times New Roman"/>
                <w:b/>
                <w:sz w:val="24"/>
                <w:szCs w:val="24"/>
              </w:rPr>
            </w:pPr>
            <w:r w:rsidRPr="006B3B00">
              <w:rPr>
                <w:rFonts w:ascii="Times New Roman" w:hAnsi="Times New Roman" w:cs="Times New Roman"/>
                <w:b/>
                <w:sz w:val="24"/>
                <w:szCs w:val="24"/>
              </w:rPr>
              <w:t>HCP exposed to</w:t>
            </w:r>
          </w:p>
        </w:tc>
      </w:tr>
      <w:tr w:rsidR="00F34D9C" w:rsidRPr="006B3B00" w:rsidTr="006F6D34">
        <w:trPr>
          <w:trHeight w:val="356"/>
        </w:trPr>
        <w:tc>
          <w:tcPr>
            <w:tcW w:w="2694" w:type="dxa"/>
            <w:vMerge/>
            <w:tcBorders>
              <w:top w:val="nil"/>
              <w:left w:val="nil"/>
              <w:bottom w:val="single" w:sz="4" w:space="0" w:color="auto"/>
              <w:right w:val="nil"/>
            </w:tcBorders>
            <w:vAlign w:val="center"/>
            <w:hideMark/>
          </w:tcPr>
          <w:p w:rsidR="00F34D9C" w:rsidRPr="006B3B00" w:rsidRDefault="00F34D9C" w:rsidP="006F6D34">
            <w:pPr>
              <w:widowControl/>
              <w:wordWrap/>
              <w:autoSpaceDE/>
              <w:autoSpaceDN/>
              <w:spacing w:line="480" w:lineRule="auto"/>
              <w:jc w:val="left"/>
              <w:rPr>
                <w:rFonts w:ascii="Times New Roman" w:hAnsi="Times New Roman" w:cs="Times New Roman"/>
                <w:b/>
                <w:sz w:val="24"/>
                <w:szCs w:val="24"/>
              </w:rPr>
            </w:pPr>
          </w:p>
        </w:tc>
        <w:tc>
          <w:tcPr>
            <w:tcW w:w="1629" w:type="dxa"/>
            <w:vMerge/>
            <w:tcBorders>
              <w:top w:val="nil"/>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single" w:sz="4" w:space="0" w:color="auto"/>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Patient A (n=3)</w:t>
            </w:r>
          </w:p>
        </w:tc>
        <w:tc>
          <w:tcPr>
            <w:tcW w:w="1609" w:type="dxa"/>
            <w:tcBorders>
              <w:top w:val="single" w:sz="4" w:space="0" w:color="auto"/>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Patient B (n=38)</w:t>
            </w:r>
          </w:p>
        </w:tc>
        <w:tc>
          <w:tcPr>
            <w:tcW w:w="1559" w:type="dxa"/>
            <w:tcBorders>
              <w:top w:val="single" w:sz="4" w:space="0" w:color="auto"/>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Patient C (n=8)</w:t>
            </w:r>
          </w:p>
        </w:tc>
        <w:tc>
          <w:tcPr>
            <w:tcW w:w="1559" w:type="dxa"/>
            <w:tcBorders>
              <w:top w:val="single" w:sz="4" w:space="0" w:color="auto"/>
              <w:left w:val="nil"/>
              <w:bottom w:val="single" w:sz="4" w:space="0" w:color="auto"/>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Patient D (n=10)</w:t>
            </w:r>
          </w:p>
        </w:tc>
      </w:tr>
      <w:tr w:rsidR="00F34D9C" w:rsidRPr="006B3B00" w:rsidTr="006F6D34">
        <w:tc>
          <w:tcPr>
            <w:tcW w:w="2694" w:type="dxa"/>
            <w:tcBorders>
              <w:top w:val="single" w:sz="4" w:space="0" w:color="auto"/>
              <w:left w:val="nil"/>
              <w:bottom w:val="nil"/>
              <w:right w:val="nil"/>
            </w:tcBorders>
            <w:hideMark/>
          </w:tcPr>
          <w:p w:rsidR="00F34D9C" w:rsidRPr="006B3B00" w:rsidRDefault="00F34D9C" w:rsidP="006F6D34">
            <w:pPr>
              <w:spacing w:line="480" w:lineRule="auto"/>
              <w:jc w:val="left"/>
              <w:rPr>
                <w:rFonts w:ascii="Times New Roman" w:hAnsi="Times New Roman" w:cs="Times New Roman"/>
                <w:b/>
                <w:sz w:val="24"/>
                <w:szCs w:val="24"/>
              </w:rPr>
            </w:pPr>
            <w:r w:rsidRPr="006B3B00">
              <w:rPr>
                <w:rFonts w:ascii="Times New Roman" w:hAnsi="Times New Roman" w:cs="Times New Roman"/>
                <w:b/>
                <w:sz w:val="24"/>
                <w:szCs w:val="24"/>
              </w:rPr>
              <w:t>Patient factors</w:t>
            </w:r>
          </w:p>
        </w:tc>
        <w:tc>
          <w:tcPr>
            <w:tcW w:w="1629" w:type="dxa"/>
            <w:tcBorders>
              <w:top w:val="single" w:sz="4" w:space="0" w:color="auto"/>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single" w:sz="4" w:space="0" w:color="auto"/>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609" w:type="dxa"/>
            <w:tcBorders>
              <w:top w:val="single" w:sz="4" w:space="0" w:color="auto"/>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single" w:sz="4" w:space="0" w:color="auto"/>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single" w:sz="4" w:space="0" w:color="auto"/>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r>
      <w:tr w:rsidR="00F34D9C" w:rsidRPr="006B3B00" w:rsidTr="006F6D34">
        <w:tc>
          <w:tcPr>
            <w:tcW w:w="2694" w:type="dxa"/>
            <w:tcBorders>
              <w:top w:val="nil"/>
              <w:left w:val="nil"/>
              <w:bottom w:val="nil"/>
              <w:right w:val="nil"/>
            </w:tcBorders>
            <w:hideMark/>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Pneumonia</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r>
      <w:tr w:rsidR="00F34D9C" w:rsidRPr="006B3B00" w:rsidTr="006F6D34">
        <w:tc>
          <w:tcPr>
            <w:tcW w:w="2694" w:type="dxa"/>
            <w:tcBorders>
              <w:top w:val="nil"/>
              <w:left w:val="nil"/>
              <w:bottom w:val="nil"/>
              <w:right w:val="nil"/>
            </w:tcBorders>
            <w:hideMark/>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Cough and sputum</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Yes</w:t>
            </w:r>
          </w:p>
        </w:tc>
      </w:tr>
      <w:tr w:rsidR="00F34D9C" w:rsidRPr="006B3B00" w:rsidTr="006F6D34">
        <w:tc>
          <w:tcPr>
            <w:tcW w:w="2694" w:type="dxa"/>
            <w:tcBorders>
              <w:top w:val="nil"/>
              <w:left w:val="nil"/>
              <w:bottom w:val="nil"/>
              <w:right w:val="nil"/>
            </w:tcBorders>
            <w:hideMark/>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MERS transmission</w:t>
            </w:r>
            <w:r w:rsidRPr="006B3B00">
              <w:rPr>
                <w:rFonts w:ascii="Times New Roman" w:hAnsi="Times New Roman" w:cs="Times New Roman"/>
                <w:sz w:val="24"/>
                <w:szCs w:val="24"/>
                <w:vertAlign w:val="superscript"/>
              </w:rPr>
              <w:t>*</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(27</w:t>
            </w:r>
            <w:r w:rsidRPr="006B3B00">
              <w:rPr>
                <w:rFonts w:ascii="Times New Roman" w:hAnsi="Times New Roman" w:cs="Times New Roman"/>
                <w:sz w:val="24"/>
                <w:szCs w:val="24"/>
                <w:vertAlign w:val="superscript"/>
              </w:rPr>
              <w:t>†</w:t>
            </w:r>
            <w:r w:rsidRPr="006B3B00">
              <w:rPr>
                <w:rFonts w:ascii="Times New Roman" w:hAnsi="Times New Roman" w:cs="Times New Roman"/>
                <w:sz w:val="24"/>
                <w:szCs w:val="24"/>
              </w:rPr>
              <w:t>)</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82</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6</w:t>
            </w:r>
          </w:p>
        </w:tc>
      </w:tr>
      <w:tr w:rsidR="00F34D9C" w:rsidRPr="006B3B00" w:rsidTr="006F6D34">
        <w:tc>
          <w:tcPr>
            <w:tcW w:w="2694" w:type="dxa"/>
            <w:tcBorders>
              <w:top w:val="nil"/>
              <w:left w:val="nil"/>
              <w:bottom w:val="nil"/>
              <w:right w:val="nil"/>
            </w:tcBorders>
            <w:hideMark/>
          </w:tcPr>
          <w:p w:rsidR="00F34D9C" w:rsidRPr="006B3B00" w:rsidRDefault="00F34D9C" w:rsidP="006F6D34">
            <w:pPr>
              <w:spacing w:line="480" w:lineRule="auto"/>
              <w:ind w:leftChars="50" w:left="340" w:hangingChars="100" w:hanging="240"/>
              <w:jc w:val="left"/>
              <w:rPr>
                <w:rFonts w:ascii="Times New Roman" w:hAnsi="Times New Roman" w:cs="Times New Roman"/>
                <w:sz w:val="24"/>
                <w:szCs w:val="24"/>
              </w:rPr>
            </w:pPr>
            <w:r w:rsidRPr="006B3B00">
              <w:rPr>
                <w:rFonts w:ascii="Times New Roman" w:hAnsi="Times New Roman" w:cs="Times New Roman"/>
                <w:sz w:val="24"/>
                <w:szCs w:val="24"/>
              </w:rPr>
              <w:t>Epidemiologic impact</w:t>
            </w:r>
          </w:p>
          <w:p w:rsidR="00F34D9C" w:rsidRPr="006B3B00" w:rsidRDefault="00F34D9C" w:rsidP="006F6D34">
            <w:pPr>
              <w:spacing w:line="480" w:lineRule="auto"/>
              <w:ind w:leftChars="100" w:left="320" w:hangingChars="50" w:hanging="120"/>
              <w:jc w:val="left"/>
              <w:rPr>
                <w:rFonts w:ascii="Times New Roman" w:hAnsi="Times New Roman" w:cs="Times New Roman"/>
                <w:sz w:val="24"/>
                <w:szCs w:val="24"/>
              </w:rPr>
            </w:pPr>
            <w:r w:rsidRPr="006B3B00">
              <w:rPr>
                <w:rFonts w:ascii="Times New Roman" w:hAnsi="Times New Roman" w:cs="Times New Roman"/>
                <w:sz w:val="24"/>
                <w:szCs w:val="24"/>
              </w:rPr>
              <w:t>on the outbreak</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Index case of the outbreak</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Infected 82 tertiary cases</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The highest viral load</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HCP transmission wearing PPE</w:t>
            </w:r>
          </w:p>
        </w:tc>
      </w:tr>
      <w:tr w:rsidR="00F34D9C" w:rsidRPr="006B3B00" w:rsidTr="006F6D34">
        <w:trPr>
          <w:trHeight w:val="375"/>
        </w:trPr>
        <w:tc>
          <w:tcPr>
            <w:tcW w:w="2694" w:type="dxa"/>
            <w:tcBorders>
              <w:top w:val="nil"/>
              <w:left w:val="nil"/>
              <w:bottom w:val="nil"/>
              <w:right w:val="nil"/>
            </w:tcBorders>
            <w:hideMark/>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Quarantined HCP</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189</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27</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89</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37</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36</w:t>
            </w:r>
          </w:p>
        </w:tc>
      </w:tr>
      <w:tr w:rsidR="00F34D9C" w:rsidRPr="006B3B00" w:rsidTr="006F6D34">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b/>
                <w:sz w:val="24"/>
                <w:szCs w:val="24"/>
              </w:rPr>
            </w:pPr>
            <w:r w:rsidRPr="006B3B00">
              <w:rPr>
                <w:rFonts w:ascii="Times New Roman" w:hAnsi="Times New Roman" w:cs="Times New Roman"/>
                <w:b/>
                <w:sz w:val="24"/>
                <w:szCs w:val="24"/>
              </w:rPr>
              <w:t>HCP factors</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Enrollment percent</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31.2%</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11.1%</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42.7%</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21.6%</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27.8%</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Age</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30.2 ± 6.1</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33.0 ± 3.5</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30.4 ± 6.6</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30.8 ± 6.3</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28.0 ± 3.8</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Male sex</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18 (30.5%)</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18 (47.4%)</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Underlying comorbidity</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5 (8.5%)</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 (5.3%)</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(12.5%)</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 (20.0%)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Exposure duration, days</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(1-2)</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(1-N/A)</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(1-2)</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(1-2)</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 (1-2)</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Symptoms within 2wks.</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15 (25.4%)</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(33.3%)</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10 (26.3%)</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4 (40.0%)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Fever/myalgia</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9 (56.2%)</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6 (54.5%)</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 (50.0%)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Headache</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(6.2%)</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(25.0%)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Cough/sputum</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 (18.8%)</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 (18.2%)</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(25.0%)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lastRenderedPageBreak/>
              <w:t xml:space="preserve">  Sore throat/rhinorrhea</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4 (26.7%)</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(100%)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 (18.2%)</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 (25.0%)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Diarrhea</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5 (31.2%)</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 (27.3%)</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2 (50.0%)</w:t>
            </w:r>
          </w:p>
        </w:tc>
      </w:tr>
      <w:tr w:rsidR="00F34D9C" w:rsidRPr="006B3B00" w:rsidTr="006F6D34">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pacing w:val="-20"/>
                <w:sz w:val="24"/>
                <w:szCs w:val="24"/>
              </w:rPr>
            </w:pPr>
            <w:r w:rsidRPr="006B3B00">
              <w:rPr>
                <w:rFonts w:ascii="Times New Roman" w:hAnsi="Times New Roman" w:cs="Times New Roman"/>
                <w:sz w:val="24"/>
                <w:szCs w:val="24"/>
              </w:rPr>
              <w:t xml:space="preserve">  </w:t>
            </w:r>
            <w:r w:rsidRPr="006B3B00">
              <w:rPr>
                <w:rFonts w:ascii="Times New Roman" w:hAnsi="Times New Roman" w:cs="Times New Roman"/>
                <w:spacing w:val="-20"/>
                <w:sz w:val="24"/>
                <w:szCs w:val="24"/>
              </w:rPr>
              <w:t>Symptom duration, days</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 (2-5)</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5</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 (2-8)</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 (2-3)</w:t>
            </w: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b/>
                <w:sz w:val="24"/>
                <w:szCs w:val="24"/>
              </w:rPr>
            </w:pPr>
            <w:r w:rsidRPr="006B3B00">
              <w:rPr>
                <w:rFonts w:ascii="Times New Roman" w:hAnsi="Times New Roman" w:cs="Times New Roman"/>
                <w:b/>
                <w:sz w:val="24"/>
                <w:szCs w:val="24"/>
              </w:rPr>
              <w:t>MERS-</w:t>
            </w:r>
            <w:proofErr w:type="spellStart"/>
            <w:r w:rsidRPr="006B3B00">
              <w:rPr>
                <w:rFonts w:ascii="Times New Roman" w:hAnsi="Times New Roman" w:cs="Times New Roman"/>
                <w:b/>
                <w:sz w:val="24"/>
                <w:szCs w:val="24"/>
              </w:rPr>
              <w:t>CoV</w:t>
            </w:r>
            <w:proofErr w:type="spellEnd"/>
            <w:r w:rsidRPr="006B3B00">
              <w:rPr>
                <w:rFonts w:ascii="Times New Roman" w:hAnsi="Times New Roman" w:cs="Times New Roman"/>
                <w:b/>
                <w:sz w:val="24"/>
                <w:szCs w:val="24"/>
              </w:rPr>
              <w:t xml:space="preserve"> Ab test</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324"/>
        </w:trPr>
        <w:tc>
          <w:tcPr>
            <w:tcW w:w="2694" w:type="dxa"/>
            <w:tcBorders>
              <w:top w:val="nil"/>
              <w:left w:val="nil"/>
              <w:bottom w:val="nil"/>
              <w:right w:val="nil"/>
            </w:tcBorders>
            <w:hideMark/>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Days from exposure</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76 (72-29)</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104 (95-N/A )</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76 (72-79)</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85 (82-86)</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68 (66-69)</w:t>
            </w: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324"/>
        </w:trPr>
        <w:tc>
          <w:tcPr>
            <w:tcW w:w="2694" w:type="dxa"/>
            <w:tcBorders>
              <w:top w:val="nil"/>
              <w:left w:val="nil"/>
              <w:bottom w:val="nil"/>
              <w:right w:val="nil"/>
            </w:tcBorders>
            <w:hideMark/>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ELISA IgG OD ratio</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Mean ± SD</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0.09 ± 0.05</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0.10 ± 0.01</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0.10 ± 0.05</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0.08 ± 0.02</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0.07 ± 0.01</w:t>
            </w: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324"/>
        </w:trPr>
        <w:tc>
          <w:tcPr>
            <w:tcW w:w="2694"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 xml:space="preserve">   Median, IQR</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18"/>
                <w:szCs w:val="24"/>
              </w:rPr>
            </w:pPr>
            <w:r w:rsidRPr="006B3B00">
              <w:rPr>
                <w:rFonts w:ascii="Times New Roman" w:hAnsi="Times New Roman" w:cs="Times New Roman"/>
                <w:sz w:val="18"/>
                <w:szCs w:val="24"/>
              </w:rPr>
              <w:t>0.08, (0.06-0.10)</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18"/>
                <w:szCs w:val="24"/>
              </w:rPr>
            </w:pPr>
            <w:r w:rsidRPr="006B3B00">
              <w:rPr>
                <w:rFonts w:ascii="Times New Roman" w:hAnsi="Times New Roman" w:cs="Times New Roman"/>
                <w:sz w:val="18"/>
                <w:szCs w:val="24"/>
              </w:rPr>
              <w:t>0.10, (0.09-N/A)</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18"/>
                <w:szCs w:val="24"/>
              </w:rPr>
            </w:pPr>
            <w:r w:rsidRPr="006B3B00">
              <w:rPr>
                <w:rFonts w:ascii="Times New Roman" w:hAnsi="Times New Roman" w:cs="Times New Roman"/>
                <w:sz w:val="18"/>
                <w:szCs w:val="24"/>
              </w:rPr>
              <w:t>0.07, (0.06-0.11)</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18"/>
                <w:szCs w:val="24"/>
              </w:rPr>
            </w:pPr>
            <w:r w:rsidRPr="006B3B00">
              <w:rPr>
                <w:rFonts w:ascii="Times New Roman" w:hAnsi="Times New Roman" w:cs="Times New Roman"/>
                <w:sz w:val="18"/>
                <w:szCs w:val="24"/>
              </w:rPr>
              <w:t>0.07, (0.06-0.10)</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18"/>
                <w:szCs w:val="24"/>
              </w:rPr>
            </w:pPr>
            <w:r w:rsidRPr="006B3B00">
              <w:rPr>
                <w:rFonts w:ascii="Times New Roman" w:hAnsi="Times New Roman" w:cs="Times New Roman"/>
                <w:sz w:val="18"/>
                <w:szCs w:val="24"/>
              </w:rPr>
              <w:t>0.06, (0.05-0.08)</w:t>
            </w: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203"/>
        </w:trPr>
        <w:tc>
          <w:tcPr>
            <w:tcW w:w="2694" w:type="dxa"/>
            <w:tcBorders>
              <w:top w:val="nil"/>
              <w:left w:val="nil"/>
              <w:bottom w:val="nil"/>
              <w:right w:val="nil"/>
            </w:tcBorders>
            <w:hideMark/>
          </w:tcPr>
          <w:p w:rsidR="00F34D9C" w:rsidRPr="006B3B00" w:rsidRDefault="00F34D9C" w:rsidP="006F6D34">
            <w:pPr>
              <w:spacing w:line="480" w:lineRule="auto"/>
              <w:ind w:firstLineChars="150" w:firstLine="360"/>
              <w:jc w:val="left"/>
              <w:rPr>
                <w:rFonts w:ascii="Times New Roman" w:hAnsi="Times New Roman" w:cs="Times New Roman"/>
                <w:sz w:val="24"/>
                <w:szCs w:val="24"/>
              </w:rPr>
            </w:pPr>
            <w:r w:rsidRPr="006B3B00">
              <w:rPr>
                <w:rFonts w:ascii="Times New Roman" w:hAnsi="Times New Roman" w:cs="Times New Roman"/>
                <w:sz w:val="24"/>
                <w:szCs w:val="24"/>
              </w:rPr>
              <w:t>OD ratio ≥ 0.2</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 (5.1%)</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3 (7.9%)</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59" w:type="dxa"/>
            <w:tcBorders>
              <w:top w:val="nil"/>
              <w:left w:val="nil"/>
              <w:bottom w:val="nil"/>
              <w:right w:val="nil"/>
            </w:tcBorders>
            <w:hideMark/>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203"/>
        </w:trPr>
        <w:tc>
          <w:tcPr>
            <w:tcW w:w="2694" w:type="dxa"/>
            <w:tcBorders>
              <w:top w:val="nil"/>
              <w:left w:val="nil"/>
              <w:bottom w:val="nil"/>
              <w:right w:val="nil"/>
            </w:tcBorders>
          </w:tcPr>
          <w:p w:rsidR="00F34D9C" w:rsidRPr="006B3B00" w:rsidRDefault="00F34D9C" w:rsidP="006F6D34">
            <w:pPr>
              <w:spacing w:line="480" w:lineRule="auto"/>
              <w:ind w:firstLineChars="50" w:firstLine="120"/>
              <w:jc w:val="left"/>
              <w:rPr>
                <w:rFonts w:ascii="Times New Roman" w:hAnsi="Times New Roman" w:cs="Times New Roman"/>
                <w:sz w:val="24"/>
                <w:szCs w:val="24"/>
              </w:rPr>
            </w:pPr>
            <w:r w:rsidRPr="006B3B00">
              <w:rPr>
                <w:rFonts w:ascii="Times New Roman" w:hAnsi="Times New Roman" w:cs="Times New Roman"/>
                <w:sz w:val="24"/>
                <w:szCs w:val="24"/>
              </w:rPr>
              <w:t>Confirmatory tests</w:t>
            </w:r>
            <w:r w:rsidRPr="006B3B00">
              <w:rPr>
                <w:rFonts w:ascii="Times New Roman" w:eastAsia="Arial Unicode MS" w:hAnsi="Times New Roman" w:cs="Times New Roman"/>
                <w:sz w:val="24"/>
                <w:szCs w:val="24"/>
                <w:vertAlign w:val="superscript"/>
              </w:rPr>
              <w:t>‡</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203"/>
        </w:trPr>
        <w:tc>
          <w:tcPr>
            <w:tcW w:w="2694" w:type="dxa"/>
            <w:tcBorders>
              <w:top w:val="nil"/>
              <w:left w:val="nil"/>
              <w:bottom w:val="nil"/>
              <w:right w:val="nil"/>
            </w:tcBorders>
          </w:tcPr>
          <w:p w:rsidR="00F34D9C" w:rsidRPr="006B3B00" w:rsidRDefault="00F34D9C" w:rsidP="006F6D34">
            <w:pPr>
              <w:spacing w:line="480" w:lineRule="auto"/>
              <w:ind w:firstLineChars="150" w:firstLine="360"/>
              <w:jc w:val="left"/>
              <w:rPr>
                <w:rFonts w:ascii="Times New Roman" w:hAnsi="Times New Roman" w:cs="Times New Roman"/>
                <w:sz w:val="24"/>
                <w:szCs w:val="24"/>
              </w:rPr>
            </w:pPr>
            <w:r w:rsidRPr="006B3B00">
              <w:rPr>
                <w:rFonts w:ascii="Times New Roman" w:hAnsi="Times New Roman" w:cs="Times New Roman"/>
                <w:sz w:val="24"/>
                <w:szCs w:val="24"/>
              </w:rPr>
              <w:t>Positive IFA</w:t>
            </w:r>
          </w:p>
        </w:tc>
        <w:tc>
          <w:tcPr>
            <w:tcW w:w="162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82"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60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nil"/>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r>
      <w:tr w:rsidR="00F34D9C" w:rsidRPr="006B3B00" w:rsidTr="006F6D34">
        <w:tblPrEx>
          <w:tblBorders>
            <w:left w:val="single" w:sz="4" w:space="0" w:color="auto"/>
            <w:right w:val="single" w:sz="4" w:space="0" w:color="auto"/>
            <w:insideH w:val="single" w:sz="4" w:space="0" w:color="auto"/>
            <w:insideV w:val="single" w:sz="4" w:space="0" w:color="auto"/>
          </w:tblBorders>
        </w:tblPrEx>
        <w:trPr>
          <w:trHeight w:val="203"/>
        </w:trPr>
        <w:tc>
          <w:tcPr>
            <w:tcW w:w="2694" w:type="dxa"/>
            <w:tcBorders>
              <w:top w:val="nil"/>
              <w:left w:val="nil"/>
              <w:bottom w:val="single" w:sz="4" w:space="0" w:color="auto"/>
              <w:right w:val="nil"/>
            </w:tcBorders>
          </w:tcPr>
          <w:p w:rsidR="00F34D9C" w:rsidRPr="006B3B00" w:rsidRDefault="00F34D9C" w:rsidP="006F6D34">
            <w:pPr>
              <w:spacing w:line="480" w:lineRule="auto"/>
              <w:ind w:firstLineChars="150" w:firstLine="360"/>
              <w:jc w:val="left"/>
              <w:rPr>
                <w:rFonts w:ascii="Times New Roman" w:hAnsi="Times New Roman" w:cs="Times New Roman"/>
                <w:sz w:val="24"/>
                <w:szCs w:val="24"/>
              </w:rPr>
            </w:pPr>
            <w:r w:rsidRPr="006B3B00">
              <w:rPr>
                <w:rFonts w:ascii="Times New Roman" w:hAnsi="Times New Roman" w:cs="Times New Roman"/>
                <w:sz w:val="24"/>
                <w:szCs w:val="24"/>
              </w:rPr>
              <w:t>Positive PRNT</w:t>
            </w:r>
          </w:p>
        </w:tc>
        <w:tc>
          <w:tcPr>
            <w:tcW w:w="1629" w:type="dxa"/>
            <w:tcBorders>
              <w:top w:val="nil"/>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82" w:type="dxa"/>
            <w:tcBorders>
              <w:top w:val="nil"/>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609" w:type="dxa"/>
            <w:tcBorders>
              <w:top w:val="nil"/>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0 (0.0%)</w:t>
            </w:r>
          </w:p>
        </w:tc>
        <w:tc>
          <w:tcPr>
            <w:tcW w:w="1559" w:type="dxa"/>
            <w:tcBorders>
              <w:top w:val="nil"/>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c>
          <w:tcPr>
            <w:tcW w:w="1559" w:type="dxa"/>
            <w:tcBorders>
              <w:top w:val="nil"/>
              <w:left w:val="nil"/>
              <w:bottom w:val="single" w:sz="4" w:space="0" w:color="auto"/>
              <w:right w:val="nil"/>
            </w:tcBorders>
          </w:tcPr>
          <w:p w:rsidR="00F34D9C" w:rsidRPr="006B3B00" w:rsidRDefault="00F34D9C" w:rsidP="006F6D34">
            <w:pPr>
              <w:spacing w:line="480" w:lineRule="auto"/>
              <w:jc w:val="left"/>
              <w:rPr>
                <w:rFonts w:ascii="Times New Roman" w:hAnsi="Times New Roman" w:cs="Times New Roman"/>
                <w:sz w:val="24"/>
                <w:szCs w:val="24"/>
              </w:rPr>
            </w:pPr>
            <w:r w:rsidRPr="006B3B00">
              <w:rPr>
                <w:rFonts w:ascii="Times New Roman" w:hAnsi="Times New Roman" w:cs="Times New Roman"/>
                <w:sz w:val="24"/>
                <w:szCs w:val="24"/>
              </w:rPr>
              <w:t>N/A</w:t>
            </w:r>
          </w:p>
        </w:tc>
      </w:tr>
    </w:tbl>
    <w:p w:rsidR="00F34D9C" w:rsidRPr="006B3B00" w:rsidRDefault="00F34D9C" w:rsidP="00F34D9C">
      <w:pPr>
        <w:spacing w:after="0" w:line="480" w:lineRule="auto"/>
        <w:jc w:val="left"/>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 xml:space="preserve">Data are expressed as the number (%) of patients, mean ± SD, or median (IQR). </w:t>
      </w:r>
      <w:r w:rsidRPr="006B3B00">
        <w:rPr>
          <w:rFonts w:ascii="Times New Roman" w:eastAsia="Arial Unicode MS" w:hAnsi="Times New Roman" w:cs="Times New Roman"/>
          <w:sz w:val="24"/>
          <w:szCs w:val="24"/>
          <w:vertAlign w:val="superscript"/>
        </w:rPr>
        <w:t>*</w:t>
      </w:r>
      <w:r w:rsidRPr="006B3B00">
        <w:rPr>
          <w:rFonts w:ascii="Times New Roman" w:eastAsia="Arial Unicode MS" w:hAnsi="Times New Roman" w:cs="Times New Roman"/>
          <w:sz w:val="24"/>
          <w:szCs w:val="24"/>
        </w:rPr>
        <w:t xml:space="preserve">In-hospital transmission in our hospital. </w:t>
      </w:r>
      <w:r w:rsidRPr="006B3B00">
        <w:rPr>
          <w:rFonts w:ascii="Times New Roman" w:eastAsia="Arial Unicode MS" w:hAnsi="Times New Roman" w:cs="Times New Roman"/>
          <w:sz w:val="24"/>
          <w:szCs w:val="24"/>
          <w:vertAlign w:val="superscript"/>
        </w:rPr>
        <w:t>†</w:t>
      </w:r>
      <w:r w:rsidRPr="006B3B00">
        <w:rPr>
          <w:rFonts w:ascii="Times New Roman" w:eastAsia="Arial Unicode MS" w:hAnsi="Times New Roman" w:cs="Times New Roman"/>
          <w:sz w:val="24"/>
          <w:szCs w:val="24"/>
        </w:rPr>
        <w:t xml:space="preserve">Transmission from Patient A occurred exclusively outside of our hospital. </w:t>
      </w:r>
      <w:r w:rsidRPr="006B3B00">
        <w:rPr>
          <w:rFonts w:ascii="Times New Roman" w:eastAsia="Arial Unicode MS" w:hAnsi="Times New Roman" w:cs="Times New Roman"/>
          <w:sz w:val="24"/>
          <w:szCs w:val="24"/>
          <w:vertAlign w:val="superscript"/>
        </w:rPr>
        <w:t>‡</w:t>
      </w:r>
      <w:r w:rsidRPr="006B3B00">
        <w:rPr>
          <w:rFonts w:ascii="Times New Roman" w:eastAsia="Arial Unicode MS" w:hAnsi="Times New Roman" w:cs="Times New Roman"/>
          <w:sz w:val="24"/>
          <w:szCs w:val="24"/>
        </w:rPr>
        <w:t>Samples with an ELISA OD ratio</w:t>
      </w:r>
      <w:r w:rsidRPr="006B3B00">
        <w:rPr>
          <w:rFonts w:ascii="Times New Roman" w:hAnsi="Times New Roman" w:cs="Times New Roman"/>
          <w:sz w:val="24"/>
          <w:szCs w:val="24"/>
        </w:rPr>
        <w:t xml:space="preserve"> </w:t>
      </w:r>
      <w:r w:rsidRPr="006B3B00">
        <w:rPr>
          <w:rFonts w:ascii="Times New Roman" w:eastAsia="Arial Unicode MS" w:hAnsi="Times New Roman" w:cs="Times New Roman"/>
          <w:sz w:val="24"/>
          <w:szCs w:val="24"/>
        </w:rPr>
        <w:t>≥ 0.2 were selected for confirmatory tests, which is approximately three-fold of the median (0.06) value of control samples of the present study.</w:t>
      </w:r>
    </w:p>
    <w:p w:rsidR="00F34D9C" w:rsidRPr="006B3B00" w:rsidRDefault="00F34D9C" w:rsidP="00F34D9C">
      <w:pPr>
        <w:spacing w:after="0" w:line="480" w:lineRule="auto"/>
        <w:jc w:val="left"/>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Abbreviations: MERS, Middle East respiratory syndrome; HCP, healthcare personnel; PPE, personal protective equipment; PCR, polymerase chain reaction; Ab, antibody; N/A, not applicable; ELISA, enzyme linked immunosorbent assay; OD, optical density; SD, standard deviation; IQR, interquartile range; IFA, immunofluorescence assay; PRNT, plaque reduction neutralization test</w:t>
      </w:r>
    </w:p>
    <w:p w:rsidR="00B64CF1" w:rsidRPr="006B3B00" w:rsidRDefault="00B64CF1" w:rsidP="001529F1">
      <w:pPr>
        <w:spacing w:after="0" w:line="480" w:lineRule="auto"/>
        <w:jc w:val="left"/>
        <w:rPr>
          <w:rFonts w:ascii="Times New Roman" w:hAnsi="Times New Roman" w:cs="Times New Roman"/>
          <w:sz w:val="24"/>
          <w:szCs w:val="24"/>
        </w:rPr>
      </w:pPr>
    </w:p>
    <w:p w:rsidR="006B3B00" w:rsidRPr="00D31A38" w:rsidRDefault="006B3B00" w:rsidP="006B3B00">
      <w:pPr>
        <w:spacing w:line="480" w:lineRule="auto"/>
        <w:jc w:val="left"/>
        <w:rPr>
          <w:rFonts w:ascii="Times New Roman" w:eastAsia="Arial Unicode MS" w:hAnsi="Times New Roman" w:cs="Times New Roman"/>
          <w:b/>
          <w:sz w:val="24"/>
          <w:szCs w:val="24"/>
        </w:rPr>
      </w:pPr>
      <w:r>
        <w:rPr>
          <w:rFonts w:ascii="Times New Roman" w:eastAsia="Arial Unicode MS" w:hAnsi="Times New Roman" w:cs="Times New Roman" w:hint="eastAsia"/>
          <w:b/>
          <w:noProof/>
          <w:sz w:val="24"/>
          <w:szCs w:val="24"/>
        </w:rPr>
        <w:lastRenderedPageBreak/>
        <w:t xml:space="preserve">SUPPLEMENTARY </w:t>
      </w:r>
      <w:r w:rsidRPr="00D31A38">
        <w:rPr>
          <w:rFonts w:ascii="Times New Roman" w:eastAsia="Arial Unicode MS" w:hAnsi="Times New Roman" w:cs="Times New Roman"/>
          <w:b/>
          <w:noProof/>
          <w:sz w:val="24"/>
          <w:szCs w:val="24"/>
        </w:rPr>
        <w:t>FIGURE LEGENDS</w:t>
      </w:r>
    </w:p>
    <w:p w:rsidR="006B3B00" w:rsidRDefault="006B3B00" w:rsidP="00697DE1">
      <w:pPr>
        <w:spacing w:line="480" w:lineRule="auto"/>
        <w:jc w:val="left"/>
        <w:rPr>
          <w:rFonts w:ascii="Times New Roman" w:eastAsia="Arial Unicode MS" w:hAnsi="Times New Roman" w:cs="Times New Roman"/>
          <w:b/>
          <w:sz w:val="24"/>
          <w:szCs w:val="24"/>
        </w:rPr>
      </w:pPr>
    </w:p>
    <w:p w:rsidR="006B3B00" w:rsidRDefault="006B3B00" w:rsidP="00697DE1">
      <w:pPr>
        <w:spacing w:line="480" w:lineRule="auto"/>
        <w:jc w:val="left"/>
        <w:rPr>
          <w:rFonts w:ascii="Times New Roman" w:eastAsia="Arial Unicode MS" w:hAnsi="Times New Roman" w:cs="Times New Roman"/>
          <w:b/>
          <w:sz w:val="24"/>
          <w:szCs w:val="24"/>
        </w:rPr>
      </w:pPr>
    </w:p>
    <w:p w:rsidR="00B425F0" w:rsidRDefault="00B64CF1" w:rsidP="00697DE1">
      <w:pPr>
        <w:spacing w:line="480" w:lineRule="auto"/>
        <w:jc w:val="left"/>
        <w:rPr>
          <w:rFonts w:ascii="Times New Roman" w:eastAsia="Arial Unicode MS" w:hAnsi="Times New Roman" w:cs="Times New Roman"/>
          <w:b/>
          <w:sz w:val="24"/>
          <w:szCs w:val="24"/>
        </w:rPr>
      </w:pPr>
      <w:proofErr w:type="gramStart"/>
      <w:r w:rsidRPr="006B3B00">
        <w:rPr>
          <w:rFonts w:ascii="Times New Roman" w:eastAsia="Arial Unicode MS" w:hAnsi="Times New Roman" w:cs="Times New Roman"/>
          <w:b/>
          <w:sz w:val="24"/>
          <w:szCs w:val="24"/>
        </w:rPr>
        <w:t xml:space="preserve">Supplementary </w:t>
      </w:r>
      <w:r w:rsidR="00697DE1" w:rsidRPr="006B3B00">
        <w:rPr>
          <w:rFonts w:ascii="Times New Roman" w:eastAsia="Arial Unicode MS" w:hAnsi="Times New Roman" w:cs="Times New Roman"/>
          <w:b/>
          <w:sz w:val="24"/>
          <w:szCs w:val="24"/>
        </w:rPr>
        <w:t xml:space="preserve">Figure </w:t>
      </w:r>
      <w:r w:rsidRPr="006B3B00">
        <w:rPr>
          <w:rFonts w:ascii="Times New Roman" w:eastAsia="Arial Unicode MS" w:hAnsi="Times New Roman" w:cs="Times New Roman"/>
          <w:b/>
          <w:sz w:val="24"/>
          <w:szCs w:val="24"/>
        </w:rPr>
        <w:t>1</w:t>
      </w:r>
      <w:r w:rsidR="00697DE1" w:rsidRPr="006B3B00">
        <w:rPr>
          <w:rFonts w:ascii="Times New Roman" w:eastAsia="Arial Unicode MS" w:hAnsi="Times New Roman" w:cs="Times New Roman"/>
          <w:b/>
          <w:sz w:val="24"/>
          <w:szCs w:val="24"/>
        </w:rPr>
        <w:t>.</w:t>
      </w:r>
      <w:proofErr w:type="gramEnd"/>
      <w:r w:rsidR="00697DE1" w:rsidRPr="006B3B00">
        <w:rPr>
          <w:rFonts w:ascii="Times New Roman" w:eastAsia="Arial Unicode MS" w:hAnsi="Times New Roman" w:cs="Times New Roman"/>
          <w:b/>
          <w:sz w:val="24"/>
          <w:szCs w:val="24"/>
        </w:rPr>
        <w:t xml:space="preserve"> Comparison of anti-MERS-</w:t>
      </w:r>
      <w:proofErr w:type="spellStart"/>
      <w:r w:rsidR="00697DE1" w:rsidRPr="006B3B00">
        <w:rPr>
          <w:rFonts w:ascii="Times New Roman" w:eastAsia="Arial Unicode MS" w:hAnsi="Times New Roman" w:cs="Times New Roman"/>
          <w:b/>
          <w:sz w:val="24"/>
          <w:szCs w:val="24"/>
        </w:rPr>
        <w:t>CoV</w:t>
      </w:r>
      <w:proofErr w:type="spellEnd"/>
      <w:r w:rsidR="00697DE1" w:rsidRPr="006B3B00">
        <w:rPr>
          <w:rFonts w:ascii="Times New Roman" w:eastAsia="Arial Unicode MS" w:hAnsi="Times New Roman" w:cs="Times New Roman"/>
          <w:b/>
          <w:sz w:val="24"/>
          <w:szCs w:val="24"/>
        </w:rPr>
        <w:t xml:space="preserve"> IgG ELISA OD ratios of the controls, exposed HCP, and assigned HCP </w:t>
      </w:r>
    </w:p>
    <w:p w:rsidR="00697DE1" w:rsidRPr="00B425F0" w:rsidRDefault="00697DE1" w:rsidP="00697DE1">
      <w:pPr>
        <w:spacing w:line="480" w:lineRule="auto"/>
        <w:jc w:val="left"/>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Although statistical difference of ELISA OD ratios between the three categories was observed</w:t>
      </w:r>
      <w:r w:rsidR="006B3B00">
        <w:rPr>
          <w:rFonts w:ascii="Times New Roman" w:eastAsia="Arial Unicode MS" w:hAnsi="Times New Roman" w:cs="Times New Roman" w:hint="eastAsia"/>
          <w:sz w:val="24"/>
          <w:szCs w:val="24"/>
        </w:rPr>
        <w:t xml:space="preserve"> (</w:t>
      </w:r>
      <w:r w:rsidR="006B3B00" w:rsidRPr="006B3B00">
        <w:rPr>
          <w:rFonts w:ascii="Times New Roman" w:eastAsia="Arial Unicode MS" w:hAnsi="Times New Roman" w:cs="Times New Roman" w:hint="eastAsia"/>
          <w:i/>
          <w:sz w:val="24"/>
          <w:szCs w:val="24"/>
        </w:rPr>
        <w:t>P</w:t>
      </w:r>
      <w:r w:rsidR="006B3B00">
        <w:rPr>
          <w:rFonts w:ascii="Times New Roman" w:eastAsia="Arial Unicode MS" w:hAnsi="Times New Roman" w:cs="Times New Roman" w:hint="eastAsia"/>
          <w:sz w:val="24"/>
          <w:szCs w:val="24"/>
        </w:rPr>
        <w:t xml:space="preserve"> &lt; 0.001)</w:t>
      </w:r>
      <w:r w:rsidRPr="006B3B00">
        <w:rPr>
          <w:rFonts w:ascii="Times New Roman" w:eastAsia="Arial Unicode MS" w:hAnsi="Times New Roman" w:cs="Times New Roman"/>
          <w:sz w:val="24"/>
          <w:szCs w:val="24"/>
        </w:rPr>
        <w:t>, none of tested sera confirmed to be positive by IFA and PRNT.</w:t>
      </w:r>
    </w:p>
    <w:p w:rsidR="00697DE1" w:rsidRPr="006B3B00" w:rsidRDefault="00697DE1" w:rsidP="00697DE1">
      <w:pPr>
        <w:spacing w:after="0" w:line="480" w:lineRule="auto"/>
        <w:jc w:val="left"/>
        <w:rPr>
          <w:rFonts w:ascii="Times New Roman" w:eastAsia="Arial Unicode MS" w:hAnsi="Times New Roman" w:cs="Times New Roman"/>
          <w:sz w:val="24"/>
          <w:szCs w:val="24"/>
        </w:rPr>
      </w:pPr>
      <w:r w:rsidRPr="006B3B00">
        <w:rPr>
          <w:rFonts w:ascii="Times New Roman" w:eastAsia="Arial Unicode MS" w:hAnsi="Times New Roman" w:cs="Times New Roman"/>
          <w:sz w:val="24"/>
          <w:szCs w:val="24"/>
        </w:rPr>
        <w:t>Abbreviation: MERS-</w:t>
      </w:r>
      <w:proofErr w:type="spellStart"/>
      <w:r w:rsidRPr="006B3B00">
        <w:rPr>
          <w:rFonts w:ascii="Times New Roman" w:eastAsia="Arial Unicode MS" w:hAnsi="Times New Roman" w:cs="Times New Roman"/>
          <w:sz w:val="24"/>
          <w:szCs w:val="24"/>
        </w:rPr>
        <w:t>CoV</w:t>
      </w:r>
      <w:proofErr w:type="spellEnd"/>
      <w:r w:rsidRPr="006B3B00">
        <w:rPr>
          <w:rFonts w:ascii="Times New Roman" w:eastAsia="Arial Unicode MS" w:hAnsi="Times New Roman" w:cs="Times New Roman"/>
          <w:sz w:val="24"/>
          <w:szCs w:val="24"/>
        </w:rPr>
        <w:t>, Middle East respiratory syndrome coronavirus; ELISA,</w:t>
      </w:r>
      <w:r w:rsidRPr="006B3B00">
        <w:rPr>
          <w:rFonts w:ascii="Times New Roman" w:hAnsi="Times New Roman" w:cs="Times New Roman"/>
          <w:sz w:val="24"/>
          <w:szCs w:val="24"/>
        </w:rPr>
        <w:t xml:space="preserve"> </w:t>
      </w:r>
      <w:r w:rsidRPr="006B3B00">
        <w:rPr>
          <w:rFonts w:ascii="Times New Roman" w:eastAsia="Arial Unicode MS" w:hAnsi="Times New Roman" w:cs="Times New Roman"/>
          <w:sz w:val="24"/>
          <w:szCs w:val="24"/>
        </w:rPr>
        <w:t>enzyme linked immunosorbent assay; OD, optical density; HCP, healthcare personnel; IFA, immunofluorescence assay; PRNT, plaque reduction neutralization test</w:t>
      </w:r>
    </w:p>
    <w:p w:rsidR="00697DE1" w:rsidRPr="004E6EC4" w:rsidRDefault="00697DE1" w:rsidP="00697DE1">
      <w:pPr>
        <w:spacing w:line="480" w:lineRule="auto"/>
        <w:jc w:val="left"/>
        <w:rPr>
          <w:rFonts w:ascii="Times New Roman" w:hAnsi="Times New Roman" w:cs="Times New Roman"/>
          <w:sz w:val="24"/>
          <w:szCs w:val="24"/>
        </w:rPr>
      </w:pPr>
    </w:p>
    <w:p w:rsidR="00B425F0" w:rsidRPr="006B3B00" w:rsidRDefault="00B425F0" w:rsidP="00697DE1">
      <w:pPr>
        <w:spacing w:line="480" w:lineRule="auto"/>
        <w:jc w:val="left"/>
        <w:rPr>
          <w:rFonts w:ascii="Times New Roman" w:hAnsi="Times New Roman" w:cs="Times New Roman"/>
          <w:sz w:val="24"/>
          <w:szCs w:val="24"/>
        </w:rPr>
      </w:pPr>
    </w:p>
    <w:p w:rsidR="00B425F0" w:rsidRDefault="00B425F0" w:rsidP="00B425F0">
      <w:pPr>
        <w:spacing w:line="480" w:lineRule="auto"/>
        <w:jc w:val="left"/>
        <w:rPr>
          <w:rFonts w:ascii="Times New Roman" w:hAnsi="Times New Roman" w:cs="Times New Roman"/>
          <w:sz w:val="24"/>
          <w:szCs w:val="24"/>
        </w:rPr>
      </w:pPr>
      <w:proofErr w:type="gramStart"/>
      <w:r w:rsidRPr="00B425F0">
        <w:rPr>
          <w:rFonts w:ascii="Times New Roman" w:eastAsia="Arial Unicode MS" w:hAnsi="Times New Roman" w:cs="Times New Roman"/>
          <w:b/>
          <w:sz w:val="24"/>
          <w:szCs w:val="24"/>
        </w:rPr>
        <w:t xml:space="preserve">Supplementary </w:t>
      </w:r>
      <w:r w:rsidRPr="00B425F0">
        <w:rPr>
          <w:rFonts w:ascii="Times New Roman" w:hAnsi="Times New Roman" w:cs="Times New Roman"/>
          <w:b/>
          <w:sz w:val="24"/>
          <w:szCs w:val="24"/>
        </w:rPr>
        <w:t>Figure 2.</w:t>
      </w:r>
      <w:proofErr w:type="gramEnd"/>
      <w:r w:rsidRPr="00B425F0">
        <w:rPr>
          <w:rFonts w:ascii="Times New Roman" w:hAnsi="Times New Roman" w:cs="Times New Roman"/>
          <w:b/>
          <w:sz w:val="24"/>
          <w:szCs w:val="24"/>
        </w:rPr>
        <w:t xml:space="preserve"> Anti-MERS-</w:t>
      </w:r>
      <w:proofErr w:type="spellStart"/>
      <w:r w:rsidRPr="00B425F0">
        <w:rPr>
          <w:rFonts w:ascii="Times New Roman" w:hAnsi="Times New Roman" w:cs="Times New Roman"/>
          <w:b/>
          <w:sz w:val="24"/>
          <w:szCs w:val="24"/>
        </w:rPr>
        <w:t>CoV</w:t>
      </w:r>
      <w:proofErr w:type="spellEnd"/>
      <w:r w:rsidRPr="00B425F0">
        <w:rPr>
          <w:rFonts w:ascii="Times New Roman" w:hAnsi="Times New Roman" w:cs="Times New Roman"/>
          <w:b/>
          <w:sz w:val="24"/>
          <w:szCs w:val="24"/>
        </w:rPr>
        <w:t xml:space="preserve"> IgG ELISA OD ratios presented according to age of tested individuals</w:t>
      </w:r>
    </w:p>
    <w:p w:rsidR="00B425F0" w:rsidRPr="00B425F0" w:rsidRDefault="00B425F0" w:rsidP="00B425F0">
      <w:pPr>
        <w:spacing w:line="480" w:lineRule="auto"/>
        <w:jc w:val="left"/>
        <w:rPr>
          <w:rFonts w:ascii="Times New Roman" w:hAnsi="Times New Roman" w:cs="Times New Roman"/>
          <w:sz w:val="24"/>
          <w:szCs w:val="24"/>
        </w:rPr>
      </w:pPr>
      <w:r w:rsidRPr="00B425F0">
        <w:rPr>
          <w:rFonts w:ascii="Times New Roman" w:hAnsi="Times New Roman" w:cs="Times New Roman"/>
          <w:sz w:val="24"/>
          <w:szCs w:val="24"/>
        </w:rPr>
        <w:t>Although median of ELISA OD ratio were higher in HC</w:t>
      </w:r>
      <w:r>
        <w:rPr>
          <w:rFonts w:ascii="Times New Roman" w:hAnsi="Times New Roman" w:cs="Times New Roman" w:hint="eastAsia"/>
          <w:sz w:val="24"/>
          <w:szCs w:val="24"/>
        </w:rPr>
        <w:t>P</w:t>
      </w:r>
      <w:r w:rsidRPr="00B425F0">
        <w:rPr>
          <w:rFonts w:ascii="Times New Roman" w:hAnsi="Times New Roman" w:cs="Times New Roman"/>
          <w:sz w:val="24"/>
          <w:szCs w:val="24"/>
        </w:rPr>
        <w:t xml:space="preserve"> and two false-positive results were observed in old ages, there were no statistical relationship between age and OD ratios in both negative controls and HC</w:t>
      </w:r>
      <w:r>
        <w:rPr>
          <w:rFonts w:ascii="Times New Roman" w:hAnsi="Times New Roman" w:cs="Times New Roman" w:hint="eastAsia"/>
          <w:sz w:val="24"/>
          <w:szCs w:val="24"/>
        </w:rPr>
        <w:t>P</w:t>
      </w:r>
      <w:r w:rsidRPr="00B425F0">
        <w:rPr>
          <w:rFonts w:ascii="Times New Roman" w:hAnsi="Times New Roman" w:cs="Times New Roman"/>
          <w:sz w:val="24"/>
          <w:szCs w:val="24"/>
        </w:rPr>
        <w:t xml:space="preserve"> (</w:t>
      </w:r>
      <w:r w:rsidRPr="00B425F0">
        <w:rPr>
          <w:rFonts w:ascii="Times New Roman" w:hAnsi="Times New Roman" w:cs="Times New Roman"/>
          <w:i/>
          <w:sz w:val="24"/>
          <w:szCs w:val="24"/>
        </w:rPr>
        <w:t>P</w:t>
      </w:r>
      <w:r w:rsidRPr="00B425F0">
        <w:rPr>
          <w:rFonts w:ascii="Times New Roman" w:hAnsi="Times New Roman" w:cs="Times New Roman"/>
          <w:sz w:val="24"/>
          <w:szCs w:val="24"/>
        </w:rPr>
        <w:t xml:space="preserve"> = 0.178 and </w:t>
      </w:r>
      <w:r w:rsidRPr="00B425F0">
        <w:rPr>
          <w:rFonts w:ascii="Times New Roman" w:hAnsi="Times New Roman" w:cs="Times New Roman"/>
          <w:i/>
          <w:sz w:val="24"/>
          <w:szCs w:val="24"/>
        </w:rPr>
        <w:t>P</w:t>
      </w:r>
      <w:r w:rsidRPr="00B425F0">
        <w:rPr>
          <w:rFonts w:ascii="Times New Roman" w:hAnsi="Times New Roman" w:cs="Times New Roman"/>
          <w:sz w:val="24"/>
          <w:szCs w:val="24"/>
        </w:rPr>
        <w:t xml:space="preserve"> = 0.416, respectively).</w:t>
      </w:r>
    </w:p>
    <w:p w:rsidR="00104775" w:rsidRPr="006B3B00" w:rsidRDefault="00B425F0" w:rsidP="00B425F0">
      <w:pPr>
        <w:spacing w:line="480" w:lineRule="auto"/>
        <w:jc w:val="left"/>
        <w:rPr>
          <w:rFonts w:ascii="Times New Roman" w:hAnsi="Times New Roman" w:cs="Times New Roman"/>
          <w:sz w:val="24"/>
          <w:szCs w:val="24"/>
        </w:rPr>
      </w:pPr>
      <w:r w:rsidRPr="00B425F0">
        <w:rPr>
          <w:rFonts w:ascii="Times New Roman" w:hAnsi="Times New Roman" w:cs="Times New Roman"/>
          <w:sz w:val="24"/>
          <w:szCs w:val="24"/>
        </w:rPr>
        <w:t>Abbreviation: MERS-</w:t>
      </w:r>
      <w:proofErr w:type="spellStart"/>
      <w:r w:rsidRPr="00B425F0">
        <w:rPr>
          <w:rFonts w:ascii="Times New Roman" w:hAnsi="Times New Roman" w:cs="Times New Roman"/>
          <w:sz w:val="24"/>
          <w:szCs w:val="24"/>
        </w:rPr>
        <w:t>CoV</w:t>
      </w:r>
      <w:proofErr w:type="spellEnd"/>
      <w:r w:rsidRPr="00B425F0">
        <w:rPr>
          <w:rFonts w:ascii="Times New Roman" w:hAnsi="Times New Roman" w:cs="Times New Roman"/>
          <w:sz w:val="24"/>
          <w:szCs w:val="24"/>
        </w:rPr>
        <w:t>, Middle East respiratory syndrome coronavirus; ELISA, enzyme linked immunosorbent assa</w:t>
      </w:r>
      <w:bookmarkStart w:id="0" w:name="_GoBack"/>
      <w:bookmarkEnd w:id="0"/>
      <w:r w:rsidRPr="00B425F0">
        <w:rPr>
          <w:rFonts w:ascii="Times New Roman" w:hAnsi="Times New Roman" w:cs="Times New Roman"/>
          <w:sz w:val="24"/>
          <w:szCs w:val="24"/>
        </w:rPr>
        <w:t>y; OD, optical density; HC</w:t>
      </w:r>
      <w:r>
        <w:rPr>
          <w:rFonts w:ascii="Times New Roman" w:hAnsi="Times New Roman" w:cs="Times New Roman" w:hint="eastAsia"/>
          <w:sz w:val="24"/>
          <w:szCs w:val="24"/>
        </w:rPr>
        <w:t>P</w:t>
      </w:r>
      <w:r w:rsidRPr="00B425F0">
        <w:rPr>
          <w:rFonts w:ascii="Times New Roman" w:hAnsi="Times New Roman" w:cs="Times New Roman"/>
          <w:sz w:val="24"/>
          <w:szCs w:val="24"/>
        </w:rPr>
        <w:t xml:space="preserve">, healthcare </w:t>
      </w:r>
      <w:r>
        <w:rPr>
          <w:rFonts w:ascii="Times New Roman" w:hAnsi="Times New Roman" w:cs="Times New Roman" w:hint="eastAsia"/>
          <w:sz w:val="24"/>
          <w:szCs w:val="24"/>
        </w:rPr>
        <w:t>personnel</w:t>
      </w:r>
    </w:p>
    <w:sectPr w:rsidR="00104775" w:rsidRPr="006B3B00">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69" w:rsidRDefault="00E31669" w:rsidP="001529F1">
      <w:pPr>
        <w:spacing w:after="0" w:line="240" w:lineRule="auto"/>
      </w:pPr>
      <w:r>
        <w:separator/>
      </w:r>
    </w:p>
  </w:endnote>
  <w:endnote w:type="continuationSeparator" w:id="0">
    <w:p w:rsidR="00E31669" w:rsidRDefault="00E31669" w:rsidP="0015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89906"/>
      <w:docPartObj>
        <w:docPartGallery w:val="Page Numbers (Bottom of Page)"/>
        <w:docPartUnique/>
      </w:docPartObj>
    </w:sdtPr>
    <w:sdtEndPr/>
    <w:sdtContent>
      <w:p w:rsidR="00EE0E13" w:rsidRDefault="00EE0E13">
        <w:pPr>
          <w:pStyle w:val="a5"/>
          <w:jc w:val="right"/>
        </w:pPr>
        <w:r>
          <w:fldChar w:fldCharType="begin"/>
        </w:r>
        <w:r>
          <w:instrText>PAGE   \* MERGEFORMAT</w:instrText>
        </w:r>
        <w:r>
          <w:fldChar w:fldCharType="separate"/>
        </w:r>
        <w:r w:rsidR="004E6EC4" w:rsidRPr="004E6EC4">
          <w:rPr>
            <w:noProof/>
            <w:lang w:val="ko-KR"/>
          </w:rPr>
          <w:t>6</w:t>
        </w:r>
        <w:r>
          <w:fldChar w:fldCharType="end"/>
        </w:r>
      </w:p>
    </w:sdtContent>
  </w:sdt>
  <w:p w:rsidR="00EE0E13" w:rsidRDefault="00EE0E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69" w:rsidRDefault="00E31669" w:rsidP="001529F1">
      <w:pPr>
        <w:spacing w:after="0" w:line="240" w:lineRule="auto"/>
      </w:pPr>
      <w:r>
        <w:separator/>
      </w:r>
    </w:p>
  </w:footnote>
  <w:footnote w:type="continuationSeparator" w:id="0">
    <w:p w:rsidR="00E31669" w:rsidRDefault="00E31669" w:rsidP="00152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B2"/>
    <w:rsid w:val="00000B8A"/>
    <w:rsid w:val="00043B6C"/>
    <w:rsid w:val="000D6140"/>
    <w:rsid w:val="00104775"/>
    <w:rsid w:val="0014481D"/>
    <w:rsid w:val="001529F1"/>
    <w:rsid w:val="00185AD4"/>
    <w:rsid w:val="001914E8"/>
    <w:rsid w:val="001F4BD0"/>
    <w:rsid w:val="00212CB2"/>
    <w:rsid w:val="00260373"/>
    <w:rsid w:val="00437D91"/>
    <w:rsid w:val="004E6EC4"/>
    <w:rsid w:val="005403A9"/>
    <w:rsid w:val="005773E9"/>
    <w:rsid w:val="00697DE1"/>
    <w:rsid w:val="006B3B00"/>
    <w:rsid w:val="00733EBF"/>
    <w:rsid w:val="00771806"/>
    <w:rsid w:val="007D5BBF"/>
    <w:rsid w:val="008F36A0"/>
    <w:rsid w:val="0090082A"/>
    <w:rsid w:val="009F7492"/>
    <w:rsid w:val="00AE676B"/>
    <w:rsid w:val="00B425F0"/>
    <w:rsid w:val="00B64CF1"/>
    <w:rsid w:val="00B76EDD"/>
    <w:rsid w:val="00C9671C"/>
    <w:rsid w:val="00D4398F"/>
    <w:rsid w:val="00D824A2"/>
    <w:rsid w:val="00E31669"/>
    <w:rsid w:val="00EA76F3"/>
    <w:rsid w:val="00EE0E13"/>
    <w:rsid w:val="00F34D9C"/>
    <w:rsid w:val="00F456B2"/>
    <w:rsid w:val="00FE6F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B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529F1"/>
    <w:pPr>
      <w:tabs>
        <w:tab w:val="center" w:pos="4513"/>
        <w:tab w:val="right" w:pos="9026"/>
      </w:tabs>
      <w:snapToGrid w:val="0"/>
    </w:pPr>
  </w:style>
  <w:style w:type="character" w:customStyle="1" w:styleId="Char">
    <w:name w:val="머리글 Char"/>
    <w:basedOn w:val="a0"/>
    <w:link w:val="a4"/>
    <w:uiPriority w:val="99"/>
    <w:rsid w:val="001529F1"/>
  </w:style>
  <w:style w:type="paragraph" w:styleId="a5">
    <w:name w:val="footer"/>
    <w:basedOn w:val="a"/>
    <w:link w:val="Char0"/>
    <w:uiPriority w:val="99"/>
    <w:unhideWhenUsed/>
    <w:rsid w:val="001529F1"/>
    <w:pPr>
      <w:tabs>
        <w:tab w:val="center" w:pos="4513"/>
        <w:tab w:val="right" w:pos="9026"/>
      </w:tabs>
      <w:snapToGrid w:val="0"/>
    </w:pPr>
  </w:style>
  <w:style w:type="character" w:customStyle="1" w:styleId="Char0">
    <w:name w:val="바닥글 Char"/>
    <w:basedOn w:val="a0"/>
    <w:link w:val="a5"/>
    <w:uiPriority w:val="99"/>
    <w:rsid w:val="00152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B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529F1"/>
    <w:pPr>
      <w:tabs>
        <w:tab w:val="center" w:pos="4513"/>
        <w:tab w:val="right" w:pos="9026"/>
      </w:tabs>
      <w:snapToGrid w:val="0"/>
    </w:pPr>
  </w:style>
  <w:style w:type="character" w:customStyle="1" w:styleId="Char">
    <w:name w:val="머리글 Char"/>
    <w:basedOn w:val="a0"/>
    <w:link w:val="a4"/>
    <w:uiPriority w:val="99"/>
    <w:rsid w:val="001529F1"/>
  </w:style>
  <w:style w:type="paragraph" w:styleId="a5">
    <w:name w:val="footer"/>
    <w:basedOn w:val="a"/>
    <w:link w:val="Char0"/>
    <w:uiPriority w:val="99"/>
    <w:unhideWhenUsed/>
    <w:rsid w:val="001529F1"/>
    <w:pPr>
      <w:tabs>
        <w:tab w:val="center" w:pos="4513"/>
        <w:tab w:val="right" w:pos="9026"/>
      </w:tabs>
      <w:snapToGrid w:val="0"/>
    </w:pPr>
  </w:style>
  <w:style w:type="character" w:customStyle="1" w:styleId="Char0">
    <w:name w:val="바닥글 Char"/>
    <w:basedOn w:val="a0"/>
    <w:link w:val="a5"/>
    <w:uiPriority w:val="99"/>
    <w:rsid w:val="0015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1085</Words>
  <Characters>6189</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Jae-Hoon Ko</dc:creator>
  <cp:lastModifiedBy>Jae-Hoon Ko</cp:lastModifiedBy>
  <cp:revision>12</cp:revision>
  <dcterms:created xsi:type="dcterms:W3CDTF">2016-09-18T02:07:00Z</dcterms:created>
  <dcterms:modified xsi:type="dcterms:W3CDTF">2016-09-20T11:35:00Z</dcterms:modified>
</cp:coreProperties>
</file>