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29F18" w14:textId="1A522EE8" w:rsidR="00D922DB" w:rsidRPr="00886CEB" w:rsidRDefault="008A6E59" w:rsidP="00AC0DB2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86CEB">
        <w:rPr>
          <w:rFonts w:ascii="Times New Roman" w:hAnsi="Times New Roman" w:cs="Times New Roman"/>
          <w:b/>
        </w:rPr>
        <w:t xml:space="preserve">Additional </w:t>
      </w:r>
      <w:r w:rsidR="00D922DB" w:rsidRPr="00886CEB">
        <w:rPr>
          <w:rFonts w:ascii="Times New Roman" w:hAnsi="Times New Roman" w:cs="Times New Roman"/>
          <w:b/>
        </w:rPr>
        <w:t>Sensitivity Analysis for Key Agent-Based Transmission Model Parameters</w:t>
      </w:r>
    </w:p>
    <w:p w14:paraId="1181C324" w14:textId="5DDE4715" w:rsidR="00D922DB" w:rsidRPr="00886CEB" w:rsidRDefault="00D922DB" w:rsidP="00AC0DB2">
      <w:pPr>
        <w:spacing w:line="480" w:lineRule="auto"/>
        <w:rPr>
          <w:rFonts w:ascii="Times New Roman" w:hAnsi="Times New Roman" w:cs="Times New Roman"/>
          <w:b/>
          <w:color w:val="000000"/>
        </w:rPr>
      </w:pPr>
      <w:r w:rsidRPr="00886CEB">
        <w:rPr>
          <w:rFonts w:ascii="Times New Roman" w:hAnsi="Times New Roman" w:cs="Times New Roman"/>
          <w:b/>
          <w:color w:val="000000"/>
        </w:rPr>
        <w:t>Hand Hygiene Compliance for Nurses</w:t>
      </w:r>
    </w:p>
    <w:p w14:paraId="3A27F0FA" w14:textId="64F15C85" w:rsidR="001D391B" w:rsidRPr="00886CEB" w:rsidRDefault="008A6E59" w:rsidP="00AC0DB2">
      <w:pPr>
        <w:spacing w:line="480" w:lineRule="auto"/>
        <w:rPr>
          <w:rFonts w:ascii="Times New Roman" w:hAnsi="Times New Roman" w:cs="Times New Roman"/>
          <w:color w:val="000000"/>
        </w:rPr>
      </w:pPr>
      <w:r w:rsidRPr="00886CEB">
        <w:rPr>
          <w:rFonts w:ascii="Times New Roman" w:hAnsi="Times New Roman" w:cs="Times New Roman"/>
          <w:color w:val="000000"/>
        </w:rPr>
        <w:t>In the primary analysis</w:t>
      </w:r>
      <w:r w:rsidR="00447CA0" w:rsidRPr="00886CEB">
        <w:rPr>
          <w:rFonts w:ascii="Times New Roman" w:hAnsi="Times New Roman" w:cs="Times New Roman"/>
          <w:color w:val="000000"/>
        </w:rPr>
        <w:t>,</w:t>
      </w:r>
      <w:r w:rsidRPr="00886CEB">
        <w:rPr>
          <w:rFonts w:ascii="Times New Roman" w:hAnsi="Times New Roman" w:cs="Times New Roman"/>
          <w:color w:val="000000"/>
        </w:rPr>
        <w:t xml:space="preserve"> we estimated compliance with hand hygiene </w:t>
      </w:r>
      <w:r w:rsidR="00447CA0" w:rsidRPr="00886CEB">
        <w:rPr>
          <w:rFonts w:ascii="Times New Roman" w:hAnsi="Times New Roman" w:cs="Times New Roman"/>
          <w:color w:val="000000"/>
        </w:rPr>
        <w:t xml:space="preserve">for nurses </w:t>
      </w:r>
      <w:r w:rsidRPr="00886CEB">
        <w:rPr>
          <w:rFonts w:ascii="Times New Roman" w:hAnsi="Times New Roman" w:cs="Times New Roman"/>
          <w:color w:val="000000"/>
        </w:rPr>
        <w:t>to be 8</w:t>
      </w:r>
      <w:r w:rsidR="00447CA0" w:rsidRPr="00886CEB">
        <w:rPr>
          <w:rFonts w:ascii="Times New Roman" w:hAnsi="Times New Roman" w:cs="Times New Roman"/>
          <w:color w:val="000000"/>
        </w:rPr>
        <w:t>0</w:t>
      </w:r>
      <w:r w:rsidRPr="00886CEB">
        <w:rPr>
          <w:rFonts w:ascii="Times New Roman" w:hAnsi="Times New Roman" w:cs="Times New Roman"/>
          <w:color w:val="000000"/>
        </w:rPr>
        <w:t>% based on observed data. However, hand hygiene compliance may vary greatly between centers and may be as low as 40% based on published reviews.</w:t>
      </w:r>
      <w:r w:rsidR="00522DE3" w:rsidRPr="00886CEB">
        <w:rPr>
          <w:rFonts w:ascii="Times New Roman" w:hAnsi="Times New Roman" w:cs="Times New Roman"/>
          <w:color w:val="000000"/>
          <w:vertAlign w:val="superscript"/>
        </w:rPr>
        <w:t>1</w:t>
      </w:r>
      <w:r w:rsidRPr="00886CEB">
        <w:rPr>
          <w:rFonts w:ascii="Times New Roman" w:hAnsi="Times New Roman" w:cs="Times New Roman"/>
          <w:color w:val="000000"/>
        </w:rPr>
        <w:t xml:space="preserve"> Thus, w</w:t>
      </w:r>
      <w:r w:rsidR="001D391B" w:rsidRPr="00886CEB">
        <w:rPr>
          <w:rFonts w:ascii="Times New Roman" w:hAnsi="Times New Roman" w:cs="Times New Roman"/>
          <w:color w:val="000000"/>
        </w:rPr>
        <w:t xml:space="preserve">e </w:t>
      </w:r>
      <w:r w:rsidR="00D922DB" w:rsidRPr="00886CEB">
        <w:rPr>
          <w:rFonts w:ascii="Times New Roman" w:hAnsi="Times New Roman" w:cs="Times New Roman"/>
          <w:color w:val="000000"/>
        </w:rPr>
        <w:t>generated results</w:t>
      </w:r>
      <w:r w:rsidR="001D391B" w:rsidRPr="00886CEB">
        <w:rPr>
          <w:rFonts w:ascii="Times New Roman" w:hAnsi="Times New Roman" w:cs="Times New Roman"/>
          <w:color w:val="000000"/>
        </w:rPr>
        <w:t xml:space="preserve"> for scenarios in which nurses comply with hand hygiene </w:t>
      </w:r>
      <w:r w:rsidR="00D922DB" w:rsidRPr="00886CEB">
        <w:rPr>
          <w:rFonts w:ascii="Times New Roman" w:hAnsi="Times New Roman" w:cs="Times New Roman"/>
          <w:color w:val="000000"/>
        </w:rPr>
        <w:t>less often</w:t>
      </w:r>
      <w:r w:rsidR="00F75BC9" w:rsidRPr="00886CEB">
        <w:rPr>
          <w:rFonts w:ascii="Times New Roman" w:hAnsi="Times New Roman" w:cs="Times New Roman"/>
          <w:color w:val="000000"/>
        </w:rPr>
        <w:t xml:space="preserve"> than the baseline case</w:t>
      </w:r>
      <w:r w:rsidR="00D922DB" w:rsidRPr="00886CEB">
        <w:rPr>
          <w:rFonts w:ascii="Times New Roman" w:hAnsi="Times New Roman" w:cs="Times New Roman"/>
          <w:color w:val="000000"/>
        </w:rPr>
        <w:t xml:space="preserve">, that is, on </w:t>
      </w:r>
      <w:r w:rsidR="00F75BC9" w:rsidRPr="00886CEB">
        <w:rPr>
          <w:rFonts w:ascii="Times New Roman" w:hAnsi="Times New Roman" w:cs="Times New Roman"/>
          <w:color w:val="000000"/>
        </w:rPr>
        <w:t xml:space="preserve">only </w:t>
      </w:r>
      <w:r w:rsidR="00D922DB" w:rsidRPr="00886CEB">
        <w:rPr>
          <w:rFonts w:ascii="Times New Roman" w:hAnsi="Times New Roman" w:cs="Times New Roman"/>
          <w:color w:val="000000"/>
        </w:rPr>
        <w:t xml:space="preserve">50% of visits to patients on entry and </w:t>
      </w:r>
      <w:r w:rsidR="00F75BC9" w:rsidRPr="00886CEB">
        <w:rPr>
          <w:rFonts w:ascii="Times New Roman" w:hAnsi="Times New Roman" w:cs="Times New Roman"/>
          <w:color w:val="000000"/>
        </w:rPr>
        <w:t xml:space="preserve">on </w:t>
      </w:r>
      <w:r w:rsidR="00D922DB" w:rsidRPr="00886CEB">
        <w:rPr>
          <w:rFonts w:ascii="Times New Roman" w:hAnsi="Times New Roman" w:cs="Times New Roman"/>
          <w:color w:val="000000"/>
        </w:rPr>
        <w:t>exit.</w:t>
      </w:r>
      <w:r w:rsidR="001D391B" w:rsidRPr="00886CEB">
        <w:rPr>
          <w:rFonts w:ascii="Times New Roman" w:hAnsi="Times New Roman" w:cs="Times New Roman"/>
          <w:color w:val="000000"/>
        </w:rPr>
        <w:t xml:space="preserve"> The trends for these results were similar to the baseline case, except that transmission </w:t>
      </w:r>
      <w:r w:rsidR="00D922DB" w:rsidRPr="00886CEB">
        <w:rPr>
          <w:rFonts w:ascii="Times New Roman" w:hAnsi="Times New Roman" w:cs="Times New Roman"/>
          <w:color w:val="000000"/>
        </w:rPr>
        <w:t>increased</w:t>
      </w:r>
      <w:r w:rsidR="001D391B" w:rsidRPr="00886CEB">
        <w:rPr>
          <w:rFonts w:ascii="Times New Roman" w:hAnsi="Times New Roman" w:cs="Times New Roman"/>
          <w:color w:val="000000"/>
        </w:rPr>
        <w:t xml:space="preserve"> proportionally due to this change. </w:t>
      </w:r>
      <w:r w:rsidR="00A101B0" w:rsidRPr="00886CEB">
        <w:rPr>
          <w:rFonts w:ascii="Times New Roman" w:hAnsi="Times New Roman" w:cs="Times New Roman"/>
          <w:color w:val="000000"/>
        </w:rPr>
        <w:t>We summarize the prevalence-specific acquisition rates (dependent outcome) as a function of the microbiome effect and antibiotic usage in Figure 1. When considering a microbiome effect of 2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A101B0" w:rsidRPr="00886CEB">
        <w:rPr>
          <w:rFonts w:ascii="Times New Roman" w:hAnsi="Times New Roman" w:cs="Times New Roman"/>
          <w:color w:val="000000"/>
        </w:rPr>
        <w:t>0 (i.e., that patients who received antibiotics were twice as likely to acquire or transmit an MDRO), reducing antibiotic usage from 75% to 65% reduced acquisition rate</w:t>
      </w:r>
      <w:r w:rsidR="00630428" w:rsidRPr="00886CEB">
        <w:rPr>
          <w:rFonts w:ascii="Times New Roman" w:hAnsi="Times New Roman" w:cs="Times New Roman"/>
          <w:color w:val="000000"/>
        </w:rPr>
        <w:t>s</w:t>
      </w:r>
      <w:r w:rsidR="007C5C04">
        <w:rPr>
          <w:rFonts w:ascii="Times New Roman" w:hAnsi="Times New Roman" w:cs="Times New Roman"/>
          <w:color w:val="000000"/>
        </w:rPr>
        <w:t xml:space="preserve"> of high-prevalence MDROs by 13.3% from 12.35 to 10.72</w:t>
      </w:r>
      <w:r w:rsidR="00A101B0" w:rsidRPr="00886CEB">
        <w:rPr>
          <w:rFonts w:ascii="Times New Roman" w:hAnsi="Times New Roman" w:cs="Times New Roman"/>
          <w:color w:val="000000"/>
        </w:rPr>
        <w:t xml:space="preserve"> acquisitions per 1000 patient days (</w:t>
      </w:r>
      <w:r w:rsidR="00A101B0" w:rsidRPr="00886CEB">
        <w:rPr>
          <w:rFonts w:ascii="Times New Roman" w:hAnsi="Times New Roman" w:cs="Times New Roman"/>
          <w:i/>
          <w:color w:val="000000"/>
        </w:rPr>
        <w:t>p</w:t>
      </w:r>
      <w:r w:rsidR="00A101B0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A101B0" w:rsidRPr="00886CEB">
        <w:rPr>
          <w:rFonts w:ascii="Times New Roman" w:hAnsi="Times New Roman" w:cs="Times New Roman"/>
          <w:color w:val="000000"/>
        </w:rPr>
        <w:t>001). Reducing antibiotic usage from 75% to 50% reduced ac</w:t>
      </w:r>
      <w:r w:rsidR="007C5C04">
        <w:rPr>
          <w:rFonts w:ascii="Times New Roman" w:hAnsi="Times New Roman" w:cs="Times New Roman"/>
          <w:color w:val="000000"/>
        </w:rPr>
        <w:t>quisition rates by 28.5% from 12.35 to 8.83</w:t>
      </w:r>
      <w:r w:rsidR="00A101B0" w:rsidRPr="00886CEB">
        <w:rPr>
          <w:rFonts w:ascii="Times New Roman" w:hAnsi="Times New Roman" w:cs="Times New Roman"/>
          <w:color w:val="000000"/>
        </w:rPr>
        <w:t xml:space="preserve"> acquisitions per 1000 patient days (</w:t>
      </w:r>
      <w:r w:rsidR="00A101B0" w:rsidRPr="00886CEB">
        <w:rPr>
          <w:rFonts w:ascii="Times New Roman" w:hAnsi="Times New Roman" w:cs="Times New Roman"/>
          <w:i/>
          <w:color w:val="000000"/>
        </w:rPr>
        <w:t>p</w:t>
      </w:r>
      <w:r w:rsidR="00A101B0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A101B0" w:rsidRPr="00886CEB">
        <w:rPr>
          <w:rFonts w:ascii="Times New Roman" w:hAnsi="Times New Roman" w:cs="Times New Roman"/>
          <w:color w:val="000000"/>
        </w:rPr>
        <w:t>001). For low-prevalence MDROs, absolute reductions in antibiotic usage by 10% and 25%</w:t>
      </w:r>
      <w:r w:rsidR="007C5C04">
        <w:rPr>
          <w:rFonts w:ascii="Times New Roman" w:hAnsi="Times New Roman" w:cs="Times New Roman"/>
          <w:color w:val="000000"/>
        </w:rPr>
        <w:t xml:space="preserve"> reduced acquisition rates by 13.1</w:t>
      </w:r>
      <w:r w:rsidR="00A101B0" w:rsidRPr="00886CEB">
        <w:rPr>
          <w:rFonts w:ascii="Times New Roman" w:hAnsi="Times New Roman" w:cs="Times New Roman"/>
          <w:color w:val="000000"/>
        </w:rPr>
        <w:t>% (</w:t>
      </w:r>
      <w:r w:rsidR="00A101B0" w:rsidRPr="00886CEB">
        <w:rPr>
          <w:rFonts w:ascii="Times New Roman" w:hAnsi="Times New Roman" w:cs="Times New Roman"/>
          <w:i/>
          <w:color w:val="000000"/>
        </w:rPr>
        <w:t>p</w:t>
      </w:r>
      <w:r w:rsidR="00630428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7C5C04">
        <w:rPr>
          <w:rFonts w:ascii="Times New Roman" w:hAnsi="Times New Roman" w:cs="Times New Roman"/>
          <w:color w:val="000000"/>
        </w:rPr>
        <w:t>001) and 33.7</w:t>
      </w:r>
      <w:r w:rsidR="00A101B0" w:rsidRPr="00886CEB">
        <w:rPr>
          <w:rFonts w:ascii="Times New Roman" w:hAnsi="Times New Roman" w:cs="Times New Roman"/>
          <w:color w:val="000000"/>
        </w:rPr>
        <w:t>% (</w:t>
      </w:r>
      <w:r w:rsidR="00A101B0" w:rsidRPr="00886CEB">
        <w:rPr>
          <w:rFonts w:ascii="Times New Roman" w:hAnsi="Times New Roman" w:cs="Times New Roman"/>
          <w:i/>
          <w:color w:val="000000"/>
        </w:rPr>
        <w:t>p</w:t>
      </w:r>
      <w:r w:rsidR="00A101B0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A101B0" w:rsidRPr="00886CEB">
        <w:rPr>
          <w:rFonts w:ascii="Times New Roman" w:hAnsi="Times New Roman" w:cs="Times New Roman"/>
          <w:color w:val="000000"/>
        </w:rPr>
        <w:t xml:space="preserve">001), respectively. </w:t>
      </w:r>
      <w:r w:rsidR="00423161" w:rsidRPr="00886CEB">
        <w:rPr>
          <w:rFonts w:ascii="Times New Roman" w:hAnsi="Times New Roman" w:cs="Times New Roman"/>
          <w:color w:val="000000"/>
        </w:rPr>
        <w:t>These reductions in acquisition rates—due to 10% and 25% absolute reductions in antibiotic usage—become consistently statistically significant (</w:t>
      </w:r>
      <w:r w:rsidR="00423161" w:rsidRPr="00886CEB">
        <w:rPr>
          <w:rFonts w:ascii="Times New Roman" w:hAnsi="Times New Roman" w:cs="Times New Roman"/>
          <w:i/>
          <w:color w:val="000000"/>
        </w:rPr>
        <w:t>p</w:t>
      </w:r>
      <w:r w:rsidR="00423161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423161" w:rsidRPr="00886CEB">
        <w:rPr>
          <w:rFonts w:ascii="Times New Roman" w:hAnsi="Times New Roman" w:cs="Times New Roman"/>
          <w:color w:val="000000"/>
        </w:rPr>
        <w:t>05) at a microbiome effect o</w:t>
      </w:r>
      <w:r w:rsidR="00630428" w:rsidRPr="00886CEB">
        <w:rPr>
          <w:rFonts w:ascii="Times New Roman" w:hAnsi="Times New Roman" w:cs="Times New Roman"/>
          <w:color w:val="000000"/>
        </w:rPr>
        <w:t xml:space="preserve">f </w:t>
      </w:r>
      <w:r w:rsidR="007C5C04">
        <w:rPr>
          <w:rFonts w:ascii="Times New Roman" w:hAnsi="Times New Roman" w:cs="Times New Roman"/>
          <w:color w:val="000000"/>
        </w:rPr>
        <w:t>1.3</w:t>
      </w:r>
      <w:r w:rsidR="00C565AE">
        <w:rPr>
          <w:rFonts w:ascii="Times New Roman" w:hAnsi="Times New Roman" w:cs="Times New Roman"/>
          <w:color w:val="000000"/>
        </w:rPr>
        <w:t xml:space="preserve"> and </w:t>
      </w:r>
      <w:r w:rsidR="00630428" w:rsidRPr="00886CEB">
        <w:rPr>
          <w:rFonts w:ascii="Times New Roman" w:hAnsi="Times New Roman" w:cs="Times New Roman"/>
          <w:color w:val="000000"/>
        </w:rPr>
        <w:t>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7C5C04">
        <w:rPr>
          <w:rFonts w:ascii="Times New Roman" w:hAnsi="Times New Roman" w:cs="Times New Roman"/>
          <w:color w:val="000000"/>
        </w:rPr>
        <w:t>1</w:t>
      </w:r>
      <w:r w:rsidR="00C565AE">
        <w:rPr>
          <w:rFonts w:ascii="Times New Roman" w:hAnsi="Times New Roman" w:cs="Times New Roman"/>
          <w:color w:val="000000"/>
        </w:rPr>
        <w:t>, respectively</w:t>
      </w:r>
      <w:r w:rsidR="00F75BC9" w:rsidRPr="00886CEB">
        <w:rPr>
          <w:rFonts w:ascii="Times New Roman" w:hAnsi="Times New Roman" w:cs="Times New Roman"/>
          <w:color w:val="000000"/>
        </w:rPr>
        <w:t xml:space="preserve"> for high-prevalence MDROs. For low-prevalence organisms, the reductions in acquisition rates become consistently statistically significant (</w:t>
      </w:r>
      <w:r w:rsidR="00F75BC9" w:rsidRPr="00886CEB">
        <w:rPr>
          <w:rFonts w:ascii="Times New Roman" w:hAnsi="Times New Roman" w:cs="Times New Roman"/>
          <w:i/>
          <w:color w:val="000000"/>
        </w:rPr>
        <w:t>p</w:t>
      </w:r>
      <w:r w:rsidR="00F75BC9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F75BC9" w:rsidRPr="00886CEB">
        <w:rPr>
          <w:rFonts w:ascii="Times New Roman" w:hAnsi="Times New Roman" w:cs="Times New Roman"/>
          <w:color w:val="000000"/>
        </w:rPr>
        <w:t>05) at a microbio</w:t>
      </w:r>
      <w:r w:rsidR="00630428" w:rsidRPr="00886CEB">
        <w:rPr>
          <w:rFonts w:ascii="Times New Roman" w:hAnsi="Times New Roman" w:cs="Times New Roman"/>
          <w:color w:val="000000"/>
        </w:rPr>
        <w:t>me effect of 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6E2E55">
        <w:rPr>
          <w:rFonts w:ascii="Times New Roman" w:hAnsi="Times New Roman" w:cs="Times New Roman"/>
          <w:color w:val="000000"/>
        </w:rPr>
        <w:t>4</w:t>
      </w:r>
      <w:r w:rsidR="00F75BC9" w:rsidRPr="00886CEB">
        <w:rPr>
          <w:rFonts w:ascii="Times New Roman" w:hAnsi="Times New Roman" w:cs="Times New Roman"/>
          <w:color w:val="000000"/>
        </w:rPr>
        <w:t xml:space="preserve"> for a </w:t>
      </w:r>
      <w:r w:rsidR="00F75BC9" w:rsidRPr="00886CEB">
        <w:rPr>
          <w:rFonts w:ascii="Times New Roman" w:hAnsi="Times New Roman" w:cs="Times New Roman"/>
          <w:color w:val="000000"/>
        </w:rPr>
        <w:lastRenderedPageBreak/>
        <w:t xml:space="preserve">25% absolute reduction in antibiotic usage, but are not consistently significant </w:t>
      </w:r>
      <w:r w:rsidR="00630428" w:rsidRPr="00886CEB">
        <w:rPr>
          <w:rFonts w:ascii="Times New Roman" w:hAnsi="Times New Roman" w:cs="Times New Roman"/>
          <w:color w:val="000000"/>
        </w:rPr>
        <w:t>until a microbiome effect of 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6E2E55">
        <w:rPr>
          <w:rFonts w:ascii="Times New Roman" w:hAnsi="Times New Roman" w:cs="Times New Roman"/>
          <w:color w:val="000000"/>
        </w:rPr>
        <w:t>9</w:t>
      </w:r>
      <w:r w:rsidR="00630428" w:rsidRPr="00886CEB">
        <w:rPr>
          <w:rFonts w:ascii="Times New Roman" w:hAnsi="Times New Roman" w:cs="Times New Roman"/>
          <w:color w:val="000000"/>
        </w:rPr>
        <w:t xml:space="preserve"> </w:t>
      </w:r>
      <w:r w:rsidR="00F75BC9" w:rsidRPr="00886CEB">
        <w:rPr>
          <w:rFonts w:ascii="Times New Roman" w:hAnsi="Times New Roman" w:cs="Times New Roman"/>
          <w:color w:val="000000"/>
        </w:rPr>
        <w:t>for a 10% antibiotic reduction (although some statistically significant results are observed at microbiome effects as</w:t>
      </w:r>
      <w:r w:rsidR="00630428" w:rsidRPr="00886CEB">
        <w:rPr>
          <w:rFonts w:ascii="Times New Roman" w:hAnsi="Times New Roman" w:cs="Times New Roman"/>
          <w:color w:val="000000"/>
        </w:rPr>
        <w:t xml:space="preserve"> low as 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6E2E55">
        <w:rPr>
          <w:rFonts w:ascii="Times New Roman" w:hAnsi="Times New Roman" w:cs="Times New Roman"/>
          <w:color w:val="000000"/>
        </w:rPr>
        <w:t>6</w:t>
      </w:r>
      <w:bookmarkStart w:id="0" w:name="_GoBack"/>
      <w:bookmarkEnd w:id="0"/>
      <w:r w:rsidR="00F75BC9" w:rsidRPr="00886CEB">
        <w:rPr>
          <w:rFonts w:ascii="Times New Roman" w:hAnsi="Times New Roman" w:cs="Times New Roman"/>
          <w:color w:val="000000"/>
        </w:rPr>
        <w:t>).</w:t>
      </w:r>
    </w:p>
    <w:p w14:paraId="2B37554A" w14:textId="1132B45E" w:rsidR="00A101B0" w:rsidRPr="00886CEB" w:rsidRDefault="00470F6F" w:rsidP="00AC0DB2">
      <w:pPr>
        <w:spacing w:line="48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13E3AA9" wp14:editId="688B9729">
            <wp:extent cx="548640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quisitionrateresults_3x_hh_fin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CD3B" w14:textId="77777777" w:rsidR="00274200" w:rsidRDefault="00BC6537" w:rsidP="00AC0DB2">
      <w:pPr>
        <w:spacing w:line="480" w:lineRule="auto"/>
        <w:rPr>
          <w:rFonts w:ascii="Times New Roman" w:hAnsi="Times New Roman" w:cs="Times New Roman"/>
          <w:bCs/>
          <w:color w:val="000000"/>
        </w:rPr>
      </w:pPr>
      <w:r w:rsidRPr="00886CEB">
        <w:rPr>
          <w:rFonts w:ascii="Times New Roman" w:hAnsi="Times New Roman" w:cs="Times New Roman"/>
          <w:b/>
          <w:bCs/>
          <w:color w:val="000000"/>
        </w:rPr>
        <w:t xml:space="preserve">Figure 1. </w:t>
      </w:r>
      <w:r w:rsidRPr="00886CEB">
        <w:rPr>
          <w:rFonts w:ascii="Times New Roman" w:hAnsi="Times New Roman" w:cs="Times New Roman"/>
          <w:bCs/>
          <w:color w:val="000000"/>
        </w:rPr>
        <w:t>Prevalence-specific MDRO acquisition rates as a function of microbiome effect and antibiotic usage levels for nurse hand hygiene compliance levels of 50% on entry and on exit.</w:t>
      </w:r>
    </w:p>
    <w:p w14:paraId="19805559" w14:textId="77777777" w:rsidR="00886CEB" w:rsidRPr="00886CEB" w:rsidRDefault="00886CEB" w:rsidP="00AC0DB2">
      <w:pPr>
        <w:spacing w:line="480" w:lineRule="auto"/>
        <w:rPr>
          <w:rFonts w:ascii="Times New Roman" w:hAnsi="Times New Roman" w:cs="Times New Roman"/>
          <w:b/>
          <w:color w:val="000000"/>
        </w:rPr>
      </w:pPr>
    </w:p>
    <w:p w14:paraId="485BFAB0" w14:textId="3359DCF0" w:rsidR="00274200" w:rsidRPr="00886CEB" w:rsidRDefault="00D922DB" w:rsidP="00AC0DB2">
      <w:pPr>
        <w:spacing w:line="480" w:lineRule="auto"/>
        <w:rPr>
          <w:rFonts w:ascii="Times New Roman" w:hAnsi="Times New Roman" w:cs="Times New Roman"/>
          <w:b/>
          <w:color w:val="000000"/>
        </w:rPr>
      </w:pPr>
      <w:r w:rsidRPr="00886CEB">
        <w:rPr>
          <w:rFonts w:ascii="Times New Roman" w:hAnsi="Times New Roman" w:cs="Times New Roman"/>
          <w:b/>
          <w:color w:val="000000"/>
        </w:rPr>
        <w:t xml:space="preserve">Mutation </w:t>
      </w:r>
      <w:r w:rsidR="00447CA0" w:rsidRPr="00886CEB">
        <w:rPr>
          <w:rFonts w:ascii="Times New Roman" w:hAnsi="Times New Roman" w:cs="Times New Roman"/>
          <w:b/>
          <w:color w:val="000000"/>
        </w:rPr>
        <w:t xml:space="preserve">Effect </w:t>
      </w:r>
      <w:r w:rsidRPr="00886CEB">
        <w:rPr>
          <w:rFonts w:ascii="Times New Roman" w:hAnsi="Times New Roman" w:cs="Times New Roman"/>
          <w:b/>
          <w:color w:val="000000"/>
        </w:rPr>
        <w:t>for Patients Receiving Antibiotics</w:t>
      </w:r>
    </w:p>
    <w:p w14:paraId="094D7B99" w14:textId="3FFAB3AC" w:rsidR="00BC6537" w:rsidRPr="00886CEB" w:rsidRDefault="00A60D26" w:rsidP="00AC0DB2">
      <w:pPr>
        <w:spacing w:line="480" w:lineRule="auto"/>
        <w:rPr>
          <w:rFonts w:ascii="Times New Roman" w:hAnsi="Times New Roman" w:cs="Times New Roman"/>
          <w:color w:val="000000"/>
        </w:rPr>
      </w:pPr>
      <w:r w:rsidRPr="00886CEB">
        <w:rPr>
          <w:rFonts w:ascii="Times New Roman" w:hAnsi="Times New Roman" w:cs="Times New Roman"/>
          <w:color w:val="000000"/>
        </w:rPr>
        <w:t xml:space="preserve">In addition to the effects of antibiotic exposure on the human microbiome, antibiotic exposure may also lead to the development of antibiotic resistance via genetic mutation (which we </w:t>
      </w:r>
      <w:r w:rsidR="009D253A" w:rsidRPr="00886CEB">
        <w:rPr>
          <w:rFonts w:ascii="Times New Roman" w:hAnsi="Times New Roman" w:cs="Times New Roman"/>
          <w:color w:val="000000"/>
        </w:rPr>
        <w:t xml:space="preserve">parameterize as the </w:t>
      </w:r>
      <w:r w:rsidRPr="00886CEB">
        <w:rPr>
          <w:rFonts w:ascii="Times New Roman" w:hAnsi="Times New Roman" w:cs="Times New Roman"/>
          <w:i/>
          <w:color w:val="000000"/>
        </w:rPr>
        <w:t>mutation effect</w:t>
      </w:r>
      <w:r w:rsidRPr="00886CEB">
        <w:rPr>
          <w:rFonts w:ascii="Times New Roman" w:hAnsi="Times New Roman" w:cs="Times New Roman"/>
          <w:color w:val="000000"/>
        </w:rPr>
        <w:t>). However, the actual proportion of patients who receive antibiotics and develop resistance through this mechanism is unknown. In the primary analysis</w:t>
      </w:r>
      <w:r w:rsidR="009D253A" w:rsidRPr="00886CEB">
        <w:rPr>
          <w:rFonts w:ascii="Times New Roman" w:hAnsi="Times New Roman" w:cs="Times New Roman"/>
          <w:color w:val="000000"/>
        </w:rPr>
        <w:t>,</w:t>
      </w:r>
      <w:r w:rsidRPr="00886CEB">
        <w:rPr>
          <w:rFonts w:ascii="Times New Roman" w:hAnsi="Times New Roman" w:cs="Times New Roman"/>
          <w:color w:val="000000"/>
        </w:rPr>
        <w:t xml:space="preserve"> we estimated the mutation effect to be 1%</w:t>
      </w:r>
      <w:r w:rsidR="009D253A" w:rsidRPr="00886CEB">
        <w:rPr>
          <w:rFonts w:ascii="Times New Roman" w:hAnsi="Times New Roman" w:cs="Times New Roman"/>
          <w:color w:val="000000"/>
        </w:rPr>
        <w:t>;</w:t>
      </w:r>
      <w:r w:rsidRPr="00886CEB">
        <w:rPr>
          <w:rFonts w:ascii="Times New Roman" w:hAnsi="Times New Roman" w:cs="Times New Roman"/>
          <w:color w:val="000000"/>
        </w:rPr>
        <w:t xml:space="preserve"> however, based on uncertainty in the </w:t>
      </w:r>
      <w:r w:rsidR="009D253A" w:rsidRPr="00886CEB">
        <w:rPr>
          <w:rFonts w:ascii="Times New Roman" w:hAnsi="Times New Roman" w:cs="Times New Roman"/>
          <w:color w:val="000000"/>
        </w:rPr>
        <w:t>literature</w:t>
      </w:r>
      <w:r w:rsidR="00707931" w:rsidRPr="00886CEB">
        <w:rPr>
          <w:rFonts w:ascii="Times New Roman" w:hAnsi="Times New Roman" w:cs="Times New Roman"/>
          <w:color w:val="000000"/>
        </w:rPr>
        <w:t>,</w:t>
      </w:r>
      <w:r w:rsidR="009D253A" w:rsidRPr="00886CEB">
        <w:rPr>
          <w:rFonts w:ascii="Times New Roman" w:hAnsi="Times New Roman" w:cs="Times New Roman"/>
          <w:color w:val="000000"/>
        </w:rPr>
        <w:t xml:space="preserve"> </w:t>
      </w:r>
      <w:r w:rsidRPr="00886CEB">
        <w:rPr>
          <w:rFonts w:ascii="Times New Roman" w:hAnsi="Times New Roman" w:cs="Times New Roman"/>
          <w:color w:val="000000"/>
        </w:rPr>
        <w:t xml:space="preserve">we include a sensitivity analysis of this </w:t>
      </w:r>
      <w:r w:rsidR="00707931" w:rsidRPr="00886CEB">
        <w:rPr>
          <w:rFonts w:ascii="Times New Roman" w:hAnsi="Times New Roman" w:cs="Times New Roman"/>
          <w:color w:val="000000"/>
        </w:rPr>
        <w:t>parameter</w:t>
      </w:r>
      <w:r w:rsidRPr="00886CEB">
        <w:rPr>
          <w:rFonts w:ascii="Times New Roman" w:hAnsi="Times New Roman" w:cs="Times New Roman"/>
          <w:color w:val="000000"/>
        </w:rPr>
        <w:t xml:space="preserve">. </w:t>
      </w:r>
      <w:r w:rsidR="00274200" w:rsidRPr="00886CEB">
        <w:rPr>
          <w:rFonts w:ascii="Times New Roman" w:hAnsi="Times New Roman" w:cs="Times New Roman"/>
          <w:color w:val="000000"/>
        </w:rPr>
        <w:t>We generated results for scenarios in which the mutation rate for patients receiving antibiotics</w:t>
      </w:r>
      <w:r w:rsidR="00BC6537" w:rsidRPr="00886CEB">
        <w:rPr>
          <w:rFonts w:ascii="Times New Roman" w:hAnsi="Times New Roman" w:cs="Times New Roman"/>
          <w:color w:val="000000"/>
        </w:rPr>
        <w:t xml:space="preserve"> was higher than the baseline case, that is, 5% instead of 1%</w:t>
      </w:r>
      <w:r w:rsidR="00274200" w:rsidRPr="00886CEB">
        <w:rPr>
          <w:rFonts w:ascii="Times New Roman" w:hAnsi="Times New Roman" w:cs="Times New Roman"/>
          <w:color w:val="000000"/>
        </w:rPr>
        <w:t xml:space="preserve">. </w:t>
      </w:r>
      <w:r w:rsidR="00BC6537" w:rsidRPr="00886CEB">
        <w:rPr>
          <w:rFonts w:ascii="Times New Roman" w:hAnsi="Times New Roman" w:cs="Times New Roman"/>
          <w:color w:val="000000"/>
        </w:rPr>
        <w:t>The trends for these results were similar to the baseline case, except that transmission increased proportionally due to this change. We summarize the prevalence-specific acquisition rates (dependent outcome) as a function of the microbiome effect and antibiotic usage in Figure 2. When considering a microbiome effect of 2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 (i.e., that patients who received antibiotics were twice as likely to acquire or transmit an MDRO), reducing antibiotic usage from 75% to 65% reduced acquisition rat</w:t>
      </w:r>
      <w:r w:rsidR="0009344E">
        <w:rPr>
          <w:rFonts w:ascii="Times New Roman" w:hAnsi="Times New Roman" w:cs="Times New Roman"/>
          <w:color w:val="000000"/>
        </w:rPr>
        <w:t>es of high-prevalence MDROs by 9.08% from 11.84 to 10.77</w:t>
      </w:r>
      <w:r w:rsidR="00BC6537" w:rsidRPr="00886CEB">
        <w:rPr>
          <w:rFonts w:ascii="Times New Roman" w:hAnsi="Times New Roman" w:cs="Times New Roman"/>
          <w:color w:val="000000"/>
        </w:rPr>
        <w:t xml:space="preserve"> acquisitions per 1000 patient days (</w:t>
      </w:r>
      <w:r w:rsidR="00BC6537" w:rsidRPr="00886CEB">
        <w:rPr>
          <w:rFonts w:ascii="Times New Roman" w:hAnsi="Times New Roman" w:cs="Times New Roman"/>
          <w:i/>
          <w:color w:val="000000"/>
        </w:rPr>
        <w:t>p</w:t>
      </w:r>
      <w:r w:rsidR="00BC6537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001). Reducing antibiotic usage from 75% to 50%</w:t>
      </w:r>
      <w:r w:rsidR="0009344E">
        <w:rPr>
          <w:rFonts w:ascii="Times New Roman" w:hAnsi="Times New Roman" w:cs="Times New Roman"/>
          <w:color w:val="000000"/>
        </w:rPr>
        <w:t xml:space="preserve"> reduced acquisition rates by 19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09344E">
        <w:rPr>
          <w:rFonts w:ascii="Times New Roman" w:hAnsi="Times New Roman" w:cs="Times New Roman"/>
          <w:color w:val="000000"/>
        </w:rPr>
        <w:t>3% from 11.84 to 9.56</w:t>
      </w:r>
      <w:r w:rsidR="00BC6537" w:rsidRPr="00886CEB">
        <w:rPr>
          <w:rFonts w:ascii="Times New Roman" w:hAnsi="Times New Roman" w:cs="Times New Roman"/>
          <w:color w:val="000000"/>
        </w:rPr>
        <w:t xml:space="preserve"> acquisitions per 1000 patient days (</w:t>
      </w:r>
      <w:r w:rsidR="00BC6537" w:rsidRPr="00886CEB">
        <w:rPr>
          <w:rFonts w:ascii="Times New Roman" w:hAnsi="Times New Roman" w:cs="Times New Roman"/>
          <w:i/>
          <w:color w:val="000000"/>
        </w:rPr>
        <w:t>p</w:t>
      </w:r>
      <w:r w:rsidR="00BC6537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001). For low-prevalence MDROs, absolute reductions in antibiotic usage by 10% and 25%</w:t>
      </w:r>
      <w:r w:rsidR="00AC0DB2">
        <w:rPr>
          <w:rFonts w:ascii="Times New Roman" w:hAnsi="Times New Roman" w:cs="Times New Roman"/>
          <w:color w:val="000000"/>
        </w:rPr>
        <w:t xml:space="preserve"> </w:t>
      </w:r>
      <w:r w:rsidR="008D1C49">
        <w:rPr>
          <w:rFonts w:ascii="Times New Roman" w:hAnsi="Times New Roman" w:cs="Times New Roman"/>
          <w:color w:val="000000"/>
        </w:rPr>
        <w:t>reduced acquisition rates by 10.8</w:t>
      </w:r>
      <w:r w:rsidR="00BC6537" w:rsidRPr="00886CEB">
        <w:rPr>
          <w:rFonts w:ascii="Times New Roman" w:hAnsi="Times New Roman" w:cs="Times New Roman"/>
          <w:color w:val="000000"/>
        </w:rPr>
        <w:t>% (</w:t>
      </w:r>
      <w:r w:rsidR="00BC6537" w:rsidRPr="00886CEB">
        <w:rPr>
          <w:rFonts w:ascii="Times New Roman" w:hAnsi="Times New Roman" w:cs="Times New Roman"/>
          <w:i/>
          <w:color w:val="000000"/>
        </w:rPr>
        <w:t>p</w:t>
      </w:r>
      <w:r w:rsidR="00BC6537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001) and</w:t>
      </w:r>
      <w:r w:rsidR="008D1C49">
        <w:rPr>
          <w:rFonts w:ascii="Times New Roman" w:hAnsi="Times New Roman" w:cs="Times New Roman"/>
          <w:color w:val="000000"/>
        </w:rPr>
        <w:t xml:space="preserve"> 22.0</w:t>
      </w:r>
      <w:r w:rsidR="00BC6537" w:rsidRPr="00886CEB">
        <w:rPr>
          <w:rFonts w:ascii="Times New Roman" w:hAnsi="Times New Roman" w:cs="Times New Roman"/>
          <w:color w:val="000000"/>
        </w:rPr>
        <w:t>% (</w:t>
      </w:r>
      <w:r w:rsidR="00BC6537" w:rsidRPr="00886CEB">
        <w:rPr>
          <w:rFonts w:ascii="Times New Roman" w:hAnsi="Times New Roman" w:cs="Times New Roman"/>
          <w:i/>
          <w:color w:val="000000"/>
        </w:rPr>
        <w:t>p</w:t>
      </w:r>
      <w:r w:rsidR="00BC6537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001), respectively. These reductions in acquisition rates—due to 10% and 25% absolute reductions in antibiotic usage—become consistently statistically significant (</w:t>
      </w:r>
      <w:r w:rsidR="00BC6537" w:rsidRPr="00886CEB">
        <w:rPr>
          <w:rFonts w:ascii="Times New Roman" w:hAnsi="Times New Roman" w:cs="Times New Roman"/>
          <w:i/>
          <w:color w:val="000000"/>
        </w:rPr>
        <w:t>p</w:t>
      </w:r>
      <w:r w:rsidR="00BC6537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05) at a microbiome effect of 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8D1C49">
        <w:rPr>
          <w:rFonts w:ascii="Times New Roman" w:hAnsi="Times New Roman" w:cs="Times New Roman"/>
          <w:color w:val="000000"/>
        </w:rPr>
        <w:t>4</w:t>
      </w:r>
      <w:r w:rsidR="00BC6537" w:rsidRPr="00886CEB">
        <w:rPr>
          <w:rFonts w:ascii="Times New Roman" w:hAnsi="Times New Roman" w:cs="Times New Roman"/>
          <w:color w:val="000000"/>
        </w:rPr>
        <w:t xml:space="preserve"> for high-prevalence MDROs. For low-prevalence organisms, the reductions in acquisition rates become consistently statistically significant (</w:t>
      </w:r>
      <w:r w:rsidR="00BC6537" w:rsidRPr="00886CEB">
        <w:rPr>
          <w:rFonts w:ascii="Times New Roman" w:hAnsi="Times New Roman" w:cs="Times New Roman"/>
          <w:i/>
          <w:color w:val="000000"/>
        </w:rPr>
        <w:t>p</w:t>
      </w:r>
      <w:r w:rsidR="00BC6537" w:rsidRPr="00886CEB">
        <w:rPr>
          <w:rFonts w:ascii="Times New Roman" w:hAnsi="Times New Roman" w:cs="Times New Roman"/>
          <w:color w:val="000000"/>
        </w:rPr>
        <w:t xml:space="preserve"> &lt; 0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05) at a microbiome effect of 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9B142E">
        <w:rPr>
          <w:rFonts w:ascii="Times New Roman" w:hAnsi="Times New Roman" w:cs="Times New Roman"/>
          <w:color w:val="000000"/>
        </w:rPr>
        <w:t>4</w:t>
      </w:r>
      <w:r w:rsidR="00BC6537" w:rsidRPr="00886CEB">
        <w:rPr>
          <w:rFonts w:ascii="Times New Roman" w:hAnsi="Times New Roman" w:cs="Times New Roman"/>
          <w:color w:val="000000"/>
        </w:rPr>
        <w:t xml:space="preserve"> for a 25% absolute reduction in antibiotic usage, but are not consistently significant </w:t>
      </w:r>
      <w:r w:rsidR="00AC0DB2">
        <w:rPr>
          <w:rFonts w:ascii="Times New Roman" w:hAnsi="Times New Roman" w:cs="Times New Roman"/>
          <w:color w:val="000000"/>
        </w:rPr>
        <w:t>until a</w:t>
      </w:r>
      <w:r w:rsidR="00BC6537" w:rsidRPr="00886CEB">
        <w:rPr>
          <w:rFonts w:ascii="Times New Roman" w:hAnsi="Times New Roman" w:cs="Times New Roman"/>
          <w:color w:val="000000"/>
        </w:rPr>
        <w:t xml:space="preserve"> microbiome effect</w:t>
      </w:r>
      <w:r w:rsidR="00AC0DB2">
        <w:rPr>
          <w:rFonts w:ascii="Times New Roman" w:hAnsi="Times New Roman" w:cs="Times New Roman"/>
          <w:color w:val="000000"/>
        </w:rPr>
        <w:t xml:space="preserve"> of 2.0</w:t>
      </w:r>
      <w:r w:rsidR="00BC6537" w:rsidRPr="00886CEB">
        <w:rPr>
          <w:rFonts w:ascii="Times New Roman" w:hAnsi="Times New Roman" w:cs="Times New Roman"/>
          <w:color w:val="000000"/>
        </w:rPr>
        <w:t xml:space="preserve"> for a 10% antibiotic reduction (although some statistically significant results are observed at microbiome effects as low as 1</w:t>
      </w:r>
      <w:r w:rsidR="009901B2" w:rsidRPr="00886CEB">
        <w:rPr>
          <w:rFonts w:ascii="Times New Roman" w:hAnsi="Times New Roman" w:cs="Times New Roman"/>
          <w:color w:val="000000"/>
        </w:rPr>
        <w:t>.</w:t>
      </w:r>
      <w:r w:rsidR="00BC6537" w:rsidRPr="00886CEB">
        <w:rPr>
          <w:rFonts w:ascii="Times New Roman" w:hAnsi="Times New Roman" w:cs="Times New Roman"/>
          <w:color w:val="000000"/>
        </w:rPr>
        <w:t>6).</w:t>
      </w:r>
    </w:p>
    <w:p w14:paraId="7C8B4AE2" w14:textId="45957575" w:rsidR="00BC6537" w:rsidRPr="00886CEB" w:rsidRDefault="00EC6431" w:rsidP="00AC0DB2">
      <w:pPr>
        <w:spacing w:line="48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1C7E538" wp14:editId="124693AE">
            <wp:extent cx="54864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quisitionrateresults_3x_mut_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CA0C" w14:textId="77777777" w:rsidR="00274200" w:rsidRPr="00886CEB" w:rsidRDefault="00BC6537" w:rsidP="00AC0DB2">
      <w:pPr>
        <w:spacing w:line="480" w:lineRule="auto"/>
        <w:rPr>
          <w:rFonts w:ascii="Times New Roman" w:hAnsi="Times New Roman" w:cs="Times New Roman"/>
          <w:color w:val="000000"/>
        </w:rPr>
      </w:pPr>
      <w:r w:rsidRPr="00886CEB">
        <w:rPr>
          <w:rFonts w:ascii="Times New Roman" w:hAnsi="Times New Roman" w:cs="Times New Roman"/>
          <w:b/>
          <w:bCs/>
          <w:color w:val="000000"/>
        </w:rPr>
        <w:t xml:space="preserve">Figure 2. </w:t>
      </w:r>
      <w:r w:rsidRPr="00886CEB">
        <w:rPr>
          <w:rFonts w:ascii="Times New Roman" w:hAnsi="Times New Roman" w:cs="Times New Roman"/>
          <w:bCs/>
          <w:color w:val="000000"/>
        </w:rPr>
        <w:t>Prevalence-specific MDRO acquisition rates as a function of microbiome effect and antibiotic usage levels for a mutation rate of 5%.</w:t>
      </w:r>
    </w:p>
    <w:p w14:paraId="18521B06" w14:textId="77777777" w:rsidR="00AC0DB2" w:rsidRDefault="00AC0D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F4C5C2" w14:textId="33DBF4FB" w:rsidR="00274200" w:rsidRPr="00886CEB" w:rsidRDefault="00661AFA" w:rsidP="00AC0DB2">
      <w:pPr>
        <w:spacing w:line="480" w:lineRule="auto"/>
        <w:rPr>
          <w:rFonts w:ascii="Times New Roman" w:hAnsi="Times New Roman" w:cs="Times New Roman"/>
          <w:b/>
        </w:rPr>
      </w:pPr>
      <w:r w:rsidRPr="00886CEB">
        <w:rPr>
          <w:rFonts w:ascii="Times New Roman" w:hAnsi="Times New Roman" w:cs="Times New Roman"/>
          <w:b/>
        </w:rPr>
        <w:t>References</w:t>
      </w:r>
    </w:p>
    <w:p w14:paraId="70787197" w14:textId="77777777" w:rsidR="00661AFA" w:rsidRPr="00886CEB" w:rsidRDefault="00661AFA" w:rsidP="00AC0DB2">
      <w:pPr>
        <w:spacing w:line="480" w:lineRule="auto"/>
        <w:rPr>
          <w:rFonts w:ascii="Times New Roman" w:hAnsi="Times New Roman" w:cs="Times New Roman"/>
          <w:b/>
        </w:rPr>
      </w:pPr>
    </w:p>
    <w:p w14:paraId="15B48662" w14:textId="16B08A1D" w:rsidR="00522DE3" w:rsidRPr="00886CEB" w:rsidRDefault="00661AFA" w:rsidP="00AC0DB2">
      <w:pPr>
        <w:spacing w:line="480" w:lineRule="auto"/>
        <w:rPr>
          <w:rFonts w:ascii="Times New Roman" w:hAnsi="Times New Roman" w:cs="Times New Roman"/>
        </w:rPr>
      </w:pPr>
      <w:r w:rsidRPr="00886CEB">
        <w:rPr>
          <w:rFonts w:ascii="Times New Roman" w:hAnsi="Times New Roman" w:cs="Times New Roman"/>
        </w:rPr>
        <w:t xml:space="preserve">1. </w:t>
      </w:r>
      <w:r w:rsidR="00522DE3" w:rsidRPr="00886CEB">
        <w:rPr>
          <w:rFonts w:ascii="Times New Roman" w:hAnsi="Times New Roman" w:cs="Times New Roman"/>
        </w:rPr>
        <w:t>Erasmus V, Daha TJ, Brug H, et al. Systematic review of studies on compliance with hand hygiene guidelines in hospital care. </w:t>
      </w:r>
      <w:r w:rsidR="00522DE3" w:rsidRPr="00886CEB">
        <w:rPr>
          <w:rFonts w:ascii="Times New Roman" w:hAnsi="Times New Roman" w:cs="Times New Roman"/>
          <w:i/>
          <w:iCs/>
        </w:rPr>
        <w:t>Infect Control Hosp Epidemiol</w:t>
      </w:r>
      <w:r w:rsidR="00522DE3" w:rsidRPr="00886CEB">
        <w:rPr>
          <w:rFonts w:ascii="Times New Roman" w:hAnsi="Times New Roman" w:cs="Times New Roman"/>
        </w:rPr>
        <w:t xml:space="preserve"> 2010; </w:t>
      </w:r>
      <w:r w:rsidR="00522DE3" w:rsidRPr="00886CEB">
        <w:rPr>
          <w:rFonts w:ascii="Times New Roman" w:hAnsi="Times New Roman" w:cs="Times New Roman"/>
          <w:b/>
        </w:rPr>
        <w:t>31</w:t>
      </w:r>
      <w:r w:rsidR="00522DE3" w:rsidRPr="00886CEB">
        <w:rPr>
          <w:rFonts w:ascii="Times New Roman" w:hAnsi="Times New Roman" w:cs="Times New Roman"/>
        </w:rPr>
        <w:t>(3): 283-94.</w:t>
      </w:r>
    </w:p>
    <w:p w14:paraId="49EFC6AE" w14:textId="0EA5D116" w:rsidR="00661AFA" w:rsidRPr="00886CEB" w:rsidRDefault="00661AFA" w:rsidP="00AC0DB2">
      <w:pPr>
        <w:spacing w:line="480" w:lineRule="auto"/>
        <w:rPr>
          <w:rFonts w:ascii="Times New Roman" w:hAnsi="Times New Roman" w:cs="Times New Roman"/>
        </w:rPr>
      </w:pPr>
    </w:p>
    <w:sectPr w:rsidR="00661AFA" w:rsidRPr="00886CEB" w:rsidSect="00D247C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6C85E" w14:textId="77777777" w:rsidR="007C5C04" w:rsidRDefault="007C5C04" w:rsidP="00D922DB">
      <w:r>
        <w:separator/>
      </w:r>
    </w:p>
  </w:endnote>
  <w:endnote w:type="continuationSeparator" w:id="0">
    <w:p w14:paraId="23C7EAD2" w14:textId="77777777" w:rsidR="007C5C04" w:rsidRDefault="007C5C04" w:rsidP="00D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9659" w14:textId="77777777" w:rsidR="007C5C04" w:rsidRDefault="007C5C04" w:rsidP="008A6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EA542" w14:textId="77777777" w:rsidR="007C5C04" w:rsidRDefault="007C5C04" w:rsidP="008E51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906F" w14:textId="77777777" w:rsidR="007C5C04" w:rsidRDefault="007C5C04" w:rsidP="008A6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E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3BA7B" w14:textId="77777777" w:rsidR="007C5C04" w:rsidRDefault="007C5C04" w:rsidP="008E51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24445" w14:textId="77777777" w:rsidR="007C5C04" w:rsidRDefault="007C5C04" w:rsidP="00D922DB">
      <w:r>
        <w:separator/>
      </w:r>
    </w:p>
  </w:footnote>
  <w:footnote w:type="continuationSeparator" w:id="0">
    <w:p w14:paraId="79845A51" w14:textId="77777777" w:rsidR="007C5C04" w:rsidRDefault="007C5C04" w:rsidP="00D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1B"/>
    <w:rsid w:val="0009344E"/>
    <w:rsid w:val="000C68D4"/>
    <w:rsid w:val="000E76FB"/>
    <w:rsid w:val="001D391B"/>
    <w:rsid w:val="00274200"/>
    <w:rsid w:val="003D5344"/>
    <w:rsid w:val="00423161"/>
    <w:rsid w:val="00447CA0"/>
    <w:rsid w:val="00470F6F"/>
    <w:rsid w:val="00522DE3"/>
    <w:rsid w:val="00630428"/>
    <w:rsid w:val="00661AFA"/>
    <w:rsid w:val="006E2E55"/>
    <w:rsid w:val="007018F5"/>
    <w:rsid w:val="00707931"/>
    <w:rsid w:val="007C5C04"/>
    <w:rsid w:val="008601DD"/>
    <w:rsid w:val="00886CEB"/>
    <w:rsid w:val="00894E27"/>
    <w:rsid w:val="008A6E59"/>
    <w:rsid w:val="008D1C49"/>
    <w:rsid w:val="008E51B3"/>
    <w:rsid w:val="00926CE4"/>
    <w:rsid w:val="009901B2"/>
    <w:rsid w:val="009B142E"/>
    <w:rsid w:val="009D253A"/>
    <w:rsid w:val="00A101B0"/>
    <w:rsid w:val="00A60D26"/>
    <w:rsid w:val="00AC0DB2"/>
    <w:rsid w:val="00BC6537"/>
    <w:rsid w:val="00C565AE"/>
    <w:rsid w:val="00D247C1"/>
    <w:rsid w:val="00D922DB"/>
    <w:rsid w:val="00DB21BC"/>
    <w:rsid w:val="00E2767F"/>
    <w:rsid w:val="00EB0EDA"/>
    <w:rsid w:val="00EC6431"/>
    <w:rsid w:val="00F7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C5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91B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91B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DB"/>
  </w:style>
  <w:style w:type="paragraph" w:styleId="Footer">
    <w:name w:val="footer"/>
    <w:basedOn w:val="Normal"/>
    <w:link w:val="FooterChar"/>
    <w:uiPriority w:val="99"/>
    <w:unhideWhenUsed/>
    <w:rsid w:val="00D92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C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C9"/>
    <w:rPr>
      <w:rFonts w:eastAsiaTheme="minorHAnsi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51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91B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91B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DB"/>
  </w:style>
  <w:style w:type="paragraph" w:styleId="Footer">
    <w:name w:val="footer"/>
    <w:basedOn w:val="Normal"/>
    <w:link w:val="FooterChar"/>
    <w:uiPriority w:val="99"/>
    <w:unhideWhenUsed/>
    <w:rsid w:val="00D92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C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C9"/>
    <w:rPr>
      <w:rFonts w:eastAsiaTheme="minorHAnsi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723</Words>
  <Characters>4125</Characters>
  <Application>Microsoft Macintosh Word</Application>
  <DocSecurity>0</DocSecurity>
  <Lines>34</Lines>
  <Paragraphs>9</Paragraphs>
  <ScaleCrop>false</ScaleCrop>
  <Company>University of Maryland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Barnes</dc:creator>
  <cp:keywords/>
  <dc:description/>
  <cp:lastModifiedBy>Sean Barnes</cp:lastModifiedBy>
  <cp:revision>6</cp:revision>
  <dcterms:created xsi:type="dcterms:W3CDTF">2016-08-10T14:34:00Z</dcterms:created>
  <dcterms:modified xsi:type="dcterms:W3CDTF">2016-09-20T16:51:00Z</dcterms:modified>
</cp:coreProperties>
</file>