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40F01" w:rsidRPr="000A542A" w:rsidTr="004B6AF3">
        <w:tc>
          <w:tcPr>
            <w:tcW w:w="8856" w:type="dxa"/>
            <w:tcBorders>
              <w:bottom w:val="single" w:sz="4" w:space="0" w:color="auto"/>
            </w:tcBorders>
          </w:tcPr>
          <w:p w:rsidR="00740F01" w:rsidRPr="000A542A" w:rsidRDefault="00740F01" w:rsidP="004B6AF3">
            <w:pPr>
              <w:rPr>
                <w:rFonts w:cs="Times New Roman"/>
                <w:b/>
                <w:sz w:val="24"/>
                <w:szCs w:val="24"/>
              </w:rPr>
            </w:pPr>
            <w:r w:rsidRPr="000A542A">
              <w:rPr>
                <w:rFonts w:cs="Times New Roman"/>
                <w:b/>
                <w:sz w:val="24"/>
                <w:szCs w:val="24"/>
              </w:rPr>
              <w:t xml:space="preserve">Table 1.  </w:t>
            </w:r>
            <w:r w:rsidRPr="000A542A">
              <w:rPr>
                <w:rFonts w:cs="Times New Roman"/>
                <w:sz w:val="24"/>
                <w:szCs w:val="24"/>
              </w:rPr>
              <w:t>Antimicrobial use error classification</w:t>
            </w:r>
          </w:p>
        </w:tc>
      </w:tr>
      <w:tr w:rsidR="00740F01" w:rsidRPr="000A542A" w:rsidTr="004B6AF3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740F01" w:rsidRPr="000A542A" w:rsidRDefault="00740F01" w:rsidP="00740F01">
            <w:pPr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Antimicrobial regimen confers a heightened risk of clinical failure as compared with the standard of care</w:t>
            </w:r>
          </w:p>
        </w:tc>
      </w:tr>
      <w:tr w:rsidR="00740F01" w:rsidRPr="000A542A" w:rsidTr="004B6AF3">
        <w:tc>
          <w:tcPr>
            <w:tcW w:w="8856" w:type="dxa"/>
            <w:tcBorders>
              <w:top w:val="single" w:sz="4" w:space="0" w:color="auto"/>
            </w:tcBorders>
          </w:tcPr>
          <w:p w:rsidR="00740F01" w:rsidRPr="000A542A" w:rsidRDefault="00740F01" w:rsidP="00740F01">
            <w:pPr>
              <w:numPr>
                <w:ilvl w:val="1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 xml:space="preserve">Appropriate initiation of therapy delayed one or more calendar days </w:t>
            </w:r>
          </w:p>
        </w:tc>
      </w:tr>
      <w:tr w:rsidR="00740F01" w:rsidRPr="000A542A" w:rsidTr="004B6AF3">
        <w:tc>
          <w:tcPr>
            <w:tcW w:w="8856" w:type="dxa"/>
          </w:tcPr>
          <w:p w:rsidR="00740F01" w:rsidRPr="000A542A" w:rsidRDefault="00740F01" w:rsidP="00740F01">
            <w:pPr>
              <w:numPr>
                <w:ilvl w:val="1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Antimicrobial spectrum of regimen likely or confirmed not to include infecting pathogen</w:t>
            </w:r>
          </w:p>
        </w:tc>
      </w:tr>
      <w:tr w:rsidR="00740F01" w:rsidRPr="000A542A" w:rsidTr="004B6AF3">
        <w:tc>
          <w:tcPr>
            <w:tcW w:w="8856" w:type="dxa"/>
          </w:tcPr>
          <w:p w:rsidR="00740F01" w:rsidRPr="000A542A" w:rsidRDefault="00740F01" w:rsidP="00740F01">
            <w:pPr>
              <w:numPr>
                <w:ilvl w:val="1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Antimicrobial regimen likely less effective than formulary alternative</w:t>
            </w:r>
          </w:p>
        </w:tc>
      </w:tr>
      <w:tr w:rsidR="00740F01" w:rsidRPr="000A542A" w:rsidTr="004B6AF3">
        <w:tc>
          <w:tcPr>
            <w:tcW w:w="8856" w:type="dxa"/>
          </w:tcPr>
          <w:p w:rsidR="00740F01" w:rsidRPr="000A542A" w:rsidRDefault="00740F01" w:rsidP="00740F01">
            <w:pPr>
              <w:numPr>
                <w:ilvl w:val="1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 xml:space="preserve">Antimicrobial dose is too low </w:t>
            </w:r>
          </w:p>
        </w:tc>
      </w:tr>
      <w:tr w:rsidR="00740F01" w:rsidRPr="000A542A" w:rsidTr="004B6AF3">
        <w:tc>
          <w:tcPr>
            <w:tcW w:w="8856" w:type="dxa"/>
          </w:tcPr>
          <w:p w:rsidR="00740F01" w:rsidRPr="000A542A" w:rsidRDefault="00740F01" w:rsidP="00740F01">
            <w:pPr>
              <w:numPr>
                <w:ilvl w:val="1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Antimicrobials given for insufficient duration</w:t>
            </w:r>
          </w:p>
        </w:tc>
      </w:tr>
      <w:tr w:rsidR="00740F01" w:rsidRPr="000A542A" w:rsidTr="004B6AF3">
        <w:tc>
          <w:tcPr>
            <w:tcW w:w="8856" w:type="dxa"/>
          </w:tcPr>
          <w:p w:rsidR="00740F01" w:rsidRPr="000A542A" w:rsidRDefault="00740F01" w:rsidP="00740F01">
            <w:pPr>
              <w:numPr>
                <w:ilvl w:val="1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The wrong route is employed, e.g., oral therapy for endocarditis</w:t>
            </w:r>
          </w:p>
        </w:tc>
      </w:tr>
      <w:tr w:rsidR="00740F01" w:rsidRPr="000A542A" w:rsidTr="004B6AF3">
        <w:tc>
          <w:tcPr>
            <w:tcW w:w="8856" w:type="dxa"/>
          </w:tcPr>
          <w:p w:rsidR="00740F01" w:rsidRPr="000A542A" w:rsidRDefault="00740F01" w:rsidP="00740F01">
            <w:pPr>
              <w:numPr>
                <w:ilvl w:val="1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 xml:space="preserve">Potency-limiting drug-drug or drug-food interaction </w:t>
            </w:r>
          </w:p>
        </w:tc>
      </w:tr>
      <w:tr w:rsidR="00740F01" w:rsidRPr="000A542A" w:rsidTr="004B6AF3">
        <w:tc>
          <w:tcPr>
            <w:tcW w:w="8856" w:type="dxa"/>
            <w:tcBorders>
              <w:bottom w:val="single" w:sz="4" w:space="0" w:color="auto"/>
            </w:tcBorders>
          </w:tcPr>
          <w:p w:rsidR="00740F01" w:rsidRPr="000A542A" w:rsidRDefault="00740F01" w:rsidP="00740F01">
            <w:pPr>
              <w:numPr>
                <w:ilvl w:val="1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Other</w:t>
            </w:r>
          </w:p>
        </w:tc>
      </w:tr>
      <w:tr w:rsidR="00740F01" w:rsidRPr="000A542A" w:rsidTr="004B6AF3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740F01" w:rsidRPr="000A542A" w:rsidRDefault="00740F01" w:rsidP="00740F01">
            <w:pPr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Regimen confers a heightened risk of patient injury compared with the standard of care</w:t>
            </w:r>
          </w:p>
        </w:tc>
      </w:tr>
      <w:tr w:rsidR="00740F01" w:rsidRPr="000A542A" w:rsidTr="004B6AF3">
        <w:tc>
          <w:tcPr>
            <w:tcW w:w="8856" w:type="dxa"/>
            <w:tcBorders>
              <w:top w:val="single" w:sz="4" w:space="0" w:color="auto"/>
            </w:tcBorders>
          </w:tcPr>
          <w:p w:rsidR="00740F01" w:rsidRPr="000A542A" w:rsidRDefault="00740F01" w:rsidP="00740F01">
            <w:pPr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Use of drug class to which patient has documented allergy</w:t>
            </w:r>
          </w:p>
        </w:tc>
      </w:tr>
      <w:tr w:rsidR="00740F01" w:rsidRPr="000A542A" w:rsidTr="004B6AF3">
        <w:tc>
          <w:tcPr>
            <w:tcW w:w="8856" w:type="dxa"/>
          </w:tcPr>
          <w:p w:rsidR="00740F01" w:rsidRPr="000A542A" w:rsidRDefault="00740F01" w:rsidP="00740F01">
            <w:pPr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Dose exceeds manufacturer’s recommendations</w:t>
            </w:r>
          </w:p>
        </w:tc>
      </w:tr>
      <w:tr w:rsidR="00740F01" w:rsidRPr="000A542A" w:rsidTr="004B6AF3">
        <w:tc>
          <w:tcPr>
            <w:tcW w:w="8856" w:type="dxa"/>
          </w:tcPr>
          <w:p w:rsidR="00740F01" w:rsidRPr="000A542A" w:rsidRDefault="00740F01" w:rsidP="00740F01">
            <w:pPr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Dose is not adjusted for renal impairment</w:t>
            </w:r>
          </w:p>
        </w:tc>
      </w:tr>
      <w:tr w:rsidR="00740F01" w:rsidRPr="000A542A" w:rsidTr="004B6AF3">
        <w:tc>
          <w:tcPr>
            <w:tcW w:w="8856" w:type="dxa"/>
          </w:tcPr>
          <w:p w:rsidR="00740F01" w:rsidRPr="000A542A" w:rsidRDefault="00740F01" w:rsidP="00740F01">
            <w:pPr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Use of drug that is contraindicated by renal or hepatic impairment</w:t>
            </w:r>
          </w:p>
        </w:tc>
      </w:tr>
      <w:tr w:rsidR="00740F01" w:rsidRPr="000A542A" w:rsidTr="004B6AF3">
        <w:tc>
          <w:tcPr>
            <w:tcW w:w="8856" w:type="dxa"/>
            <w:tcBorders>
              <w:bottom w:val="single" w:sz="4" w:space="0" w:color="auto"/>
            </w:tcBorders>
          </w:tcPr>
          <w:p w:rsidR="00740F01" w:rsidRPr="000A542A" w:rsidRDefault="00740F01" w:rsidP="00740F01">
            <w:pPr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Other</w:t>
            </w:r>
          </w:p>
        </w:tc>
      </w:tr>
      <w:tr w:rsidR="00740F01" w:rsidRPr="000A542A" w:rsidTr="004B6AF3">
        <w:trPr>
          <w:trHeight w:val="50"/>
        </w:trPr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740F01" w:rsidRPr="000A542A" w:rsidRDefault="00740F01" w:rsidP="00740F01">
            <w:pPr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Unnecessary antimicrobial use in the context of</w:t>
            </w:r>
          </w:p>
        </w:tc>
      </w:tr>
      <w:tr w:rsidR="00740F01" w:rsidRPr="000A542A" w:rsidTr="004B6AF3">
        <w:tc>
          <w:tcPr>
            <w:tcW w:w="8856" w:type="dxa"/>
            <w:tcBorders>
              <w:top w:val="single" w:sz="4" w:space="0" w:color="auto"/>
            </w:tcBorders>
          </w:tcPr>
          <w:p w:rsidR="00740F01" w:rsidRPr="000A542A" w:rsidRDefault="00740F01" w:rsidP="00740F01">
            <w:pPr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Clinical illness is unlikely to have been caused by treatable infection</w:t>
            </w:r>
          </w:p>
        </w:tc>
      </w:tr>
      <w:tr w:rsidR="00740F01" w:rsidRPr="000A542A" w:rsidTr="004B6AF3">
        <w:tc>
          <w:tcPr>
            <w:tcW w:w="8856" w:type="dxa"/>
          </w:tcPr>
          <w:p w:rsidR="00740F01" w:rsidRPr="000A542A" w:rsidRDefault="00740F01" w:rsidP="00740F01">
            <w:pPr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Treatment is directed at culture result that likely represents colonization</w:t>
            </w:r>
          </w:p>
        </w:tc>
      </w:tr>
      <w:tr w:rsidR="00740F01" w:rsidRPr="000A542A" w:rsidTr="004B6AF3">
        <w:tc>
          <w:tcPr>
            <w:tcW w:w="8856" w:type="dxa"/>
          </w:tcPr>
          <w:p w:rsidR="00740F01" w:rsidRPr="000A542A" w:rsidRDefault="00740F01" w:rsidP="00740F01">
            <w:pPr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Treatment is directed at culture result that likely reflects contamination</w:t>
            </w:r>
          </w:p>
        </w:tc>
      </w:tr>
      <w:tr w:rsidR="00740F01" w:rsidRPr="000A542A" w:rsidTr="004B6AF3">
        <w:tc>
          <w:tcPr>
            <w:tcW w:w="8856" w:type="dxa"/>
          </w:tcPr>
          <w:p w:rsidR="00740F01" w:rsidRPr="000A542A" w:rsidRDefault="00740F01" w:rsidP="00740F01">
            <w:pPr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Treatment is directed at errant interpretation of a radiographic study</w:t>
            </w:r>
          </w:p>
        </w:tc>
      </w:tr>
      <w:tr w:rsidR="00740F01" w:rsidRPr="000A542A" w:rsidTr="004B6AF3">
        <w:tc>
          <w:tcPr>
            <w:tcW w:w="8856" w:type="dxa"/>
          </w:tcPr>
          <w:p w:rsidR="00740F01" w:rsidRPr="000A542A" w:rsidRDefault="00740F01" w:rsidP="00740F01">
            <w:pPr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Treatment duration already sufficient for cure</w:t>
            </w:r>
          </w:p>
        </w:tc>
      </w:tr>
      <w:tr w:rsidR="00740F01" w:rsidRPr="000A542A" w:rsidTr="004B6AF3">
        <w:tc>
          <w:tcPr>
            <w:tcW w:w="8856" w:type="dxa"/>
            <w:tcBorders>
              <w:bottom w:val="single" w:sz="4" w:space="0" w:color="auto"/>
            </w:tcBorders>
          </w:tcPr>
          <w:p w:rsidR="00740F01" w:rsidRPr="000A542A" w:rsidRDefault="00740F01" w:rsidP="00740F01">
            <w:pPr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Other</w:t>
            </w:r>
          </w:p>
        </w:tc>
      </w:tr>
      <w:tr w:rsidR="00740F01" w:rsidRPr="000A542A" w:rsidTr="004B6AF3">
        <w:trPr>
          <w:trHeight w:val="126"/>
        </w:trPr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740F01" w:rsidRPr="000A542A" w:rsidRDefault="00740F01" w:rsidP="00740F01">
            <w:pPr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lastRenderedPageBreak/>
              <w:t>Regimen is unnecessarily complex, without excess risk of clinical failure or toxicity</w:t>
            </w:r>
          </w:p>
        </w:tc>
      </w:tr>
      <w:tr w:rsidR="00740F01" w:rsidRPr="000A542A" w:rsidTr="004B6AF3">
        <w:tc>
          <w:tcPr>
            <w:tcW w:w="8856" w:type="dxa"/>
            <w:tcBorders>
              <w:top w:val="single" w:sz="4" w:space="0" w:color="auto"/>
            </w:tcBorders>
          </w:tcPr>
          <w:p w:rsidR="00740F01" w:rsidRPr="000A542A" w:rsidRDefault="00740F01" w:rsidP="00740F01">
            <w:pPr>
              <w:numPr>
                <w:ilvl w:val="0"/>
                <w:numId w:val="3"/>
              </w:numPr>
              <w:tabs>
                <w:tab w:val="num" w:pos="1080"/>
              </w:tabs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 xml:space="preserve">Multidrug regimen with unnecessarily redundant antimicrobial spectra, </w:t>
            </w:r>
          </w:p>
        </w:tc>
      </w:tr>
      <w:tr w:rsidR="00740F01" w:rsidRPr="000A542A" w:rsidTr="004B6AF3">
        <w:tc>
          <w:tcPr>
            <w:tcW w:w="8856" w:type="dxa"/>
          </w:tcPr>
          <w:p w:rsidR="00740F01" w:rsidRPr="000A542A" w:rsidRDefault="00740F01" w:rsidP="00740F01">
            <w:pPr>
              <w:numPr>
                <w:ilvl w:val="0"/>
                <w:numId w:val="3"/>
              </w:numPr>
              <w:tabs>
                <w:tab w:val="num" w:pos="1080"/>
              </w:tabs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 xml:space="preserve">Multidrug regimen with drug with </w:t>
            </w:r>
            <w:proofErr w:type="spellStart"/>
            <w:r w:rsidRPr="000A542A">
              <w:rPr>
                <w:rFonts w:cs="Times New Roman"/>
                <w:sz w:val="24"/>
                <w:szCs w:val="24"/>
              </w:rPr>
              <w:t>superfluous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0A542A">
              <w:rPr>
                <w:rFonts w:cs="Times New Roman"/>
                <w:sz w:val="24"/>
                <w:szCs w:val="24"/>
              </w:rPr>
              <w:t xml:space="preserve"> antimicrobial spectra</w:t>
            </w:r>
          </w:p>
        </w:tc>
      </w:tr>
      <w:tr w:rsidR="00740F01" w:rsidRPr="000A542A" w:rsidTr="004B6AF3">
        <w:tc>
          <w:tcPr>
            <w:tcW w:w="8856" w:type="dxa"/>
          </w:tcPr>
          <w:p w:rsidR="00740F01" w:rsidRPr="000A542A" w:rsidRDefault="00740F01" w:rsidP="00740F01">
            <w:pPr>
              <w:numPr>
                <w:ilvl w:val="0"/>
                <w:numId w:val="3"/>
              </w:numPr>
              <w:tabs>
                <w:tab w:val="num" w:pos="1080"/>
              </w:tabs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Regimen is unnecessarily broad-spectrum or expensive</w:t>
            </w:r>
          </w:p>
        </w:tc>
      </w:tr>
      <w:tr w:rsidR="00740F01" w:rsidRPr="000A542A" w:rsidTr="004B6AF3">
        <w:tc>
          <w:tcPr>
            <w:tcW w:w="8856" w:type="dxa"/>
          </w:tcPr>
          <w:p w:rsidR="00740F01" w:rsidRPr="000A542A" w:rsidRDefault="00740F01" w:rsidP="00740F01">
            <w:pPr>
              <w:numPr>
                <w:ilvl w:val="0"/>
                <w:numId w:val="3"/>
              </w:numPr>
              <w:tabs>
                <w:tab w:val="num" w:pos="1080"/>
              </w:tabs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 xml:space="preserve">Intravenous therapy is used when oral should be effective </w:t>
            </w:r>
          </w:p>
        </w:tc>
      </w:tr>
      <w:tr w:rsidR="00740F01" w:rsidRPr="000A542A" w:rsidTr="004B6AF3">
        <w:tc>
          <w:tcPr>
            <w:tcW w:w="8856" w:type="dxa"/>
            <w:tcBorders>
              <w:bottom w:val="single" w:sz="4" w:space="0" w:color="auto"/>
            </w:tcBorders>
          </w:tcPr>
          <w:p w:rsidR="00740F01" w:rsidRPr="000A542A" w:rsidRDefault="00740F01" w:rsidP="00740F01">
            <w:pPr>
              <w:numPr>
                <w:ilvl w:val="0"/>
                <w:numId w:val="3"/>
              </w:numPr>
              <w:tabs>
                <w:tab w:val="num" w:pos="1080"/>
              </w:tabs>
              <w:rPr>
                <w:rFonts w:cs="Times New Roman"/>
                <w:sz w:val="24"/>
                <w:szCs w:val="24"/>
              </w:rPr>
            </w:pPr>
            <w:r w:rsidRPr="000A542A">
              <w:rPr>
                <w:rFonts w:cs="Times New Roman"/>
                <w:sz w:val="24"/>
                <w:szCs w:val="24"/>
              </w:rPr>
              <w:t>Other</w:t>
            </w:r>
          </w:p>
        </w:tc>
      </w:tr>
    </w:tbl>
    <w:p w:rsidR="00740F01" w:rsidRPr="00740F01" w:rsidRDefault="00740F01">
      <w:pPr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a</w:t>
      </w:r>
      <w:r>
        <w:rPr>
          <w:rFonts w:cs="Times New Roman"/>
          <w:szCs w:val="24"/>
          <w:vertAlign w:val="superscript"/>
        </w:rPr>
        <w:t xml:space="preserve"> </w:t>
      </w:r>
      <w:r w:rsidR="00A64031">
        <w:rPr>
          <w:rFonts w:cs="Times New Roman"/>
          <w:szCs w:val="24"/>
        </w:rPr>
        <w:t>-A</w:t>
      </w:r>
      <w:bookmarkStart w:id="0" w:name="_GoBack"/>
      <w:bookmarkEnd w:id="0"/>
      <w:r>
        <w:rPr>
          <w:rFonts w:cs="Times New Roman"/>
          <w:szCs w:val="24"/>
        </w:rPr>
        <w:t xml:space="preserve"> drug given to a patient lacking a valid indication for it, e.g., IV vancomycin given to a patient with intraabdominal infection.</w:t>
      </w:r>
    </w:p>
    <w:sectPr w:rsidR="00740F01" w:rsidRPr="00740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7096"/>
    <w:multiLevelType w:val="hybridMultilevel"/>
    <w:tmpl w:val="F7CA9E3E"/>
    <w:lvl w:ilvl="0" w:tplc="9D3E00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97B2CC7"/>
    <w:multiLevelType w:val="hybridMultilevel"/>
    <w:tmpl w:val="8E6E9A8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24F15"/>
    <w:multiLevelType w:val="hybridMultilevel"/>
    <w:tmpl w:val="2126170C"/>
    <w:lvl w:ilvl="0" w:tplc="5A96859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665AF"/>
    <w:multiLevelType w:val="hybridMultilevel"/>
    <w:tmpl w:val="7144A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DC7751"/>
    <w:multiLevelType w:val="hybridMultilevel"/>
    <w:tmpl w:val="1D7222EC"/>
    <w:lvl w:ilvl="0" w:tplc="ABBAAB7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01"/>
    <w:rsid w:val="001F12B3"/>
    <w:rsid w:val="002A0410"/>
    <w:rsid w:val="003A30E8"/>
    <w:rsid w:val="00740F01"/>
    <w:rsid w:val="00A6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F561F-7AAA-4B30-86E8-9A3A9969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01"/>
    <w:pPr>
      <w:spacing w:after="200" w:line="276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F01"/>
    <w:pPr>
      <w:spacing w:after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David N.</dc:creator>
  <cp:keywords/>
  <dc:description/>
  <cp:lastModifiedBy>Schwartz, David N.</cp:lastModifiedBy>
  <cp:revision>2</cp:revision>
  <dcterms:created xsi:type="dcterms:W3CDTF">2017-02-28T16:18:00Z</dcterms:created>
  <dcterms:modified xsi:type="dcterms:W3CDTF">2017-02-28T16:28:00Z</dcterms:modified>
</cp:coreProperties>
</file>