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DD2A" w14:textId="640B6CB3" w:rsidR="00F42CA4" w:rsidRPr="002234D1" w:rsidRDefault="00D3252E" w:rsidP="00E07329">
      <w:pPr>
        <w:pStyle w:val="Geenafstand"/>
        <w:spacing w:line="480" w:lineRule="auto"/>
        <w:rPr>
          <w:rFonts w:ascii="Arial" w:hAnsi="Arial" w:cs="Arial"/>
          <w:b/>
          <w:lang w:val="en-US"/>
        </w:rPr>
      </w:pPr>
      <w:r w:rsidRPr="002234D1">
        <w:rPr>
          <w:rFonts w:ascii="Arial" w:hAnsi="Arial" w:cs="Arial"/>
          <w:b/>
          <w:lang w:val="en-US"/>
        </w:rPr>
        <w:t xml:space="preserve">Appendix </w:t>
      </w:r>
      <w:r w:rsidR="006E3D18" w:rsidRPr="002234D1">
        <w:rPr>
          <w:rFonts w:ascii="Arial" w:hAnsi="Arial" w:cs="Arial"/>
          <w:b/>
          <w:lang w:val="en-US"/>
        </w:rPr>
        <w:t>B</w:t>
      </w:r>
      <w:r w:rsidRPr="002234D1">
        <w:rPr>
          <w:rFonts w:ascii="Arial" w:hAnsi="Arial" w:cs="Arial"/>
          <w:b/>
          <w:lang w:val="en-US"/>
        </w:rPr>
        <w:t xml:space="preserve"> - </w:t>
      </w:r>
      <w:r w:rsidR="00E25AD1" w:rsidRPr="002234D1">
        <w:rPr>
          <w:rFonts w:ascii="Arial" w:hAnsi="Arial" w:cs="Arial"/>
          <w:b/>
          <w:lang w:val="en-US"/>
        </w:rPr>
        <w:t>M</w:t>
      </w:r>
      <w:r w:rsidR="00ED22BB" w:rsidRPr="002234D1">
        <w:rPr>
          <w:rFonts w:ascii="Arial" w:hAnsi="Arial" w:cs="Arial"/>
          <w:b/>
          <w:lang w:val="en-US"/>
        </w:rPr>
        <w:t xml:space="preserve">ethods to </w:t>
      </w:r>
      <w:r w:rsidR="000F492B">
        <w:rPr>
          <w:rFonts w:ascii="Arial" w:hAnsi="Arial" w:cs="Arial"/>
          <w:b/>
          <w:lang w:val="en-US"/>
        </w:rPr>
        <w:t>Q</w:t>
      </w:r>
      <w:r w:rsidR="00ED22BB" w:rsidRPr="002234D1">
        <w:rPr>
          <w:rFonts w:ascii="Arial" w:hAnsi="Arial" w:cs="Arial"/>
          <w:b/>
          <w:lang w:val="en-US"/>
        </w:rPr>
        <w:t xml:space="preserve">uantify the </w:t>
      </w:r>
      <w:r w:rsidR="000F492B">
        <w:rPr>
          <w:rFonts w:ascii="Arial" w:hAnsi="Arial" w:cs="Arial"/>
          <w:b/>
          <w:lang w:val="en-US"/>
        </w:rPr>
        <w:t>A</w:t>
      </w:r>
      <w:r w:rsidR="00F42CA4" w:rsidRPr="002234D1">
        <w:rPr>
          <w:rFonts w:ascii="Arial" w:hAnsi="Arial" w:cs="Arial"/>
          <w:b/>
          <w:lang w:val="en-US"/>
        </w:rPr>
        <w:t xml:space="preserve">cquisition of </w:t>
      </w:r>
      <w:r w:rsidR="000F492B">
        <w:rPr>
          <w:rFonts w:ascii="Arial" w:hAnsi="Arial" w:cs="Arial"/>
          <w:b/>
          <w:lang w:val="en-US"/>
        </w:rPr>
        <w:t>Rectal Carriage of Extended-Spectrum Beta-Lactamase-Producing Enterobacteriaceae (</w:t>
      </w:r>
      <w:r w:rsidR="00F42CA4" w:rsidRPr="002234D1">
        <w:rPr>
          <w:rFonts w:ascii="Arial" w:hAnsi="Arial" w:cs="Arial"/>
          <w:b/>
          <w:lang w:val="en-US"/>
        </w:rPr>
        <w:t>ESBL-E</w:t>
      </w:r>
      <w:r w:rsidR="000F492B">
        <w:rPr>
          <w:rFonts w:ascii="Arial" w:hAnsi="Arial" w:cs="Arial"/>
          <w:b/>
          <w:lang w:val="en-US"/>
        </w:rPr>
        <w:t xml:space="preserve">) </w:t>
      </w:r>
      <w:r w:rsidR="00F42CA4" w:rsidRPr="002234D1">
        <w:rPr>
          <w:rFonts w:ascii="Arial" w:hAnsi="Arial" w:cs="Arial"/>
          <w:b/>
          <w:lang w:val="en-US"/>
        </w:rPr>
        <w:t xml:space="preserve">during </w:t>
      </w:r>
      <w:r w:rsidR="000F492B">
        <w:rPr>
          <w:rFonts w:ascii="Arial" w:hAnsi="Arial" w:cs="Arial"/>
          <w:b/>
          <w:lang w:val="en-US"/>
        </w:rPr>
        <w:t>H</w:t>
      </w:r>
      <w:r w:rsidR="002234D1" w:rsidRPr="002234D1">
        <w:rPr>
          <w:rFonts w:ascii="Arial" w:hAnsi="Arial" w:cs="Arial"/>
          <w:b/>
          <w:lang w:val="en-US"/>
        </w:rPr>
        <w:t>ospitalization</w:t>
      </w:r>
    </w:p>
    <w:p w14:paraId="6C267000" w14:textId="77777777" w:rsidR="00D3252E" w:rsidRPr="002234D1" w:rsidRDefault="00D3252E" w:rsidP="00345B8F">
      <w:pPr>
        <w:pStyle w:val="Geenafstand"/>
        <w:spacing w:line="480" w:lineRule="auto"/>
        <w:rPr>
          <w:rFonts w:ascii="Arial" w:hAnsi="Arial" w:cs="Arial"/>
          <w:i/>
          <w:lang w:val="en-US"/>
        </w:rPr>
      </w:pPr>
    </w:p>
    <w:p w14:paraId="19A38F76" w14:textId="77777777" w:rsidR="00D3252E" w:rsidRPr="006B7DB8" w:rsidRDefault="00ED22BB" w:rsidP="00345B8F">
      <w:pPr>
        <w:pStyle w:val="Geenafstand"/>
        <w:spacing w:line="480" w:lineRule="auto"/>
        <w:rPr>
          <w:rFonts w:ascii="Arial" w:hAnsi="Arial" w:cs="Arial"/>
          <w:b/>
          <w:sz w:val="20"/>
          <w:szCs w:val="20"/>
          <w:lang w:val="en-US"/>
        </w:rPr>
      </w:pPr>
      <w:r w:rsidRPr="006B7DB8">
        <w:rPr>
          <w:rFonts w:ascii="Arial" w:hAnsi="Arial" w:cs="Arial"/>
          <w:b/>
          <w:sz w:val="20"/>
          <w:szCs w:val="20"/>
          <w:lang w:val="en-US"/>
        </w:rPr>
        <w:t>P</w:t>
      </w:r>
      <w:r w:rsidR="005174B9" w:rsidRPr="006B7DB8">
        <w:rPr>
          <w:rFonts w:ascii="Arial" w:hAnsi="Arial" w:cs="Arial"/>
          <w:b/>
          <w:sz w:val="20"/>
          <w:szCs w:val="20"/>
          <w:lang w:val="en-US"/>
        </w:rPr>
        <w:t>r</w:t>
      </w:r>
      <w:r w:rsidR="00824D32" w:rsidRPr="006B7DB8">
        <w:rPr>
          <w:rFonts w:ascii="Arial" w:hAnsi="Arial" w:cs="Arial"/>
          <w:b/>
          <w:sz w:val="20"/>
          <w:szCs w:val="20"/>
          <w:lang w:val="en-US"/>
        </w:rPr>
        <w:t>agmatic approach</w:t>
      </w:r>
    </w:p>
    <w:p w14:paraId="5B6010A7" w14:textId="10EEDB61" w:rsidR="00FE1A8A" w:rsidRPr="006B7DB8" w:rsidRDefault="00F1238E" w:rsidP="00345B8F">
      <w:pPr>
        <w:pStyle w:val="Geenafstand"/>
        <w:spacing w:line="480" w:lineRule="auto"/>
        <w:rPr>
          <w:rFonts w:ascii="Arial" w:hAnsi="Arial" w:cs="Arial"/>
          <w:sz w:val="20"/>
          <w:szCs w:val="20"/>
          <w:lang w:val="en-US"/>
        </w:rPr>
      </w:pPr>
      <w:r w:rsidRPr="006B7DB8">
        <w:rPr>
          <w:rFonts w:ascii="Arial" w:hAnsi="Arial" w:cs="Arial"/>
          <w:sz w:val="20"/>
          <w:szCs w:val="20"/>
          <w:lang w:val="en-US"/>
        </w:rPr>
        <w:t xml:space="preserve">Hospital-acquired </w:t>
      </w:r>
      <w:r w:rsidR="000F492B" w:rsidRPr="006B7DB8">
        <w:rPr>
          <w:rFonts w:ascii="Arial" w:hAnsi="Arial" w:cs="Arial"/>
          <w:sz w:val="20"/>
          <w:szCs w:val="20"/>
          <w:lang w:val="en-US"/>
        </w:rPr>
        <w:t>rectal carriage of extended-spectrum beta-lactamase-producing Enterobacteriaceae (</w:t>
      </w:r>
      <w:r w:rsidRPr="006B7DB8">
        <w:rPr>
          <w:rFonts w:ascii="Arial" w:hAnsi="Arial" w:cs="Arial"/>
          <w:sz w:val="20"/>
          <w:szCs w:val="20"/>
          <w:lang w:val="en-US"/>
        </w:rPr>
        <w:t>ESBL-E</w:t>
      </w:r>
      <w:r w:rsidR="000F492B" w:rsidRPr="006B7DB8">
        <w:rPr>
          <w:rFonts w:ascii="Arial" w:hAnsi="Arial" w:cs="Arial"/>
          <w:sz w:val="20"/>
          <w:szCs w:val="20"/>
          <w:lang w:val="en-US"/>
        </w:rPr>
        <w:t>)</w:t>
      </w:r>
      <w:r w:rsidRPr="006B7DB8">
        <w:rPr>
          <w:rFonts w:ascii="Arial" w:hAnsi="Arial" w:cs="Arial"/>
          <w:sz w:val="20"/>
          <w:szCs w:val="20"/>
          <w:lang w:val="en-US"/>
        </w:rPr>
        <w:t xml:space="preserve"> was assumed not to be detectable within two days of hospital admission</w:t>
      </w:r>
      <w:r w:rsidR="00FC62B4" w:rsidRPr="006B7DB8">
        <w:rPr>
          <w:rFonts w:ascii="Arial" w:hAnsi="Arial" w:cs="Arial"/>
          <w:sz w:val="20"/>
          <w:szCs w:val="20"/>
          <w:lang w:val="en-US"/>
        </w:rPr>
        <w:t>.</w:t>
      </w:r>
      <w:r w:rsidR="00A34519" w:rsidRPr="006B7DB8">
        <w:rPr>
          <w:rFonts w:ascii="Arial" w:hAnsi="Arial" w:cs="Arial"/>
          <w:sz w:val="20"/>
          <w:szCs w:val="20"/>
          <w:vertAlign w:val="superscript"/>
          <w:lang w:val="en-US"/>
        </w:rPr>
        <w:t>1</w:t>
      </w:r>
      <w:r w:rsidRPr="006B7DB8">
        <w:rPr>
          <w:rFonts w:ascii="Arial" w:hAnsi="Arial" w:cs="Arial"/>
          <w:sz w:val="20"/>
          <w:szCs w:val="20"/>
          <w:lang w:val="en-US"/>
        </w:rPr>
        <w:t xml:space="preserve"> Consequently, ESBL-E rectal carriage that was detected within two days of hospital admission was considered community-acquired. In addition, patients who were discharged within two days of hospital admission were considered not to be at risk for (detectable) hospital-acquired ESBL-E rectal carriage and were excluded from the pragmatic analysis. Admission cultures comprised all cultures taken within two days of hospital admission; discharge cultures were all cultures taken on the day of discharge. </w:t>
      </w:r>
    </w:p>
    <w:p w14:paraId="32E7E4D5" w14:textId="77777777" w:rsidR="006B7DB8" w:rsidRPr="006B7DB8" w:rsidRDefault="00F1238E" w:rsidP="00E07329">
      <w:pPr>
        <w:pStyle w:val="Plattetekst"/>
        <w:spacing w:line="480" w:lineRule="auto"/>
        <w:rPr>
          <w:rFonts w:cs="Arial"/>
          <w:sz w:val="20"/>
          <w:lang w:val="en-US"/>
        </w:rPr>
      </w:pPr>
      <w:r w:rsidRPr="006B7DB8">
        <w:rPr>
          <w:rFonts w:cs="Arial"/>
          <w:sz w:val="20"/>
          <w:lang w:val="en-US"/>
        </w:rPr>
        <w:t xml:space="preserve">The prevalence of ESBL-E rectal carriage at hospital admission was calculated by dividing the number of ESBL-E positive admission cultures by the number of admission cultures taken. Likewise, the prevalence of ESBL-E rectal carriage at hospital discharge was calculated by dividing the number of ESBL-E positive discharge cultures by the number of discharge cultures taken. </w:t>
      </w:r>
    </w:p>
    <w:p w14:paraId="31B8EB4D" w14:textId="4301C479" w:rsidR="006B7DB8" w:rsidRPr="00627034" w:rsidRDefault="00C6535E" w:rsidP="006B7DB8">
      <w:pPr>
        <w:pStyle w:val="Geenafstand"/>
        <w:spacing w:line="480" w:lineRule="auto"/>
        <w:rPr>
          <w:rFonts w:ascii="Arial" w:hAnsi="Arial" w:cs="Arial"/>
          <w:sz w:val="20"/>
          <w:szCs w:val="20"/>
          <w:lang w:val="en-US"/>
        </w:rPr>
      </w:pPr>
      <w:r w:rsidRPr="006B7DB8">
        <w:rPr>
          <w:rFonts w:ascii="Arial" w:hAnsi="Arial" w:cs="Arial"/>
          <w:sz w:val="20"/>
          <w:lang w:val="en-US"/>
        </w:rPr>
        <w:t xml:space="preserve">For the </w:t>
      </w:r>
      <w:proofErr w:type="spellStart"/>
      <w:r w:rsidRPr="006B7DB8">
        <w:rPr>
          <w:rFonts w:ascii="Arial" w:hAnsi="Arial" w:cs="Arial"/>
          <w:sz w:val="20"/>
          <w:lang w:val="en-US"/>
        </w:rPr>
        <w:t>SoM</w:t>
      </w:r>
      <w:proofErr w:type="spellEnd"/>
      <w:r w:rsidRPr="006B7DB8">
        <w:rPr>
          <w:rFonts w:ascii="Arial" w:hAnsi="Arial" w:cs="Arial"/>
          <w:sz w:val="20"/>
          <w:lang w:val="en-US"/>
        </w:rPr>
        <w:t xml:space="preserve"> study, the software application OpenBUGS</w:t>
      </w:r>
      <w:r w:rsidRPr="006B7DB8">
        <w:rPr>
          <w:rFonts w:ascii="Arial" w:hAnsi="Arial" w:cs="Arial"/>
          <w:sz w:val="20"/>
          <w:vertAlign w:val="superscript"/>
          <w:lang w:val="en-US"/>
        </w:rPr>
        <w:t>2</w:t>
      </w:r>
      <w:r w:rsidRPr="006B7DB8">
        <w:rPr>
          <w:rFonts w:ascii="Arial" w:hAnsi="Arial" w:cs="Arial"/>
          <w:sz w:val="20"/>
          <w:lang w:val="en-US"/>
        </w:rPr>
        <w:t xml:space="preserve"> was used to perform a Bayesian Markov chain Monte Carlo (MCMC) random-effects analysis to estimate the mean prevalence of ESBL-E rectal carriage at hospital admission and at hospital discharge across hospitals, </w:t>
      </w:r>
      <w:proofErr w:type="gramStart"/>
      <w:r w:rsidRPr="006B7DB8">
        <w:rPr>
          <w:rFonts w:ascii="Arial" w:hAnsi="Arial" w:cs="Arial"/>
          <w:sz w:val="20"/>
          <w:lang w:val="en-US"/>
        </w:rPr>
        <w:t>taking into account</w:t>
      </w:r>
      <w:proofErr w:type="gramEnd"/>
      <w:r w:rsidRPr="006B7DB8">
        <w:rPr>
          <w:rFonts w:ascii="Arial" w:hAnsi="Arial" w:cs="Arial"/>
          <w:sz w:val="20"/>
          <w:lang w:val="en-US"/>
        </w:rPr>
        <w:t xml:space="preserve"> within-hospital dependency of the data collected in the 14 participating hospitals. For each hospital, the prevalence on admission and at discharge were assumed to be distributed according to a beta-distribution. The beta-distribution is a distribution on (0,1), which has two parameters, </w:t>
      </w:r>
      <w:r w:rsidRPr="006B7DB8">
        <w:rPr>
          <w:rFonts w:ascii="Arial" w:hAnsi="Arial" w:cs="Arial"/>
          <w:i/>
          <w:sz w:val="20"/>
          <w:lang w:val="en-US"/>
        </w:rPr>
        <w:t>a</w:t>
      </w:r>
      <w:r w:rsidRPr="006B7DB8">
        <w:rPr>
          <w:rFonts w:ascii="Arial" w:hAnsi="Arial" w:cs="Arial"/>
          <w:sz w:val="20"/>
          <w:lang w:val="en-US"/>
        </w:rPr>
        <w:t xml:space="preserve"> and </w:t>
      </w:r>
      <w:r w:rsidRPr="006B7DB8">
        <w:rPr>
          <w:rFonts w:ascii="Arial" w:hAnsi="Arial" w:cs="Arial"/>
          <w:i/>
          <w:sz w:val="20"/>
          <w:lang w:val="en-US"/>
        </w:rPr>
        <w:t>b</w:t>
      </w:r>
      <w:r w:rsidRPr="006B7DB8">
        <w:rPr>
          <w:rFonts w:ascii="Arial" w:hAnsi="Arial" w:cs="Arial"/>
          <w:sz w:val="20"/>
          <w:lang w:val="en-US"/>
        </w:rPr>
        <w:t xml:space="preserve">, and has a probability density function </w:t>
      </w:r>
      <m:oMath>
        <m:r>
          <w:rPr>
            <w:rFonts w:ascii="Cambria Math" w:hAnsi="Cambria Math" w:cs="Arial"/>
            <w:sz w:val="20"/>
            <w:lang w:val="en-US"/>
          </w:rPr>
          <m:t>f</m:t>
        </m:r>
        <m:d>
          <m:dPr>
            <m:ctrlPr>
              <w:rPr>
                <w:rFonts w:ascii="Cambria Math" w:hAnsi="Cambria Math" w:cs="Arial"/>
                <w:i/>
                <w:sz w:val="20"/>
                <w:lang w:val="en-US"/>
              </w:rPr>
            </m:ctrlPr>
          </m:dPr>
          <m:e>
            <m:r>
              <w:rPr>
                <w:rFonts w:ascii="Cambria Math" w:hAnsi="Cambria Math" w:cs="Arial"/>
                <w:sz w:val="20"/>
                <w:lang w:val="en-US"/>
              </w:rPr>
              <m:t>x</m:t>
            </m:r>
          </m:e>
        </m:d>
        <m:r>
          <w:rPr>
            <w:rFonts w:ascii="Cambria Math" w:hAnsi="Cambria Math" w:cs="Arial"/>
            <w:sz w:val="20"/>
            <w:lang w:val="en-US"/>
          </w:rPr>
          <m:t>=</m:t>
        </m:r>
        <m:f>
          <m:fPr>
            <m:ctrlPr>
              <w:rPr>
                <w:rFonts w:ascii="Cambria Math" w:hAnsi="Cambria Math" w:cs="Arial"/>
                <w:i/>
                <w:sz w:val="20"/>
                <w:lang w:val="en-US"/>
              </w:rPr>
            </m:ctrlPr>
          </m:fPr>
          <m:num>
            <m:sSup>
              <m:sSupPr>
                <m:ctrlPr>
                  <w:rPr>
                    <w:rFonts w:ascii="Cambria Math" w:hAnsi="Cambria Math" w:cs="Arial"/>
                    <w:i/>
                    <w:sz w:val="20"/>
                    <w:lang w:val="en-US"/>
                  </w:rPr>
                </m:ctrlPr>
              </m:sSupPr>
              <m:e>
                <m:r>
                  <w:rPr>
                    <w:rFonts w:ascii="Cambria Math" w:hAnsi="Cambria Math" w:cs="Arial"/>
                    <w:sz w:val="20"/>
                    <w:lang w:val="en-US"/>
                  </w:rPr>
                  <m:t>x</m:t>
                </m:r>
              </m:e>
              <m:sup>
                <m:r>
                  <w:rPr>
                    <w:rFonts w:ascii="Cambria Math" w:hAnsi="Cambria Math" w:cs="Arial"/>
                    <w:sz w:val="20"/>
                    <w:lang w:val="en-US"/>
                  </w:rPr>
                  <m:t>a-1</m:t>
                </m:r>
              </m:sup>
            </m:sSup>
            <m:sSup>
              <m:sSupPr>
                <m:ctrlPr>
                  <w:rPr>
                    <w:rFonts w:ascii="Cambria Math" w:hAnsi="Cambria Math" w:cs="Arial"/>
                    <w:i/>
                    <w:sz w:val="20"/>
                    <w:lang w:val="en-US"/>
                  </w:rPr>
                </m:ctrlPr>
              </m:sSupPr>
              <m:e>
                <m:r>
                  <w:rPr>
                    <w:rFonts w:ascii="Cambria Math" w:hAnsi="Cambria Math" w:cs="Arial"/>
                    <w:sz w:val="20"/>
                    <w:lang w:val="en-US"/>
                  </w:rPr>
                  <m:t>(1-x)</m:t>
                </m:r>
              </m:e>
              <m:sup>
                <m:r>
                  <w:rPr>
                    <w:rFonts w:ascii="Cambria Math" w:hAnsi="Cambria Math" w:cs="Arial"/>
                    <w:sz w:val="20"/>
                    <w:lang w:val="en-US"/>
                  </w:rPr>
                  <m:t>b-1</m:t>
                </m:r>
              </m:sup>
            </m:sSup>
          </m:num>
          <m:den>
            <m:r>
              <w:rPr>
                <w:rFonts w:ascii="Cambria Math" w:hAnsi="Cambria Math" w:cs="Arial"/>
                <w:sz w:val="20"/>
                <w:lang w:val="en-US"/>
              </w:rPr>
              <m:t>B(a,b</m:t>
            </m:r>
            <m:r>
              <w:rPr>
                <w:rFonts w:ascii="Cambria Math" w:hAnsi="Cambria Math" w:cs="Arial"/>
                <w:sz w:val="20"/>
                <w:lang w:val="en-US"/>
              </w:rPr>
              <m:t>)</m:t>
            </m:r>
          </m:den>
        </m:f>
      </m:oMath>
      <w:r w:rsidRPr="006B7DB8">
        <w:rPr>
          <w:rFonts w:ascii="Arial" w:hAnsi="Arial" w:cs="Arial"/>
          <w:sz w:val="20"/>
          <w:lang w:val="en-US"/>
        </w:rPr>
        <w:t xml:space="preserve"> with </w:t>
      </w:r>
      <m:oMath>
        <m:r>
          <w:rPr>
            <w:rFonts w:ascii="Cambria Math" w:eastAsiaTheme="minorEastAsia" w:hAnsi="Cambria Math" w:cs="Arial"/>
            <w:sz w:val="20"/>
            <w:lang w:val="en-US"/>
          </w:rPr>
          <m:t>B</m:t>
        </m:r>
        <m:d>
          <m:dPr>
            <m:ctrlPr>
              <w:rPr>
                <w:rFonts w:ascii="Cambria Math" w:eastAsiaTheme="minorEastAsia" w:hAnsi="Cambria Math" w:cs="Arial"/>
                <w:i/>
                <w:sz w:val="20"/>
                <w:lang w:val="en-US"/>
              </w:rPr>
            </m:ctrlPr>
          </m:dPr>
          <m:e>
            <m:r>
              <w:rPr>
                <w:rFonts w:ascii="Cambria Math" w:eastAsiaTheme="minorEastAsia" w:hAnsi="Cambria Math" w:cs="Arial"/>
                <w:sz w:val="20"/>
                <w:lang w:val="en-US"/>
              </w:rPr>
              <m:t>a,b</m:t>
            </m:r>
          </m:e>
        </m:d>
        <m:r>
          <w:rPr>
            <w:rFonts w:ascii="Cambria Math" w:eastAsiaTheme="minorEastAsia" w:hAnsi="Cambria Math" w:cs="Arial"/>
            <w:sz w:val="20"/>
            <w:lang w:val="en-US"/>
          </w:rPr>
          <m:t>=</m:t>
        </m:r>
        <m:f>
          <m:fPr>
            <m:ctrlPr>
              <w:rPr>
                <w:rFonts w:ascii="Cambria Math" w:eastAsiaTheme="minorEastAsia" w:hAnsi="Cambria Math" w:cs="Arial"/>
                <w:i/>
                <w:sz w:val="20"/>
                <w:lang w:val="en-US"/>
              </w:rPr>
            </m:ctrlPr>
          </m:fPr>
          <m:num>
            <m:r>
              <m:rPr>
                <m:sty m:val="p"/>
              </m:rPr>
              <w:rPr>
                <w:rFonts w:ascii="Cambria Math" w:eastAsiaTheme="minorEastAsia" w:hAnsi="Cambria Math" w:cs="Arial"/>
                <w:sz w:val="20"/>
                <w:lang w:val="en-US"/>
              </w:rPr>
              <m:t>Γ</m:t>
            </m:r>
            <m:r>
              <w:rPr>
                <w:rFonts w:ascii="Cambria Math" w:eastAsiaTheme="minorEastAsia" w:hAnsi="Cambria Math" w:cs="Arial"/>
                <w:sz w:val="20"/>
                <w:lang w:val="en-US"/>
              </w:rPr>
              <m:t>(a)</m:t>
            </m:r>
            <m:r>
              <m:rPr>
                <m:sty m:val="p"/>
              </m:rPr>
              <w:rPr>
                <w:rFonts w:ascii="Cambria Math" w:eastAsiaTheme="minorEastAsia" w:hAnsi="Cambria Math" w:cs="Arial"/>
                <w:sz w:val="20"/>
                <w:lang w:val="en-US"/>
              </w:rPr>
              <m:t>Γ</m:t>
            </m:r>
            <m:r>
              <w:rPr>
                <w:rFonts w:ascii="Cambria Math" w:eastAsiaTheme="minorEastAsia" w:hAnsi="Cambria Math" w:cs="Arial"/>
                <w:sz w:val="20"/>
                <w:lang w:val="en-US"/>
              </w:rPr>
              <m:t>(b)</m:t>
            </m:r>
          </m:num>
          <m:den>
            <m:r>
              <m:rPr>
                <m:sty m:val="p"/>
              </m:rPr>
              <w:rPr>
                <w:rFonts w:ascii="Cambria Math" w:eastAsiaTheme="minorEastAsia" w:hAnsi="Cambria Math" w:cs="Arial"/>
                <w:sz w:val="20"/>
                <w:lang w:val="en-US"/>
              </w:rPr>
              <m:t>Γ</m:t>
            </m:r>
            <m:r>
              <w:rPr>
                <w:rFonts w:ascii="Cambria Math" w:eastAsiaTheme="minorEastAsia" w:hAnsi="Cambria Math" w:cs="Arial"/>
                <w:sz w:val="20"/>
                <w:lang w:val="en-US"/>
              </w:rPr>
              <m:t>(a+b)</m:t>
            </m:r>
          </m:den>
        </m:f>
      </m:oMath>
      <w:r w:rsidRPr="006B7DB8">
        <w:rPr>
          <w:rFonts w:ascii="Arial" w:hAnsi="Arial" w:cs="Arial"/>
          <w:sz w:val="20"/>
          <w:lang w:val="en-US"/>
        </w:rPr>
        <w:t xml:space="preserve">. The mean of the beta-distribution is </w:t>
      </w:r>
      <m:oMath>
        <m:f>
          <m:fPr>
            <m:ctrlPr>
              <w:rPr>
                <w:rFonts w:ascii="Cambria Math" w:eastAsiaTheme="minorEastAsia" w:hAnsi="Cambria Math" w:cs="Arial"/>
                <w:i/>
                <w:sz w:val="20"/>
                <w:lang w:val="en-US"/>
              </w:rPr>
            </m:ctrlPr>
          </m:fPr>
          <m:num>
            <m:r>
              <w:rPr>
                <w:rFonts w:ascii="Cambria Math" w:eastAsiaTheme="minorEastAsia" w:hAnsi="Cambria Math" w:cs="Arial"/>
                <w:sz w:val="20"/>
                <w:lang w:val="en-US"/>
              </w:rPr>
              <m:t>a</m:t>
            </m:r>
          </m:num>
          <m:den>
            <m:r>
              <w:rPr>
                <w:rFonts w:ascii="Cambria Math" w:eastAsiaTheme="minorEastAsia" w:hAnsi="Cambria Math" w:cs="Arial"/>
                <w:sz w:val="20"/>
                <w:lang w:val="en-US"/>
              </w:rPr>
              <m:t>a+b</m:t>
            </m:r>
          </m:den>
        </m:f>
      </m:oMath>
      <w:r w:rsidRPr="006B7DB8">
        <w:rPr>
          <w:rFonts w:ascii="Arial" w:hAnsi="Arial" w:cs="Arial"/>
          <w:sz w:val="20"/>
          <w:lang w:val="en-US"/>
        </w:rPr>
        <w:t xml:space="preserve"> and the variance  </w:t>
      </w:r>
      <m:oMath>
        <m:f>
          <m:fPr>
            <m:ctrlPr>
              <w:rPr>
                <w:rFonts w:ascii="Cambria Math" w:eastAsiaTheme="minorEastAsia" w:hAnsi="Cambria Math" w:cs="Arial"/>
                <w:i/>
                <w:sz w:val="20"/>
                <w:lang w:val="en-US"/>
              </w:rPr>
            </m:ctrlPr>
          </m:fPr>
          <m:num>
            <m:r>
              <w:rPr>
                <w:rFonts w:ascii="Cambria Math" w:eastAsiaTheme="minorEastAsia" w:hAnsi="Cambria Math" w:cs="Arial"/>
                <w:sz w:val="20"/>
                <w:lang w:val="en-US"/>
              </w:rPr>
              <m:t>ab</m:t>
            </m:r>
          </m:num>
          <m:den>
            <m:r>
              <w:rPr>
                <w:rFonts w:ascii="Cambria Math" w:eastAsiaTheme="minorEastAsia" w:hAnsi="Cambria Math" w:cs="Arial"/>
                <w:sz w:val="20"/>
                <w:lang w:val="en-US"/>
              </w:rPr>
              <m:t>(a+b</m:t>
            </m:r>
            <m:sSup>
              <m:sSupPr>
                <m:ctrlPr>
                  <w:rPr>
                    <w:rFonts w:ascii="Cambria Math" w:eastAsiaTheme="minorEastAsia" w:hAnsi="Cambria Math" w:cs="Arial"/>
                    <w:i/>
                    <w:sz w:val="20"/>
                    <w:lang w:val="en-US"/>
                  </w:rPr>
                </m:ctrlPr>
              </m:sSupPr>
              <m:e>
                <m:r>
                  <w:rPr>
                    <w:rFonts w:ascii="Cambria Math" w:eastAsiaTheme="minorEastAsia" w:hAnsi="Cambria Math" w:cs="Arial"/>
                    <w:sz w:val="20"/>
                    <w:lang w:val="en-US"/>
                  </w:rPr>
                  <m:t>)</m:t>
                </m:r>
              </m:e>
              <m:sup>
                <m:r>
                  <w:rPr>
                    <w:rFonts w:ascii="Cambria Math" w:eastAsiaTheme="minorEastAsia" w:hAnsi="Cambria Math" w:cs="Arial"/>
                    <w:sz w:val="20"/>
                    <w:lang w:val="en-US"/>
                  </w:rPr>
                  <m:t>2</m:t>
                </m:r>
              </m:sup>
            </m:sSup>
            <m:r>
              <w:rPr>
                <w:rFonts w:ascii="Cambria Math" w:eastAsiaTheme="minorEastAsia" w:hAnsi="Cambria Math" w:cs="Arial"/>
                <w:sz w:val="20"/>
                <w:lang w:val="en-US"/>
              </w:rPr>
              <m:t>(a+b+1)</m:t>
            </m:r>
          </m:den>
        </m:f>
      </m:oMath>
      <w:r w:rsidRPr="006B7DB8">
        <w:rPr>
          <w:rFonts w:ascii="Arial" w:hAnsi="Arial" w:cs="Arial"/>
          <w:sz w:val="20"/>
          <w:lang w:val="en-US"/>
        </w:rPr>
        <w:t xml:space="preserve">. With the following reparametrisation: </w:t>
      </w:r>
      <m:oMath>
        <m:r>
          <w:rPr>
            <w:rFonts w:ascii="Cambria Math" w:eastAsiaTheme="minorEastAsia" w:hAnsi="Cambria Math" w:cs="Arial"/>
            <w:sz w:val="20"/>
            <w:lang w:val="en-US"/>
          </w:rPr>
          <m:t>a=ημ</m:t>
        </m:r>
      </m:oMath>
      <w:r w:rsidRPr="006B7DB8">
        <w:rPr>
          <w:rFonts w:ascii="Arial" w:hAnsi="Arial" w:cs="Arial"/>
          <w:sz w:val="20"/>
          <w:lang w:val="en-US"/>
        </w:rPr>
        <w:t xml:space="preserve"> and </w:t>
      </w:r>
      <m:oMath>
        <m:r>
          <w:rPr>
            <w:rFonts w:ascii="Cambria Math" w:eastAsiaTheme="minorEastAsia" w:hAnsi="Cambria Math" w:cs="Arial"/>
            <w:sz w:val="20"/>
            <w:lang w:val="en-US"/>
          </w:rPr>
          <m:t>b=η(1-μ)</m:t>
        </m:r>
      </m:oMath>
      <w:r w:rsidRPr="006B7DB8">
        <w:rPr>
          <w:rFonts w:ascii="Arial" w:hAnsi="Arial" w:cs="Arial"/>
          <w:sz w:val="20"/>
          <w:lang w:val="en-US"/>
        </w:rPr>
        <w:t xml:space="preserve">, the mean equals </w:t>
      </w:r>
      <m:oMath>
        <m:r>
          <w:rPr>
            <w:rFonts w:ascii="Cambria Math" w:eastAsiaTheme="minorEastAsia" w:hAnsi="Cambria Math" w:cs="Arial"/>
            <w:sz w:val="20"/>
            <w:lang w:val="en-US"/>
          </w:rPr>
          <m:t>μ</m:t>
        </m:r>
      </m:oMath>
      <w:r w:rsidRPr="006B7DB8">
        <w:rPr>
          <w:rFonts w:ascii="Arial" w:hAnsi="Arial" w:cs="Arial"/>
          <w:sz w:val="20"/>
          <w:lang w:val="en-US"/>
        </w:rPr>
        <w:t xml:space="preserve"> and the variance </w:t>
      </w:r>
      <m:oMath>
        <m:f>
          <m:fPr>
            <m:ctrlPr>
              <w:rPr>
                <w:rFonts w:ascii="Cambria Math" w:eastAsiaTheme="minorEastAsia" w:hAnsi="Cambria Math" w:cs="Arial"/>
                <w:i/>
                <w:sz w:val="20"/>
                <w:lang w:val="en-US"/>
              </w:rPr>
            </m:ctrlPr>
          </m:fPr>
          <m:num>
            <m:r>
              <m:rPr>
                <m:sty m:val="p"/>
              </m:rPr>
              <w:rPr>
                <w:rFonts w:ascii="Cambria Math" w:eastAsiaTheme="minorEastAsia" w:hAnsi="Cambria Math" w:cs="Arial"/>
                <w:sz w:val="20"/>
                <w:lang w:val="en-US"/>
              </w:rPr>
              <m:t xml:space="preserve"> </m:t>
            </m:r>
            <m:r>
              <w:rPr>
                <w:rFonts w:ascii="Cambria Math" w:eastAsiaTheme="minorEastAsia" w:hAnsi="Cambria Math" w:cs="Arial"/>
                <w:sz w:val="20"/>
                <w:lang w:val="en-US"/>
              </w:rPr>
              <m:t>μ(1-μ)</m:t>
            </m:r>
          </m:num>
          <m:den>
            <m:r>
              <w:rPr>
                <w:rFonts w:ascii="Cambria Math" w:eastAsiaTheme="minorEastAsia" w:hAnsi="Cambria Math" w:cs="Arial"/>
                <w:sz w:val="20"/>
                <w:lang w:val="en-US"/>
              </w:rPr>
              <m:t>1+η</m:t>
            </m:r>
          </m:den>
        </m:f>
      </m:oMath>
      <w:r w:rsidRPr="006B7DB8">
        <w:rPr>
          <w:rFonts w:ascii="Arial" w:hAnsi="Arial" w:cs="Arial"/>
          <w:sz w:val="20"/>
          <w:lang w:val="en-US"/>
        </w:rPr>
        <w:t xml:space="preserve">. A uniform prior on (0,1) was assumed for the mean </w:t>
      </w:r>
      <m:oMath>
        <m:r>
          <w:rPr>
            <w:rFonts w:ascii="Cambria Math" w:eastAsiaTheme="minorEastAsia" w:hAnsi="Cambria Math" w:cs="Arial"/>
            <w:sz w:val="20"/>
            <w:lang w:val="en-US"/>
          </w:rPr>
          <m:t>μ</m:t>
        </m:r>
      </m:oMath>
      <w:r w:rsidRPr="006B7DB8">
        <w:rPr>
          <w:rFonts w:ascii="Arial" w:hAnsi="Arial" w:cs="Arial"/>
          <w:sz w:val="20"/>
          <w:lang w:val="en-US"/>
        </w:rPr>
        <w:t xml:space="preserve"> and a uniform prior on (0, </w:t>
      </w:r>
      <w:r w:rsidRPr="006B7DB8">
        <w:rPr>
          <w:rFonts w:ascii="Arial" w:hAnsi="Arial" w:cs="Arial"/>
          <w:i/>
          <w:sz w:val="20"/>
          <w:lang w:val="en-US"/>
        </w:rPr>
        <w:sym w:font="Symbol" w:char="F06D"/>
      </w:r>
      <w:r w:rsidRPr="006B7DB8">
        <w:rPr>
          <w:rFonts w:ascii="Arial" w:hAnsi="Arial" w:cs="Arial"/>
          <w:i/>
          <w:sz w:val="20"/>
          <w:lang w:val="en-US"/>
        </w:rPr>
        <w:t>(1-</w:t>
      </w:r>
      <w:r w:rsidRPr="006B7DB8">
        <w:rPr>
          <w:rFonts w:ascii="Arial" w:hAnsi="Arial" w:cs="Arial"/>
          <w:i/>
          <w:sz w:val="20"/>
          <w:lang w:val="en-US"/>
        </w:rPr>
        <w:sym w:font="Symbol" w:char="F06D"/>
      </w:r>
      <w:r w:rsidRPr="006B7DB8">
        <w:rPr>
          <w:rFonts w:ascii="Arial" w:hAnsi="Arial" w:cs="Arial"/>
          <w:i/>
          <w:sz w:val="20"/>
          <w:lang w:val="en-US"/>
        </w:rPr>
        <w:t>)</w:t>
      </w:r>
      <w:r w:rsidRPr="006B7DB8">
        <w:rPr>
          <w:rFonts w:ascii="Arial" w:hAnsi="Arial" w:cs="Arial"/>
          <w:sz w:val="20"/>
          <w:lang w:val="en-US"/>
        </w:rPr>
        <w:t xml:space="preserve">) for the variance given the mean. This is obtained by having as prior density for </w:t>
      </w:r>
      <m:oMath>
        <m:r>
          <w:rPr>
            <w:rFonts w:ascii="Cambria Math" w:eastAsiaTheme="minorEastAsia" w:hAnsi="Cambria Math" w:cs="Arial"/>
            <w:sz w:val="20"/>
            <w:lang w:val="en-US"/>
          </w:rPr>
          <m:t>η</m:t>
        </m:r>
      </m:oMath>
      <w:r w:rsidRPr="006B7DB8">
        <w:rPr>
          <w:rFonts w:ascii="Arial" w:hAnsi="Arial" w:cs="Arial"/>
          <w:sz w:val="20"/>
          <w:lang w:val="en-US"/>
        </w:rPr>
        <w:t xml:space="preserve"> the function </w:t>
      </w:r>
      <m:oMath>
        <m:f>
          <m:fPr>
            <m:ctrlPr>
              <w:rPr>
                <w:rFonts w:ascii="Cambria Math" w:eastAsiaTheme="minorEastAsia" w:hAnsi="Cambria Math" w:cs="Arial"/>
                <w:i/>
                <w:sz w:val="20"/>
                <w:lang w:val="en-US"/>
              </w:rPr>
            </m:ctrlPr>
          </m:fPr>
          <m:num>
            <m:r>
              <w:rPr>
                <w:rFonts w:ascii="Cambria Math" w:eastAsiaTheme="minorEastAsia" w:hAnsi="Cambria Math" w:cs="Arial"/>
                <w:sz w:val="20"/>
                <w:lang w:val="en-US"/>
              </w:rPr>
              <m:t>1</m:t>
            </m:r>
          </m:num>
          <m:den>
            <m:r>
              <w:rPr>
                <w:rFonts w:ascii="Cambria Math" w:eastAsiaTheme="minorEastAsia" w:hAnsi="Cambria Math" w:cs="Arial"/>
                <w:sz w:val="20"/>
                <w:lang w:val="en-US"/>
              </w:rPr>
              <m:t>(1+η</m:t>
            </m:r>
            <m:sSup>
              <m:sSupPr>
                <m:ctrlPr>
                  <w:rPr>
                    <w:rFonts w:ascii="Cambria Math" w:eastAsiaTheme="minorEastAsia" w:hAnsi="Cambria Math" w:cs="Arial"/>
                    <w:i/>
                    <w:sz w:val="20"/>
                    <w:lang w:val="en-US"/>
                  </w:rPr>
                </m:ctrlPr>
              </m:sSupPr>
              <m:e>
                <m:r>
                  <w:rPr>
                    <w:rFonts w:ascii="Cambria Math" w:eastAsiaTheme="minorEastAsia" w:hAnsi="Cambria Math" w:cs="Arial"/>
                    <w:sz w:val="20"/>
                    <w:lang w:val="en-US"/>
                  </w:rPr>
                  <m:t>)</m:t>
                </m:r>
              </m:e>
              <m:sup>
                <m:r>
                  <w:rPr>
                    <w:rFonts w:ascii="Cambria Math" w:eastAsiaTheme="minorEastAsia" w:hAnsi="Cambria Math" w:cs="Arial"/>
                    <w:sz w:val="20"/>
                    <w:lang w:val="en-US"/>
                  </w:rPr>
                  <m:t>2</m:t>
                </m:r>
              </m:sup>
            </m:sSup>
          </m:den>
        </m:f>
      </m:oMath>
      <w:r w:rsidRPr="006B7DB8">
        <w:rPr>
          <w:rFonts w:ascii="Arial" w:hAnsi="Arial" w:cs="Arial"/>
          <w:sz w:val="20"/>
          <w:lang w:val="en-US"/>
        </w:rPr>
        <w:t xml:space="preserve">. This is beta-prime distribution with parameters (1,1), which is modeled in OpenBUGS as </w:t>
      </w:r>
      <w:proofErr w:type="gramStart"/>
      <w:r w:rsidRPr="006B7DB8">
        <w:rPr>
          <w:rFonts w:ascii="Arial" w:hAnsi="Arial" w:cs="Arial"/>
          <w:sz w:val="20"/>
          <w:lang w:val="en-US"/>
        </w:rPr>
        <w:t>dgpar(</w:t>
      </w:r>
      <w:proofErr w:type="gramEnd"/>
      <w:r w:rsidRPr="006B7DB8">
        <w:rPr>
          <w:rFonts w:ascii="Arial" w:hAnsi="Arial" w:cs="Arial"/>
          <w:sz w:val="20"/>
          <w:lang w:val="en-US"/>
        </w:rPr>
        <w:t>0,1,1)</w:t>
      </w:r>
      <w:r w:rsidR="00FC62B4" w:rsidRPr="006B7DB8">
        <w:rPr>
          <w:rFonts w:ascii="Arial" w:hAnsi="Arial" w:cs="Arial"/>
          <w:sz w:val="20"/>
          <w:lang w:val="en-US"/>
        </w:rPr>
        <w:t>.</w:t>
      </w:r>
      <w:r w:rsidR="00E25AD1" w:rsidRPr="006B7DB8">
        <w:rPr>
          <w:rFonts w:ascii="Arial" w:hAnsi="Arial" w:cs="Arial"/>
          <w:sz w:val="20"/>
          <w:vertAlign w:val="superscript"/>
          <w:lang w:val="en-US"/>
        </w:rPr>
        <w:t>2</w:t>
      </w:r>
      <w:r w:rsidRPr="006B7DB8">
        <w:rPr>
          <w:rFonts w:ascii="Arial" w:hAnsi="Arial" w:cs="Arial"/>
          <w:sz w:val="20"/>
          <w:lang w:val="en-US"/>
        </w:rPr>
        <w:t xml:space="preserve"> The observed prevalence</w:t>
      </w:r>
      <w:r w:rsidR="00E25AD1" w:rsidRPr="006B7DB8">
        <w:rPr>
          <w:rFonts w:ascii="Arial" w:hAnsi="Arial" w:cs="Arial"/>
          <w:sz w:val="20"/>
          <w:lang w:val="en-US"/>
        </w:rPr>
        <w:t>s</w:t>
      </w:r>
      <w:r w:rsidRPr="006B7DB8">
        <w:rPr>
          <w:rFonts w:ascii="Arial" w:hAnsi="Arial" w:cs="Arial"/>
          <w:sz w:val="20"/>
          <w:lang w:val="en-US"/>
        </w:rPr>
        <w:t xml:space="preserve"> at admission and at discharge </w:t>
      </w:r>
      <w:r w:rsidRPr="006B7DB8">
        <w:rPr>
          <w:rFonts w:ascii="Arial" w:hAnsi="Arial" w:cs="Arial"/>
          <w:sz w:val="20"/>
          <w:lang w:val="en-US"/>
        </w:rPr>
        <w:lastRenderedPageBreak/>
        <w:t xml:space="preserve">were modeled as binomial distributions, i.e. </w:t>
      </w:r>
      <w:r w:rsidRPr="006B7DB8">
        <w:rPr>
          <w:rFonts w:ascii="Arial" w:hAnsi="Arial" w:cs="Arial"/>
          <w:i/>
          <w:sz w:val="20"/>
          <w:lang w:val="en-US"/>
        </w:rPr>
        <w:t>Bin</w:t>
      </w:r>
      <w:r w:rsidRPr="006B7DB8">
        <w:rPr>
          <w:rFonts w:ascii="Arial" w:hAnsi="Arial" w:cs="Arial"/>
          <w:sz w:val="20"/>
          <w:lang w:val="en-US"/>
        </w:rPr>
        <w:t>(</w:t>
      </w:r>
      <w:r w:rsidRPr="006B7DB8">
        <w:rPr>
          <w:rFonts w:ascii="Arial" w:hAnsi="Arial" w:cs="Arial"/>
          <w:i/>
          <w:sz w:val="20"/>
          <w:lang w:val="en-US"/>
        </w:rPr>
        <w:t>n</w:t>
      </w:r>
      <w:r w:rsidRPr="006B7DB8">
        <w:rPr>
          <w:rFonts w:ascii="Arial" w:hAnsi="Arial" w:cs="Arial"/>
          <w:sz w:val="20"/>
          <w:lang w:val="en-US"/>
        </w:rPr>
        <w:t>,</w:t>
      </w:r>
      <w:r w:rsidRPr="006B7DB8">
        <w:rPr>
          <w:rFonts w:ascii="Arial" w:hAnsi="Arial" w:cs="Arial"/>
          <w:i/>
          <w:sz w:val="20"/>
          <w:lang w:val="en-US"/>
        </w:rPr>
        <w:t>p</w:t>
      </w:r>
      <w:r w:rsidRPr="006B7DB8">
        <w:rPr>
          <w:rFonts w:ascii="Arial" w:hAnsi="Arial" w:cs="Arial"/>
          <w:sz w:val="20"/>
          <w:lang w:val="en-US"/>
        </w:rPr>
        <w:t xml:space="preserve">), with </w:t>
      </w:r>
      <w:r w:rsidRPr="006B7DB8">
        <w:rPr>
          <w:rFonts w:ascii="Arial" w:hAnsi="Arial" w:cs="Arial"/>
          <w:i/>
          <w:sz w:val="20"/>
          <w:lang w:val="en-US"/>
        </w:rPr>
        <w:t>n</w:t>
      </w:r>
      <w:r w:rsidRPr="006B7DB8">
        <w:rPr>
          <w:rFonts w:ascii="Arial" w:hAnsi="Arial" w:cs="Arial"/>
          <w:sz w:val="20"/>
          <w:lang w:val="en-US"/>
        </w:rPr>
        <w:t xml:space="preserve"> the number of culture</w:t>
      </w:r>
      <w:r w:rsidR="00E25AD1" w:rsidRPr="006B7DB8">
        <w:rPr>
          <w:rFonts w:ascii="Arial" w:hAnsi="Arial" w:cs="Arial"/>
          <w:sz w:val="20"/>
          <w:lang w:val="en-US"/>
        </w:rPr>
        <w:t>s taken</w:t>
      </w:r>
      <w:r w:rsidRPr="006B7DB8">
        <w:rPr>
          <w:rFonts w:ascii="Arial" w:hAnsi="Arial" w:cs="Arial"/>
          <w:sz w:val="20"/>
          <w:lang w:val="en-US"/>
        </w:rPr>
        <w:t xml:space="preserve"> and </w:t>
      </w:r>
      <w:r w:rsidRPr="006B7DB8">
        <w:rPr>
          <w:rFonts w:ascii="Arial" w:hAnsi="Arial" w:cs="Arial"/>
          <w:i/>
          <w:sz w:val="20"/>
          <w:lang w:val="en-US"/>
        </w:rPr>
        <w:t>p</w:t>
      </w:r>
      <w:r w:rsidRPr="006B7DB8">
        <w:rPr>
          <w:rFonts w:ascii="Arial" w:hAnsi="Arial" w:cs="Arial"/>
          <w:sz w:val="20"/>
          <w:lang w:val="en-US"/>
        </w:rPr>
        <w:t xml:space="preserve"> the prevalence </w:t>
      </w:r>
      <w:r w:rsidR="00E25AD1" w:rsidRPr="006B7DB8">
        <w:rPr>
          <w:rFonts w:ascii="Arial" w:hAnsi="Arial" w:cs="Arial"/>
          <w:sz w:val="20"/>
          <w:lang w:val="en-US"/>
        </w:rPr>
        <w:t xml:space="preserve">of ESBL-E rectal carriage </w:t>
      </w:r>
      <w:r w:rsidRPr="006B7DB8">
        <w:rPr>
          <w:rFonts w:ascii="Arial" w:hAnsi="Arial" w:cs="Arial"/>
          <w:sz w:val="20"/>
          <w:lang w:val="en-US"/>
        </w:rPr>
        <w:t xml:space="preserve">that comes from the beta-distribution. The posterior distributions for </w:t>
      </w:r>
      <w:r w:rsidRPr="006B7DB8">
        <w:rPr>
          <w:rFonts w:ascii="Arial" w:hAnsi="Arial" w:cs="Arial"/>
          <w:i/>
          <w:sz w:val="20"/>
          <w:lang w:val="en-US"/>
        </w:rPr>
        <w:t>μ</w:t>
      </w:r>
      <w:r w:rsidRPr="006B7DB8">
        <w:rPr>
          <w:rFonts w:ascii="Arial" w:hAnsi="Arial" w:cs="Arial"/>
          <w:sz w:val="20"/>
          <w:lang w:val="en-US"/>
        </w:rPr>
        <w:t xml:space="preserve"> are reported in the manuscript as mean prevalence of ESBL-E rectal carriage at hospital admission and at hospital discharge.</w:t>
      </w:r>
      <w:r w:rsidR="00345B8F" w:rsidRPr="006B7DB8">
        <w:rPr>
          <w:rFonts w:ascii="Arial" w:hAnsi="Arial" w:cs="Arial"/>
          <w:sz w:val="20"/>
          <w:lang w:val="en-US"/>
        </w:rPr>
        <w:t xml:space="preserve"> </w:t>
      </w:r>
      <w:r w:rsidR="006B7DB8" w:rsidRPr="006B7DB8">
        <w:rPr>
          <w:rFonts w:ascii="Arial" w:hAnsi="Arial" w:cs="Arial"/>
          <w:sz w:val="20"/>
          <w:szCs w:val="20"/>
          <w:lang w:val="en-US"/>
        </w:rPr>
        <w:t>L</w:t>
      </w:r>
      <w:r w:rsidR="006B7DB8" w:rsidRPr="006B7DB8">
        <w:rPr>
          <w:rFonts w:ascii="Arial" w:hAnsi="Arial" w:cs="Arial"/>
          <w:sz w:val="20"/>
          <w:szCs w:val="20"/>
          <w:lang w:val="en-US"/>
        </w:rPr>
        <w:t>eave-one-out sensitivity analyses were conducted to evaluate the robustness of the overall estimates</w:t>
      </w:r>
      <w:r w:rsidR="00627034">
        <w:rPr>
          <w:rFonts w:ascii="Arial" w:hAnsi="Arial" w:cs="Arial"/>
          <w:sz w:val="20"/>
          <w:szCs w:val="20"/>
          <w:lang w:val="en-US"/>
        </w:rPr>
        <w:t xml:space="preserve"> for the </w:t>
      </w:r>
      <w:proofErr w:type="spellStart"/>
      <w:r w:rsidR="00627034">
        <w:rPr>
          <w:rFonts w:ascii="Arial" w:hAnsi="Arial" w:cs="Arial"/>
          <w:sz w:val="20"/>
          <w:szCs w:val="20"/>
          <w:lang w:val="en-US"/>
        </w:rPr>
        <w:t>SoM</w:t>
      </w:r>
      <w:proofErr w:type="spellEnd"/>
      <w:r w:rsidR="00627034">
        <w:rPr>
          <w:rFonts w:ascii="Arial" w:hAnsi="Arial" w:cs="Arial"/>
          <w:sz w:val="20"/>
          <w:szCs w:val="20"/>
          <w:lang w:val="en-US"/>
        </w:rPr>
        <w:t xml:space="preserve"> </w:t>
      </w:r>
      <w:r w:rsidR="00627034" w:rsidRPr="00555FFE">
        <w:rPr>
          <w:rFonts w:ascii="Arial" w:hAnsi="Arial" w:cs="Arial"/>
          <w:sz w:val="20"/>
          <w:szCs w:val="20"/>
          <w:lang w:val="en-US"/>
        </w:rPr>
        <w:t>study</w:t>
      </w:r>
      <w:r w:rsidR="006B7DB8" w:rsidRPr="00555FFE">
        <w:rPr>
          <w:rFonts w:ascii="Arial" w:hAnsi="Arial" w:cs="Arial"/>
          <w:sz w:val="20"/>
          <w:szCs w:val="20"/>
          <w:lang w:val="en-US"/>
        </w:rPr>
        <w:t>.</w:t>
      </w:r>
      <w:r w:rsidR="00555FFE" w:rsidRPr="00555FFE">
        <w:rPr>
          <w:rFonts w:ascii="Arial" w:hAnsi="Arial" w:cs="Arial"/>
          <w:sz w:val="20"/>
          <w:szCs w:val="20"/>
          <w:vertAlign w:val="superscript"/>
          <w:lang w:val="en-US"/>
        </w:rPr>
        <w:t>3</w:t>
      </w:r>
      <w:r w:rsidR="006B7DB8" w:rsidRPr="00555FFE">
        <w:rPr>
          <w:rFonts w:ascii="Arial" w:hAnsi="Arial" w:cs="Arial"/>
          <w:sz w:val="20"/>
          <w:szCs w:val="20"/>
          <w:lang w:val="en-US"/>
        </w:rPr>
        <w:t xml:space="preserve"> By iteratively</w:t>
      </w:r>
      <w:r w:rsidR="006B7DB8" w:rsidRPr="00627034">
        <w:rPr>
          <w:rFonts w:ascii="Arial" w:hAnsi="Arial" w:cs="Arial"/>
          <w:sz w:val="20"/>
          <w:szCs w:val="20"/>
          <w:lang w:val="en-US"/>
        </w:rPr>
        <w:t xml:space="preserve"> removing one hospital at a time and recalculating parameter estimates, the impact of each hospital on the overall estimates was assessed.</w:t>
      </w:r>
    </w:p>
    <w:p w14:paraId="61D8E71F" w14:textId="1090EEC2" w:rsidR="00824D32" w:rsidRPr="00627034" w:rsidRDefault="00824D32" w:rsidP="00E07329">
      <w:pPr>
        <w:pStyle w:val="Plattetekst"/>
        <w:spacing w:line="480" w:lineRule="auto"/>
        <w:rPr>
          <w:rFonts w:cs="Arial"/>
          <w:sz w:val="20"/>
          <w:lang w:val="en-US"/>
        </w:rPr>
      </w:pPr>
      <w:r w:rsidRPr="00627034">
        <w:rPr>
          <w:rFonts w:cs="Arial"/>
          <w:sz w:val="20"/>
          <w:lang w:val="en-US"/>
        </w:rPr>
        <w:t xml:space="preserve">The prevalence of hospital-acquired ESBL-E rectal carriage at discharge was estimated by subtracting the prevalence of ESBL-E carriage at hospital admission from the </w:t>
      </w:r>
      <w:r w:rsidR="00F1238E" w:rsidRPr="00627034">
        <w:rPr>
          <w:rFonts w:cs="Arial"/>
          <w:sz w:val="20"/>
          <w:lang w:val="en-US"/>
        </w:rPr>
        <w:t>p</w:t>
      </w:r>
      <w:r w:rsidRPr="00627034">
        <w:rPr>
          <w:rFonts w:cs="Arial"/>
          <w:sz w:val="20"/>
          <w:lang w:val="en-US"/>
        </w:rPr>
        <w:t xml:space="preserve">revalence of ESBL-E carriage at hospital discharge. Dividing the estimated prevalence of hospital-acquired ESBL-E rectal carriage at discharge by the proportion of ESBL-E non-carriers at admission yielded the cumulative incidence of ESBL-E rectal carriage during </w:t>
      </w:r>
      <w:r w:rsidR="002234D1" w:rsidRPr="00627034">
        <w:rPr>
          <w:rFonts w:cs="Arial"/>
          <w:sz w:val="20"/>
          <w:lang w:val="en-US"/>
        </w:rPr>
        <w:t>hospitalization</w:t>
      </w:r>
      <w:r w:rsidRPr="00627034">
        <w:rPr>
          <w:rFonts w:cs="Arial"/>
          <w:sz w:val="20"/>
          <w:lang w:val="en-US"/>
        </w:rPr>
        <w:t xml:space="preserve">. The acquisition rate of ESBL-E rectal carriage was estimated by multiplying the estimated prevalence of hospital-acquired ESBL-E rectal carriage at discharge by the number of patients cultured at discharge divided by the number of patient days at risk for patients cultured at discharge. The number of patient days at risk was estimated from the length of hospital stay for patients cultured at discharge, </w:t>
      </w:r>
      <w:proofErr w:type="gramStart"/>
      <w:r w:rsidRPr="00627034">
        <w:rPr>
          <w:rFonts w:cs="Arial"/>
          <w:sz w:val="20"/>
          <w:lang w:val="en-US"/>
        </w:rPr>
        <w:t>taking into account</w:t>
      </w:r>
      <w:proofErr w:type="gramEnd"/>
      <w:r w:rsidRPr="00627034">
        <w:rPr>
          <w:rFonts w:cs="Arial"/>
          <w:sz w:val="20"/>
          <w:lang w:val="en-US"/>
        </w:rPr>
        <w:t xml:space="preserve"> the observed prevalence of ESBL-E rectal carriage at hospital admission and the assumed two-day delay in detectability of hospital-acquired ESBL-E rectal carriage, i.e. the length of hospital stay until two days before culture was multiplied by the proportion of ESBL-E non-carriers at admission.</w:t>
      </w:r>
    </w:p>
    <w:p w14:paraId="76D8B412" w14:textId="77777777" w:rsidR="006B7DB8" w:rsidRPr="00627034" w:rsidRDefault="006B7DB8" w:rsidP="00E07329">
      <w:pPr>
        <w:pStyle w:val="Geenafstand"/>
        <w:spacing w:line="480" w:lineRule="auto"/>
        <w:rPr>
          <w:rFonts w:ascii="Arial" w:hAnsi="Arial" w:cs="Arial"/>
          <w:sz w:val="20"/>
          <w:szCs w:val="20"/>
          <w:lang w:val="en-US"/>
        </w:rPr>
      </w:pPr>
    </w:p>
    <w:p w14:paraId="2ABB94B7" w14:textId="5AC5F00E" w:rsidR="000A73B8" w:rsidRPr="00627034" w:rsidRDefault="000A73B8" w:rsidP="00E07329">
      <w:pPr>
        <w:pStyle w:val="Geenafstand"/>
        <w:spacing w:line="480" w:lineRule="auto"/>
        <w:rPr>
          <w:rFonts w:ascii="Arial" w:hAnsi="Arial" w:cs="Arial"/>
          <w:b/>
          <w:sz w:val="20"/>
          <w:szCs w:val="20"/>
          <w:lang w:val="en-US"/>
        </w:rPr>
      </w:pPr>
      <w:r w:rsidRPr="00627034">
        <w:rPr>
          <w:rFonts w:ascii="Arial" w:hAnsi="Arial" w:cs="Arial"/>
          <w:b/>
          <w:sz w:val="20"/>
          <w:szCs w:val="20"/>
          <w:lang w:val="en-US"/>
        </w:rPr>
        <w:t>Markov chain Monte Carlo model</w:t>
      </w:r>
    </w:p>
    <w:p w14:paraId="740569CC" w14:textId="4BAD6872" w:rsidR="00112AA4" w:rsidRPr="00BA4C98" w:rsidRDefault="000A73B8" w:rsidP="00E07329">
      <w:pPr>
        <w:pStyle w:val="Geenafstand"/>
        <w:spacing w:line="480" w:lineRule="auto"/>
        <w:rPr>
          <w:rFonts w:ascii="Arial" w:hAnsi="Arial" w:cs="Arial"/>
          <w:color w:val="000000" w:themeColor="text1"/>
          <w:sz w:val="20"/>
          <w:szCs w:val="20"/>
          <w:lang w:val="en-US"/>
        </w:rPr>
      </w:pPr>
      <w:r w:rsidRPr="00627034">
        <w:rPr>
          <w:rFonts w:ascii="Arial" w:hAnsi="Arial" w:cs="Arial"/>
          <w:sz w:val="20"/>
          <w:szCs w:val="20"/>
          <w:lang w:val="en-US"/>
        </w:rPr>
        <w:t xml:space="preserve">A previously developed Markov chain Monte Carlo (MCMC) model was used to </w:t>
      </w:r>
      <w:r w:rsidR="005174B9" w:rsidRPr="00627034">
        <w:rPr>
          <w:rFonts w:ascii="Arial" w:hAnsi="Arial" w:cs="Arial"/>
          <w:sz w:val="20"/>
          <w:szCs w:val="20"/>
          <w:lang w:val="en-US"/>
        </w:rPr>
        <w:t>quantify</w:t>
      </w:r>
      <w:r w:rsidRPr="00627034">
        <w:rPr>
          <w:rFonts w:ascii="Arial" w:hAnsi="Arial" w:cs="Arial"/>
          <w:sz w:val="20"/>
          <w:szCs w:val="20"/>
          <w:lang w:val="en-US"/>
        </w:rPr>
        <w:t xml:space="preserve"> the hospital-acquisition of ESBL-E in the R-GNOSIS </w:t>
      </w:r>
      <w:r w:rsidRPr="00627034">
        <w:rPr>
          <w:rFonts w:ascii="Arial" w:hAnsi="Arial" w:cs="Arial"/>
          <w:sz w:val="20"/>
          <w:szCs w:val="20"/>
          <w:lang w:val="en-US"/>
        </w:rPr>
        <w:t>study</w:t>
      </w:r>
      <w:r w:rsidR="00FC62B4" w:rsidRPr="00627034">
        <w:rPr>
          <w:rFonts w:ascii="Arial" w:hAnsi="Arial" w:cs="Arial"/>
          <w:sz w:val="20"/>
          <w:szCs w:val="20"/>
          <w:lang w:val="en-US"/>
        </w:rPr>
        <w:t>.</w:t>
      </w:r>
      <w:r w:rsidR="00C6535E" w:rsidRPr="00627034">
        <w:rPr>
          <w:rFonts w:ascii="Arial" w:hAnsi="Arial" w:cs="Arial"/>
          <w:sz w:val="20"/>
          <w:szCs w:val="20"/>
          <w:vertAlign w:val="superscript"/>
          <w:lang w:val="en-US"/>
        </w:rPr>
        <w:t>4</w:t>
      </w:r>
      <w:r w:rsidR="00555FFE">
        <w:rPr>
          <w:rFonts w:ascii="Arial" w:hAnsi="Arial" w:cs="Arial"/>
          <w:sz w:val="20"/>
          <w:szCs w:val="20"/>
          <w:vertAlign w:val="superscript"/>
          <w:lang w:val="en-US"/>
        </w:rPr>
        <w:t>,5</w:t>
      </w:r>
      <w:r w:rsidRPr="00627034">
        <w:rPr>
          <w:rFonts w:ascii="Arial" w:hAnsi="Arial" w:cs="Arial"/>
          <w:color w:val="000000" w:themeColor="text1"/>
          <w:sz w:val="20"/>
          <w:szCs w:val="20"/>
          <w:lang w:val="en-US"/>
        </w:rPr>
        <w:t xml:space="preserve"> </w:t>
      </w:r>
      <w:r w:rsidR="007E0EAC" w:rsidRPr="00627034">
        <w:rPr>
          <w:rFonts w:ascii="Arial" w:hAnsi="Arial" w:cs="Arial"/>
          <w:color w:val="000000" w:themeColor="text1"/>
          <w:sz w:val="20"/>
          <w:szCs w:val="20"/>
          <w:lang w:val="en-US"/>
        </w:rPr>
        <w:t xml:space="preserve">This </w:t>
      </w:r>
      <w:r w:rsidR="007E0EAC" w:rsidRPr="00627034">
        <w:rPr>
          <w:rFonts w:ascii="Arial" w:hAnsi="Arial" w:cs="Arial"/>
          <w:color w:val="000000" w:themeColor="text1"/>
          <w:sz w:val="20"/>
          <w:szCs w:val="20"/>
          <w:lang w:val="en-US"/>
        </w:rPr>
        <w:t xml:space="preserve">model assumes that patients are either </w:t>
      </w:r>
      <w:r w:rsidR="002234D1" w:rsidRPr="00627034">
        <w:rPr>
          <w:rFonts w:ascii="Arial" w:hAnsi="Arial" w:cs="Arial"/>
          <w:color w:val="000000" w:themeColor="text1"/>
          <w:sz w:val="20"/>
          <w:szCs w:val="20"/>
          <w:lang w:val="en-US"/>
        </w:rPr>
        <w:t>colonized</w:t>
      </w:r>
      <w:r w:rsidR="007E0EAC" w:rsidRPr="00627034">
        <w:rPr>
          <w:rFonts w:ascii="Arial" w:hAnsi="Arial" w:cs="Arial"/>
          <w:color w:val="000000" w:themeColor="text1"/>
          <w:sz w:val="20"/>
          <w:szCs w:val="20"/>
          <w:lang w:val="en-US"/>
        </w:rPr>
        <w:t xml:space="preserve"> with ESBL-E or non-</w:t>
      </w:r>
      <w:r w:rsidR="002234D1" w:rsidRPr="00627034">
        <w:rPr>
          <w:rFonts w:ascii="Arial" w:hAnsi="Arial" w:cs="Arial"/>
          <w:color w:val="000000" w:themeColor="text1"/>
          <w:sz w:val="20"/>
          <w:szCs w:val="20"/>
          <w:lang w:val="en-US"/>
        </w:rPr>
        <w:t>colonized</w:t>
      </w:r>
      <w:r w:rsidR="007E0EAC" w:rsidRPr="00627034">
        <w:rPr>
          <w:rFonts w:ascii="Arial" w:hAnsi="Arial" w:cs="Arial"/>
          <w:color w:val="000000" w:themeColor="text1"/>
          <w:sz w:val="20"/>
          <w:szCs w:val="20"/>
          <w:lang w:val="en-US"/>
        </w:rPr>
        <w:t>, and d</w:t>
      </w:r>
      <w:r w:rsidR="007E0EAC" w:rsidRPr="00BA4C98">
        <w:rPr>
          <w:rFonts w:ascii="Arial" w:hAnsi="Arial" w:cs="Arial"/>
          <w:color w:val="000000" w:themeColor="text1"/>
          <w:sz w:val="20"/>
          <w:szCs w:val="20"/>
          <w:lang w:val="en-US"/>
        </w:rPr>
        <w:t xml:space="preserve">istinguishes between patient-dependent acquisition and background acquisition. </w:t>
      </w:r>
    </w:p>
    <w:p w14:paraId="3515BD69" w14:textId="06B93229" w:rsidR="007E0EAC" w:rsidRPr="00BA4C98" w:rsidRDefault="007E0EAC" w:rsidP="00E07329">
      <w:pPr>
        <w:pStyle w:val="Geenafstand"/>
        <w:spacing w:line="480" w:lineRule="auto"/>
        <w:rPr>
          <w:rFonts w:ascii="Arial" w:hAnsi="Arial" w:cs="Arial"/>
          <w:color w:val="000000" w:themeColor="text1"/>
          <w:sz w:val="20"/>
          <w:szCs w:val="20"/>
          <w:lang w:val="en-US"/>
        </w:rPr>
      </w:pPr>
      <w:r w:rsidRPr="00BA4C98">
        <w:rPr>
          <w:rFonts w:ascii="Arial" w:hAnsi="Arial" w:cs="Arial"/>
          <w:color w:val="000000" w:themeColor="text1"/>
          <w:sz w:val="20"/>
          <w:szCs w:val="20"/>
          <w:lang w:val="en-US"/>
        </w:rPr>
        <w:t xml:space="preserve">The patient-dependent </w:t>
      </w:r>
      <w:r w:rsidRPr="00BA4C98">
        <w:rPr>
          <w:rFonts w:ascii="Arial" w:hAnsi="Arial" w:cs="Arial"/>
          <w:color w:val="000000" w:themeColor="text1"/>
          <w:sz w:val="20"/>
          <w:szCs w:val="20"/>
          <w:lang w:val="en-US"/>
        </w:rPr>
        <w:t xml:space="preserve">acquisition rate comprises all ESBL-E acquisitions that are dependent on the </w:t>
      </w:r>
      <w:r w:rsidR="002234D1" w:rsidRPr="00BA4C98">
        <w:rPr>
          <w:rFonts w:ascii="Arial" w:hAnsi="Arial" w:cs="Arial"/>
          <w:color w:val="000000" w:themeColor="text1"/>
          <w:sz w:val="20"/>
          <w:szCs w:val="20"/>
          <w:lang w:val="en-US"/>
        </w:rPr>
        <w:t>colonization</w:t>
      </w:r>
      <w:r w:rsidRPr="00BA4C98">
        <w:rPr>
          <w:rFonts w:ascii="Arial" w:hAnsi="Arial" w:cs="Arial"/>
          <w:color w:val="000000" w:themeColor="text1"/>
          <w:sz w:val="20"/>
          <w:szCs w:val="20"/>
          <w:lang w:val="en-US"/>
        </w:rPr>
        <w:t xml:space="preserve"> pressure on the ward</w:t>
      </w:r>
      <w:r w:rsidR="00555FFE">
        <w:rPr>
          <w:rFonts w:ascii="Arial" w:hAnsi="Arial" w:cs="Arial"/>
          <w:color w:val="000000" w:themeColor="text1"/>
          <w:sz w:val="20"/>
          <w:szCs w:val="20"/>
          <w:vertAlign w:val="superscript"/>
          <w:lang w:val="en-US"/>
        </w:rPr>
        <w:t>6</w:t>
      </w:r>
      <w:r w:rsidRPr="00BA4C98">
        <w:rPr>
          <w:rFonts w:ascii="Arial" w:hAnsi="Arial" w:cs="Arial"/>
          <w:color w:val="000000" w:themeColor="text1"/>
          <w:sz w:val="20"/>
          <w:szCs w:val="20"/>
          <w:lang w:val="en-US"/>
        </w:rPr>
        <w:t xml:space="preserve"> and </w:t>
      </w:r>
      <w:r w:rsidRPr="00BA4C98">
        <w:rPr>
          <w:rFonts w:ascii="Arial" w:hAnsi="Arial" w:cs="Arial"/>
          <w:color w:val="000000" w:themeColor="text1"/>
          <w:sz w:val="20"/>
          <w:szCs w:val="20"/>
          <w:lang w:val="en-US"/>
        </w:rPr>
        <w:t xml:space="preserve">includes the transmission of ESBL-E from </w:t>
      </w:r>
      <w:r w:rsidR="002234D1" w:rsidRPr="00BA4C98">
        <w:rPr>
          <w:rFonts w:ascii="Arial" w:hAnsi="Arial" w:cs="Arial"/>
          <w:color w:val="000000" w:themeColor="text1"/>
          <w:sz w:val="20"/>
          <w:szCs w:val="20"/>
          <w:lang w:val="en-US"/>
        </w:rPr>
        <w:t>colonized</w:t>
      </w:r>
      <w:r w:rsidRPr="00BA4C98">
        <w:rPr>
          <w:rFonts w:ascii="Arial" w:hAnsi="Arial" w:cs="Arial"/>
          <w:color w:val="000000" w:themeColor="text1"/>
          <w:sz w:val="20"/>
          <w:szCs w:val="20"/>
          <w:lang w:val="en-US"/>
        </w:rPr>
        <w:t xml:space="preserve"> to non-</w:t>
      </w:r>
      <w:r w:rsidR="002234D1" w:rsidRPr="00BA4C98">
        <w:rPr>
          <w:rFonts w:ascii="Arial" w:hAnsi="Arial" w:cs="Arial"/>
          <w:color w:val="000000" w:themeColor="text1"/>
          <w:sz w:val="20"/>
          <w:szCs w:val="20"/>
          <w:lang w:val="en-US"/>
        </w:rPr>
        <w:t>colonized</w:t>
      </w:r>
      <w:r w:rsidRPr="00BA4C98">
        <w:rPr>
          <w:rFonts w:ascii="Arial" w:hAnsi="Arial" w:cs="Arial"/>
          <w:color w:val="000000" w:themeColor="text1"/>
          <w:sz w:val="20"/>
          <w:szCs w:val="20"/>
          <w:lang w:val="en-US"/>
        </w:rPr>
        <w:t xml:space="preserve"> patients, either directly or indirectly (through the contaminated hands of healthcare workers (HCWs) or the contaminated environment). The background acquisition rate covers all other ESBL-E acquisitions, including acquisition from visitors or HCWs moving between wards, acquisition from the </w:t>
      </w:r>
      <w:r w:rsidRPr="00BA4C98">
        <w:rPr>
          <w:rFonts w:ascii="Arial" w:hAnsi="Arial" w:cs="Arial"/>
          <w:color w:val="000000" w:themeColor="text1"/>
          <w:sz w:val="20"/>
          <w:szCs w:val="20"/>
          <w:lang w:val="en-US"/>
        </w:rPr>
        <w:lastRenderedPageBreak/>
        <w:t xml:space="preserve">environment when this is independent of the </w:t>
      </w:r>
      <w:r w:rsidR="002234D1" w:rsidRPr="00BA4C98">
        <w:rPr>
          <w:rFonts w:ascii="Arial" w:hAnsi="Arial" w:cs="Arial"/>
          <w:color w:val="000000" w:themeColor="text1"/>
          <w:sz w:val="20"/>
          <w:szCs w:val="20"/>
          <w:lang w:val="en-US"/>
        </w:rPr>
        <w:t>colonization</w:t>
      </w:r>
      <w:r w:rsidRPr="00BA4C98">
        <w:rPr>
          <w:rFonts w:ascii="Arial" w:hAnsi="Arial" w:cs="Arial"/>
          <w:color w:val="000000" w:themeColor="text1"/>
          <w:sz w:val="20"/>
          <w:szCs w:val="20"/>
          <w:lang w:val="en-US"/>
        </w:rPr>
        <w:t xml:space="preserve"> pressure on the ward, and acquisition through the endogenous route. The latter represents the situation where bacteria are already present in the host at undetectable levels and, presumably, reach detectable levels under antibiotic pressure. </w:t>
      </w:r>
    </w:p>
    <w:p w14:paraId="63CB8AC8" w14:textId="075643C3" w:rsidR="007E0EAC" w:rsidRPr="00BA4C98" w:rsidRDefault="007E0EAC" w:rsidP="00E07329">
      <w:pPr>
        <w:pStyle w:val="Geenafstand"/>
        <w:spacing w:line="480" w:lineRule="auto"/>
        <w:rPr>
          <w:rFonts w:ascii="Arial" w:hAnsi="Arial" w:cs="Arial"/>
          <w:color w:val="000000" w:themeColor="text1"/>
          <w:sz w:val="20"/>
          <w:szCs w:val="20"/>
          <w:lang w:val="en-US"/>
        </w:rPr>
      </w:pPr>
      <w:r w:rsidRPr="00BA4C98">
        <w:rPr>
          <w:rFonts w:ascii="Arial" w:hAnsi="Arial" w:cs="Arial"/>
          <w:color w:val="000000" w:themeColor="text1"/>
          <w:sz w:val="20"/>
          <w:szCs w:val="20"/>
          <w:lang w:val="en-US"/>
        </w:rPr>
        <w:t xml:space="preserve">The rate of acquisition of ESBL-E is </w:t>
      </w:r>
      <w:r w:rsidRPr="00BA4C98">
        <w:rPr>
          <w:rFonts w:ascii="Arial" w:hAnsi="Arial" w:cs="Arial"/>
          <w:color w:val="000000" w:themeColor="text1"/>
          <w:sz w:val="20"/>
          <w:szCs w:val="20"/>
          <w:lang w:val="en-US"/>
        </w:rPr>
        <w:t xml:space="preserve">defined by </w:t>
      </w:r>
      <w:r w:rsidRPr="00BA4C98">
        <w:rPr>
          <w:rFonts w:ascii="Arial" w:hAnsi="Arial" w:cs="Arial"/>
          <w:i/>
          <w:color w:val="000000" w:themeColor="text1"/>
          <w:sz w:val="20"/>
          <w:szCs w:val="20"/>
          <w:lang w:val="en-US"/>
        </w:rPr>
        <w:t>α</w:t>
      </w:r>
      <w:r w:rsidRPr="00BA4C98">
        <w:rPr>
          <w:rFonts w:ascii="Arial" w:hAnsi="Arial" w:cs="Arial"/>
          <w:color w:val="000000" w:themeColor="text1"/>
          <w:sz w:val="20"/>
          <w:szCs w:val="20"/>
          <w:lang w:val="en-US"/>
        </w:rPr>
        <w:t>+</w:t>
      </w:r>
      <w:r w:rsidRPr="00BA4C98">
        <w:rPr>
          <w:rFonts w:ascii="Arial" w:hAnsi="Arial" w:cs="Arial"/>
          <w:i/>
          <w:color w:val="000000" w:themeColor="text1"/>
          <w:sz w:val="20"/>
          <w:szCs w:val="20"/>
          <w:lang w:val="en-US"/>
        </w:rPr>
        <w:t>β</w:t>
      </w:r>
      <w:r w:rsidRPr="00BA4C98">
        <w:rPr>
          <w:rFonts w:ascii="Arial" w:hAnsi="Arial" w:cs="Arial"/>
          <w:color w:val="000000" w:themeColor="text1"/>
          <w:sz w:val="20"/>
          <w:szCs w:val="20"/>
          <w:lang w:val="en-US"/>
        </w:rPr>
        <w:t>*</w:t>
      </w:r>
      <w:r w:rsidRPr="00BA4C98">
        <w:rPr>
          <w:rFonts w:ascii="Arial" w:hAnsi="Arial" w:cs="Arial"/>
          <w:i/>
          <w:color w:val="000000" w:themeColor="text1"/>
          <w:sz w:val="20"/>
          <w:szCs w:val="20"/>
          <w:lang w:val="en-US"/>
        </w:rPr>
        <w:t>I</w:t>
      </w:r>
      <w:r w:rsidRPr="00BA4C98">
        <w:rPr>
          <w:rFonts w:ascii="Arial" w:hAnsi="Arial" w:cs="Arial"/>
          <w:color w:val="000000" w:themeColor="text1"/>
          <w:sz w:val="20"/>
          <w:szCs w:val="20"/>
          <w:lang w:val="en-US"/>
        </w:rPr>
        <w:t>/</w:t>
      </w:r>
      <w:r w:rsidRPr="00BA4C98">
        <w:rPr>
          <w:rFonts w:ascii="Arial" w:hAnsi="Arial" w:cs="Arial"/>
          <w:i/>
          <w:color w:val="000000" w:themeColor="text1"/>
          <w:sz w:val="20"/>
          <w:szCs w:val="20"/>
          <w:lang w:val="en-US"/>
        </w:rPr>
        <w:t>N</w:t>
      </w:r>
      <w:r w:rsidRPr="00BA4C98">
        <w:rPr>
          <w:rFonts w:ascii="Arial" w:hAnsi="Arial" w:cs="Arial"/>
          <w:color w:val="000000" w:themeColor="text1"/>
          <w:sz w:val="20"/>
          <w:szCs w:val="20"/>
          <w:lang w:val="en-US"/>
        </w:rPr>
        <w:t xml:space="preserve">, where </w:t>
      </w:r>
      <w:r w:rsidRPr="00BA4C98">
        <w:rPr>
          <w:rFonts w:ascii="Arial" w:hAnsi="Arial" w:cs="Arial"/>
          <w:i/>
          <w:color w:val="000000" w:themeColor="text1"/>
          <w:sz w:val="20"/>
          <w:szCs w:val="20"/>
          <w:lang w:val="en-US"/>
        </w:rPr>
        <w:t>α</w:t>
      </w:r>
      <w:r w:rsidRPr="00BA4C98">
        <w:rPr>
          <w:rFonts w:ascii="Arial" w:hAnsi="Arial" w:cs="Arial"/>
          <w:color w:val="000000" w:themeColor="text1"/>
          <w:sz w:val="20"/>
          <w:szCs w:val="20"/>
          <w:lang w:val="en-US"/>
        </w:rPr>
        <w:t xml:space="preserve"> is the background acquisition rate, </w:t>
      </w:r>
      <w:r w:rsidRPr="00BA4C98">
        <w:rPr>
          <w:rFonts w:ascii="Arial" w:hAnsi="Arial" w:cs="Arial"/>
          <w:i/>
          <w:color w:val="000000" w:themeColor="text1"/>
          <w:sz w:val="20"/>
          <w:szCs w:val="20"/>
          <w:lang w:val="en-US"/>
        </w:rPr>
        <w:t>β</w:t>
      </w:r>
      <w:r w:rsidRPr="00BA4C98">
        <w:rPr>
          <w:rFonts w:ascii="Arial" w:hAnsi="Arial" w:cs="Arial"/>
          <w:color w:val="000000" w:themeColor="text1"/>
          <w:sz w:val="20"/>
          <w:szCs w:val="20"/>
          <w:lang w:val="en-US"/>
        </w:rPr>
        <w:t xml:space="preserve"> is the patient-dependent acquisition rate, </w:t>
      </w:r>
      <w:r w:rsidRPr="00BA4C98">
        <w:rPr>
          <w:rFonts w:ascii="Arial" w:hAnsi="Arial" w:cs="Arial"/>
          <w:i/>
          <w:color w:val="000000" w:themeColor="text1"/>
          <w:sz w:val="20"/>
          <w:szCs w:val="20"/>
          <w:lang w:val="en-US"/>
        </w:rPr>
        <w:t>I</w:t>
      </w:r>
      <w:r w:rsidRPr="00BA4C98">
        <w:rPr>
          <w:rFonts w:ascii="Arial" w:hAnsi="Arial" w:cs="Arial"/>
          <w:color w:val="000000" w:themeColor="text1"/>
          <w:sz w:val="20"/>
          <w:szCs w:val="20"/>
          <w:lang w:val="en-US"/>
        </w:rPr>
        <w:t xml:space="preserve"> is the number of </w:t>
      </w:r>
      <w:r w:rsidR="002234D1" w:rsidRPr="00BA4C98">
        <w:rPr>
          <w:rFonts w:ascii="Arial" w:hAnsi="Arial" w:cs="Arial"/>
          <w:color w:val="000000" w:themeColor="text1"/>
          <w:sz w:val="20"/>
          <w:szCs w:val="20"/>
          <w:lang w:val="en-US"/>
        </w:rPr>
        <w:t>colonized</w:t>
      </w:r>
      <w:r w:rsidRPr="00BA4C98">
        <w:rPr>
          <w:rFonts w:ascii="Arial" w:hAnsi="Arial" w:cs="Arial"/>
          <w:color w:val="000000" w:themeColor="text1"/>
          <w:sz w:val="20"/>
          <w:szCs w:val="20"/>
          <w:lang w:val="en-US"/>
        </w:rPr>
        <w:t xml:space="preserve"> patients on the ward, </w:t>
      </w:r>
      <w:r w:rsidRPr="00BA4C98">
        <w:rPr>
          <w:rFonts w:ascii="Arial" w:hAnsi="Arial" w:cs="Arial"/>
          <w:i/>
          <w:color w:val="000000" w:themeColor="text1"/>
          <w:sz w:val="20"/>
          <w:szCs w:val="20"/>
          <w:lang w:val="en-US"/>
        </w:rPr>
        <w:t>N</w:t>
      </w:r>
      <w:r w:rsidRPr="00BA4C98">
        <w:rPr>
          <w:rFonts w:ascii="Arial" w:hAnsi="Arial" w:cs="Arial"/>
          <w:color w:val="000000" w:themeColor="text1"/>
          <w:sz w:val="20"/>
          <w:szCs w:val="20"/>
          <w:lang w:val="en-US"/>
        </w:rPr>
        <w:t xml:space="preserve"> is the total number of patie</w:t>
      </w:r>
      <w:r w:rsidR="0084512B" w:rsidRPr="00BA4C98">
        <w:rPr>
          <w:rFonts w:ascii="Arial" w:hAnsi="Arial" w:cs="Arial"/>
          <w:color w:val="000000" w:themeColor="text1"/>
          <w:sz w:val="20"/>
          <w:szCs w:val="20"/>
          <w:lang w:val="en-US"/>
        </w:rPr>
        <w:t xml:space="preserve">nts on the ward. </w:t>
      </w:r>
      <w:r w:rsidR="00112AA4" w:rsidRPr="00BA4C98">
        <w:rPr>
          <w:rFonts w:ascii="Arial" w:hAnsi="Arial" w:cs="Arial"/>
          <w:color w:val="000000" w:themeColor="text1"/>
          <w:sz w:val="20"/>
          <w:szCs w:val="20"/>
          <w:lang w:val="en-US"/>
        </w:rPr>
        <w:t xml:space="preserve">The </w:t>
      </w:r>
      <w:r w:rsidR="002234D1" w:rsidRPr="00BA4C98">
        <w:rPr>
          <w:rFonts w:ascii="Arial" w:hAnsi="Arial" w:cs="Arial"/>
          <w:color w:val="000000" w:themeColor="text1"/>
          <w:sz w:val="20"/>
          <w:szCs w:val="20"/>
          <w:lang w:val="en-US"/>
        </w:rPr>
        <w:t>colonization</w:t>
      </w:r>
      <w:r w:rsidR="00112AA4" w:rsidRPr="00BA4C98">
        <w:rPr>
          <w:rFonts w:ascii="Arial" w:hAnsi="Arial" w:cs="Arial"/>
          <w:color w:val="000000" w:themeColor="text1"/>
          <w:sz w:val="20"/>
          <w:szCs w:val="20"/>
          <w:lang w:val="en-US"/>
        </w:rPr>
        <w:t xml:space="preserve"> pressure</w:t>
      </w:r>
      <w:r w:rsidR="00E25AD1" w:rsidRPr="00BA4C98">
        <w:rPr>
          <w:rFonts w:ascii="Arial" w:hAnsi="Arial" w:cs="Arial"/>
          <w:color w:val="000000" w:themeColor="text1"/>
          <w:sz w:val="20"/>
          <w:szCs w:val="20"/>
          <w:lang w:val="en-US"/>
        </w:rPr>
        <w:t xml:space="preserve">, </w:t>
      </w:r>
      <w:r w:rsidR="00112AA4" w:rsidRPr="00BA4C98">
        <w:rPr>
          <w:rFonts w:ascii="Arial" w:hAnsi="Arial" w:cs="Arial"/>
          <w:color w:val="000000" w:themeColor="text1"/>
          <w:sz w:val="20"/>
          <w:szCs w:val="20"/>
          <w:lang w:val="en-US"/>
        </w:rPr>
        <w:t xml:space="preserve">i.e. the fraction of ESBL-E carriers on the ward, is defined as </w:t>
      </w:r>
      <w:r w:rsidRPr="00BA4C98">
        <w:rPr>
          <w:rFonts w:ascii="Arial" w:hAnsi="Arial" w:cs="Arial"/>
          <w:i/>
          <w:color w:val="000000" w:themeColor="text1"/>
          <w:sz w:val="20"/>
          <w:szCs w:val="20"/>
          <w:lang w:val="en-US"/>
        </w:rPr>
        <w:t>I</w:t>
      </w:r>
      <w:r w:rsidRPr="00BA4C98">
        <w:rPr>
          <w:rFonts w:ascii="Arial" w:hAnsi="Arial" w:cs="Arial"/>
          <w:color w:val="000000" w:themeColor="text1"/>
          <w:sz w:val="20"/>
          <w:szCs w:val="20"/>
          <w:lang w:val="en-US"/>
        </w:rPr>
        <w:t>/</w:t>
      </w:r>
      <w:r w:rsidRPr="00BA4C98">
        <w:rPr>
          <w:rFonts w:ascii="Arial" w:hAnsi="Arial" w:cs="Arial"/>
          <w:i/>
          <w:color w:val="000000" w:themeColor="text1"/>
          <w:sz w:val="20"/>
          <w:szCs w:val="20"/>
          <w:lang w:val="en-US"/>
        </w:rPr>
        <w:t>N</w:t>
      </w:r>
      <w:r w:rsidR="00FC62B4" w:rsidRPr="00BA4C98">
        <w:rPr>
          <w:rFonts w:ascii="Arial" w:hAnsi="Arial" w:cs="Arial"/>
          <w:i/>
          <w:color w:val="000000" w:themeColor="text1"/>
          <w:sz w:val="20"/>
          <w:szCs w:val="20"/>
          <w:lang w:val="en-US"/>
        </w:rPr>
        <w:t>.</w:t>
      </w:r>
      <w:r w:rsidR="00555FFE">
        <w:rPr>
          <w:rFonts w:ascii="Arial" w:hAnsi="Arial" w:cs="Arial"/>
          <w:color w:val="000000" w:themeColor="text1"/>
          <w:sz w:val="20"/>
          <w:szCs w:val="20"/>
          <w:vertAlign w:val="superscript"/>
          <w:lang w:val="en-US"/>
        </w:rPr>
        <w:t>6</w:t>
      </w:r>
      <w:r w:rsidRPr="00BA4C98">
        <w:rPr>
          <w:rFonts w:ascii="Arial" w:hAnsi="Arial" w:cs="Arial"/>
          <w:color w:val="000000" w:themeColor="text1"/>
          <w:sz w:val="20"/>
          <w:szCs w:val="20"/>
          <w:lang w:val="en-US"/>
        </w:rPr>
        <w:t xml:space="preserve"> </w:t>
      </w:r>
    </w:p>
    <w:p w14:paraId="71279163" w14:textId="7D196B8B" w:rsidR="007E0EAC" w:rsidRPr="00BA4C98" w:rsidRDefault="007E0EAC" w:rsidP="00F347EC">
      <w:pPr>
        <w:pStyle w:val="Geenafstand"/>
        <w:spacing w:line="480" w:lineRule="auto"/>
        <w:rPr>
          <w:rFonts w:ascii="Arial" w:hAnsi="Arial" w:cs="Arial"/>
          <w:color w:val="000000" w:themeColor="text1"/>
          <w:sz w:val="20"/>
          <w:szCs w:val="20"/>
          <w:lang w:val="en-US"/>
        </w:rPr>
      </w:pPr>
      <w:r w:rsidRPr="00BA4C98">
        <w:rPr>
          <w:rFonts w:ascii="Arial" w:hAnsi="Arial" w:cs="Arial"/>
          <w:color w:val="000000" w:themeColor="text1"/>
          <w:sz w:val="20"/>
          <w:szCs w:val="20"/>
          <w:lang w:val="en-US"/>
        </w:rPr>
        <w:t>A Bayesian framework using a data-augmented MCMC method with Metropolis-Hastings algorithm was used that accounts for false-negative and missing cultures</w:t>
      </w:r>
      <w:r w:rsidR="00112AA4" w:rsidRPr="00BA4C98">
        <w:rPr>
          <w:rFonts w:ascii="Arial" w:hAnsi="Arial" w:cs="Arial"/>
          <w:color w:val="000000" w:themeColor="text1"/>
          <w:sz w:val="20"/>
          <w:szCs w:val="20"/>
          <w:lang w:val="en-US"/>
        </w:rPr>
        <w:t xml:space="preserve"> </w:t>
      </w:r>
      <w:r w:rsidRPr="00BA4C98">
        <w:rPr>
          <w:rFonts w:ascii="Arial" w:hAnsi="Arial" w:cs="Arial"/>
          <w:color w:val="000000" w:themeColor="text1"/>
          <w:sz w:val="20"/>
          <w:szCs w:val="20"/>
          <w:lang w:val="en-US"/>
        </w:rPr>
        <w:t>and</w:t>
      </w:r>
      <w:r w:rsidR="00112AA4" w:rsidRPr="00BA4C98">
        <w:rPr>
          <w:rFonts w:ascii="Arial" w:hAnsi="Arial" w:cs="Arial"/>
          <w:color w:val="000000" w:themeColor="text1"/>
          <w:sz w:val="20"/>
          <w:szCs w:val="20"/>
          <w:lang w:val="en-US"/>
        </w:rPr>
        <w:t>,</w:t>
      </w:r>
      <w:r w:rsidRPr="00BA4C98">
        <w:rPr>
          <w:rFonts w:ascii="Arial" w:hAnsi="Arial" w:cs="Arial"/>
          <w:color w:val="000000" w:themeColor="text1"/>
          <w:sz w:val="20"/>
          <w:szCs w:val="20"/>
          <w:lang w:val="en-US"/>
        </w:rPr>
        <w:t xml:space="preserve"> therewith, allows estimation of the sensitivity of the method used to detect ESBL-E rectal carriage (</w:t>
      </w:r>
      <w:r w:rsidRPr="00BA4C98">
        <w:rPr>
          <w:rFonts w:ascii="Arial" w:hAnsi="Arial" w:cs="Arial"/>
          <w:i/>
          <w:sz w:val="20"/>
          <w:szCs w:val="20"/>
          <w:lang w:val="en-US"/>
        </w:rPr>
        <w:t>φ</w:t>
      </w:r>
      <w:r w:rsidRPr="00BA4C98">
        <w:rPr>
          <w:rFonts w:ascii="Arial" w:hAnsi="Arial" w:cs="Arial"/>
          <w:sz w:val="20"/>
          <w:szCs w:val="20"/>
          <w:lang w:val="en-US"/>
        </w:rPr>
        <w:t xml:space="preserve">) </w:t>
      </w:r>
      <w:r w:rsidRPr="00BA4C98">
        <w:rPr>
          <w:rFonts w:ascii="Arial" w:hAnsi="Arial" w:cs="Arial"/>
          <w:color w:val="000000" w:themeColor="text1"/>
          <w:sz w:val="20"/>
          <w:szCs w:val="20"/>
          <w:lang w:val="en-US"/>
        </w:rPr>
        <w:t>and the most likely time of ESBL-E acquisition for each patient.</w:t>
      </w:r>
      <w:r w:rsidR="00F347EC">
        <w:rPr>
          <w:rFonts w:ascii="Arial" w:hAnsi="Arial" w:cs="Arial"/>
          <w:color w:val="000000" w:themeColor="text1"/>
          <w:sz w:val="20"/>
          <w:szCs w:val="20"/>
          <w:lang w:val="en-US"/>
        </w:rPr>
        <w:t xml:space="preserve"> </w:t>
      </w:r>
    </w:p>
    <w:p w14:paraId="64EF6865" w14:textId="69DEA64E" w:rsidR="000A73B8" w:rsidRPr="00BA4C98" w:rsidRDefault="000A73B8" w:rsidP="00E07329">
      <w:pPr>
        <w:pStyle w:val="Geenafstand"/>
        <w:spacing w:line="480" w:lineRule="auto"/>
        <w:rPr>
          <w:rFonts w:ascii="Arial" w:hAnsi="Arial" w:cs="Arial"/>
          <w:color w:val="000000" w:themeColor="text1"/>
          <w:sz w:val="20"/>
          <w:szCs w:val="20"/>
          <w:lang w:val="en-US"/>
        </w:rPr>
      </w:pPr>
      <w:r w:rsidRPr="00BA4C98">
        <w:rPr>
          <w:rFonts w:ascii="Arial" w:hAnsi="Arial" w:cs="Arial"/>
          <w:sz w:val="20"/>
          <w:szCs w:val="20"/>
          <w:lang w:val="en-US"/>
        </w:rPr>
        <w:t xml:space="preserve">Model parameter estimates were used to obtain estimates for the prevalence of ESBL-E rectal carriage at </w:t>
      </w:r>
      <w:r w:rsidR="00B82B70" w:rsidRPr="00BA4C98">
        <w:rPr>
          <w:rFonts w:ascii="Arial" w:hAnsi="Arial" w:cs="Arial"/>
          <w:sz w:val="20"/>
          <w:szCs w:val="20"/>
          <w:lang w:val="en-US"/>
        </w:rPr>
        <w:t xml:space="preserve">ward </w:t>
      </w:r>
      <w:r w:rsidRPr="00BA4C98">
        <w:rPr>
          <w:rFonts w:ascii="Arial" w:hAnsi="Arial" w:cs="Arial"/>
          <w:sz w:val="20"/>
          <w:szCs w:val="20"/>
          <w:lang w:val="en-US"/>
        </w:rPr>
        <w:t xml:space="preserve">admission and </w:t>
      </w:r>
      <w:r w:rsidR="00B82B70" w:rsidRPr="00BA4C98">
        <w:rPr>
          <w:rFonts w:ascii="Arial" w:hAnsi="Arial" w:cs="Arial"/>
          <w:sz w:val="20"/>
          <w:szCs w:val="20"/>
          <w:lang w:val="en-US"/>
        </w:rPr>
        <w:t xml:space="preserve">ward </w:t>
      </w:r>
      <w:r w:rsidRPr="00BA4C98">
        <w:rPr>
          <w:rFonts w:ascii="Arial" w:hAnsi="Arial" w:cs="Arial"/>
          <w:sz w:val="20"/>
          <w:szCs w:val="20"/>
          <w:lang w:val="en-US"/>
        </w:rPr>
        <w:t xml:space="preserve">discharge, the prevalence of hospital-acquired ESBL-E at discharge, and the cumulative incidence and acquisition rate of ESBL-E rectal carriage during </w:t>
      </w:r>
      <w:r w:rsidR="002234D1" w:rsidRPr="00BA4C98">
        <w:rPr>
          <w:rFonts w:ascii="Arial" w:hAnsi="Arial" w:cs="Arial"/>
          <w:sz w:val="20"/>
          <w:szCs w:val="20"/>
          <w:lang w:val="en-US"/>
        </w:rPr>
        <w:t>hospitalization</w:t>
      </w:r>
      <w:r w:rsidRPr="00BA4C98">
        <w:rPr>
          <w:rFonts w:ascii="Arial" w:hAnsi="Arial" w:cs="Arial"/>
          <w:sz w:val="20"/>
          <w:szCs w:val="20"/>
          <w:lang w:val="en-US"/>
        </w:rPr>
        <w:t xml:space="preserve">. The relative contribution of patient-dependent acquisition to the total ESBL-E acquisition rate was calculated as </w:t>
      </w:r>
      <w:r w:rsidRPr="00BA4C98">
        <w:rPr>
          <w:rFonts w:ascii="Arial" w:hAnsi="Arial" w:cs="Arial"/>
          <w:i/>
          <w:color w:val="000000" w:themeColor="text1"/>
          <w:sz w:val="20"/>
          <w:szCs w:val="20"/>
          <w:lang w:val="en-US"/>
        </w:rPr>
        <w:t>β</w:t>
      </w:r>
      <w:r w:rsidRPr="00BA4C98">
        <w:rPr>
          <w:rFonts w:ascii="Arial" w:hAnsi="Arial" w:cs="Arial"/>
          <w:color w:val="000000" w:themeColor="text1"/>
          <w:sz w:val="20"/>
          <w:szCs w:val="20"/>
          <w:lang w:val="en-US"/>
        </w:rPr>
        <w:t>*mean prevalence</w:t>
      </w:r>
      <w:proofErr w:type="gramStart"/>
      <w:r w:rsidRPr="00BA4C98">
        <w:rPr>
          <w:rFonts w:ascii="Arial" w:hAnsi="Arial" w:cs="Arial"/>
          <w:color w:val="000000" w:themeColor="text1"/>
          <w:sz w:val="20"/>
          <w:szCs w:val="20"/>
          <w:lang w:val="en-US"/>
        </w:rPr>
        <w:t>/(</w:t>
      </w:r>
      <w:proofErr w:type="gramEnd"/>
      <w:r w:rsidRPr="00BA4C98">
        <w:rPr>
          <w:rFonts w:ascii="Arial" w:hAnsi="Arial" w:cs="Arial"/>
          <w:i/>
          <w:color w:val="000000" w:themeColor="text1"/>
          <w:sz w:val="20"/>
          <w:szCs w:val="20"/>
          <w:lang w:val="en-US"/>
        </w:rPr>
        <w:t>β</w:t>
      </w:r>
      <w:r w:rsidRPr="00BA4C98">
        <w:rPr>
          <w:rFonts w:ascii="Arial" w:hAnsi="Arial" w:cs="Arial"/>
          <w:color w:val="000000" w:themeColor="text1"/>
          <w:sz w:val="20"/>
          <w:szCs w:val="20"/>
          <w:lang w:val="en-US"/>
        </w:rPr>
        <w:t>*mean prevalence+</w:t>
      </w:r>
      <w:r w:rsidRPr="00BA4C98">
        <w:rPr>
          <w:rFonts w:ascii="Arial" w:hAnsi="Arial" w:cs="Arial"/>
          <w:i/>
          <w:color w:val="000000" w:themeColor="text1"/>
          <w:sz w:val="20"/>
          <w:szCs w:val="20"/>
          <w:lang w:val="en-US"/>
        </w:rPr>
        <w:t>α</w:t>
      </w:r>
      <w:r w:rsidRPr="00BA4C98">
        <w:rPr>
          <w:rFonts w:ascii="Arial" w:hAnsi="Arial" w:cs="Arial"/>
          <w:color w:val="000000" w:themeColor="text1"/>
          <w:sz w:val="20"/>
          <w:szCs w:val="20"/>
          <w:lang w:val="en-US"/>
        </w:rPr>
        <w:t>).</w:t>
      </w:r>
      <w:r w:rsidRPr="00BA4C98">
        <w:rPr>
          <w:rFonts w:ascii="Arial" w:hAnsi="Arial" w:cs="Arial"/>
          <w:sz w:val="20"/>
          <w:szCs w:val="20"/>
          <w:lang w:val="en-US"/>
        </w:rPr>
        <w:t xml:space="preserve"> The per-admission reproduction number R</w:t>
      </w:r>
      <w:r w:rsidRPr="00BA4C98">
        <w:rPr>
          <w:rFonts w:ascii="Arial" w:hAnsi="Arial" w:cs="Arial"/>
          <w:sz w:val="20"/>
          <w:szCs w:val="20"/>
          <w:vertAlign w:val="subscript"/>
          <w:lang w:val="en-US"/>
        </w:rPr>
        <w:t>A</w:t>
      </w:r>
      <w:r w:rsidRPr="00BA4C98">
        <w:rPr>
          <w:rFonts w:ascii="Arial" w:hAnsi="Arial" w:cs="Arial"/>
          <w:sz w:val="20"/>
          <w:szCs w:val="20"/>
          <w:lang w:val="en-US"/>
        </w:rPr>
        <w:t xml:space="preserve">, i.e. </w:t>
      </w:r>
      <w:r w:rsidRPr="00BA4C98">
        <w:rPr>
          <w:rFonts w:ascii="Arial" w:hAnsi="Arial" w:cs="Arial"/>
          <w:sz w:val="20"/>
          <w:szCs w:val="20"/>
          <w:lang w:val="en-US"/>
        </w:rPr>
        <w:t xml:space="preserve">the average number of ESBL-E acquisitions caused by one ESBL-E carrier during a single admission, was approximated by multiplying the </w:t>
      </w:r>
      <w:r w:rsidRPr="00BA4C98">
        <w:rPr>
          <w:rFonts w:ascii="Arial" w:hAnsi="Arial" w:cs="Arial"/>
          <w:color w:val="000000" w:themeColor="text1"/>
          <w:sz w:val="20"/>
          <w:szCs w:val="20"/>
          <w:lang w:val="en-US"/>
        </w:rPr>
        <w:t xml:space="preserve">patient-dependent acquisition rate </w:t>
      </w:r>
      <w:r w:rsidRPr="00BA4C98">
        <w:rPr>
          <w:rFonts w:ascii="Arial" w:hAnsi="Arial" w:cs="Arial"/>
          <w:sz w:val="20"/>
          <w:szCs w:val="20"/>
          <w:lang w:val="en-US"/>
        </w:rPr>
        <w:t>by the mean length of hospital stay</w:t>
      </w:r>
      <w:r w:rsidR="00FC62B4" w:rsidRPr="00BA4C98">
        <w:rPr>
          <w:rFonts w:ascii="Arial" w:hAnsi="Arial" w:cs="Arial"/>
          <w:sz w:val="20"/>
          <w:szCs w:val="20"/>
          <w:lang w:val="en-US"/>
        </w:rPr>
        <w:t>.</w:t>
      </w:r>
      <w:r w:rsidR="00555FFE">
        <w:rPr>
          <w:rFonts w:ascii="Arial" w:hAnsi="Arial" w:cs="Arial"/>
          <w:sz w:val="20"/>
          <w:szCs w:val="20"/>
          <w:vertAlign w:val="superscript"/>
          <w:lang w:val="en-US"/>
        </w:rPr>
        <w:t>5</w:t>
      </w:r>
      <w:r w:rsidR="00C6535E" w:rsidRPr="00BA4C98">
        <w:rPr>
          <w:rFonts w:ascii="Arial" w:hAnsi="Arial" w:cs="Arial"/>
          <w:sz w:val="20"/>
          <w:szCs w:val="20"/>
          <w:vertAlign w:val="superscript"/>
          <w:lang w:val="en-US"/>
        </w:rPr>
        <w:t>,</w:t>
      </w:r>
      <w:r w:rsidR="00555FFE">
        <w:rPr>
          <w:rFonts w:ascii="Arial" w:hAnsi="Arial" w:cs="Arial"/>
          <w:sz w:val="20"/>
          <w:szCs w:val="20"/>
          <w:vertAlign w:val="superscript"/>
          <w:lang w:val="en-US"/>
        </w:rPr>
        <w:t>7</w:t>
      </w:r>
    </w:p>
    <w:p w14:paraId="4F84DDB5" w14:textId="77777777" w:rsidR="000A73B8" w:rsidRPr="00BA4C98" w:rsidRDefault="000A73B8" w:rsidP="00E07329">
      <w:pPr>
        <w:pStyle w:val="Plattetekst"/>
        <w:spacing w:line="480" w:lineRule="auto"/>
        <w:rPr>
          <w:rFonts w:cs="Arial"/>
          <w:sz w:val="20"/>
          <w:lang w:val="en-US"/>
        </w:rPr>
      </w:pPr>
      <w:r w:rsidRPr="00BA4C98">
        <w:rPr>
          <w:rFonts w:cs="Arial"/>
          <w:sz w:val="20"/>
          <w:lang w:val="en-US"/>
        </w:rPr>
        <w:t>The MCMC algorithm was written in C++ and run for 1,000,000 iterations. To account for the burn-in time, the first 200,000 iterations were not used for calculation of parameter estimates.</w:t>
      </w:r>
    </w:p>
    <w:p w14:paraId="3A11B48C" w14:textId="77777777" w:rsidR="00A34519" w:rsidRDefault="00A34519" w:rsidP="00E07329">
      <w:pPr>
        <w:pStyle w:val="Plattetekst"/>
        <w:spacing w:line="480" w:lineRule="auto"/>
        <w:rPr>
          <w:rFonts w:cs="Arial"/>
          <w:sz w:val="20"/>
          <w:lang w:val="en-US"/>
        </w:rPr>
      </w:pPr>
    </w:p>
    <w:p w14:paraId="6D8E8ADE" w14:textId="10724FED" w:rsidR="00BA4C98" w:rsidRPr="00BA4C98" w:rsidRDefault="00BA4C98" w:rsidP="00E07329">
      <w:pPr>
        <w:pStyle w:val="Plattetekst"/>
        <w:spacing w:line="480" w:lineRule="auto"/>
        <w:rPr>
          <w:rFonts w:cs="Arial"/>
          <w:b/>
          <w:sz w:val="20"/>
          <w:lang w:val="en-US"/>
        </w:rPr>
      </w:pPr>
      <w:r w:rsidRPr="00BA4C98">
        <w:rPr>
          <w:rFonts w:cs="Arial"/>
          <w:b/>
          <w:sz w:val="20"/>
          <w:lang w:val="en-US"/>
        </w:rPr>
        <w:t>References</w:t>
      </w:r>
    </w:p>
    <w:p w14:paraId="6F5E1799" w14:textId="253CC08F" w:rsidR="00A34519" w:rsidRPr="00BA4C98" w:rsidRDefault="00A34519" w:rsidP="00A34519">
      <w:pPr>
        <w:pStyle w:val="Geenafstand"/>
        <w:numPr>
          <w:ilvl w:val="0"/>
          <w:numId w:val="1"/>
        </w:numPr>
        <w:spacing w:line="480" w:lineRule="auto"/>
        <w:ind w:left="360"/>
        <w:rPr>
          <w:rFonts w:ascii="Arial" w:hAnsi="Arial" w:cs="Arial"/>
          <w:sz w:val="20"/>
          <w:szCs w:val="20"/>
          <w:lang w:val="en-US"/>
        </w:rPr>
      </w:pPr>
      <w:r w:rsidRPr="00BA4C98">
        <w:rPr>
          <w:rFonts w:ascii="Arial" w:hAnsi="Arial" w:cs="Arial"/>
          <w:sz w:val="20"/>
          <w:szCs w:val="20"/>
          <w:lang w:val="en-US"/>
        </w:rPr>
        <w:t xml:space="preserve">National Healthcare Safety Network. National Healthcare Safety Network (NHSN) patient safety component manual. </w:t>
      </w:r>
      <w:r w:rsidR="00D3252E" w:rsidRPr="00BA4C98">
        <w:rPr>
          <w:rFonts w:ascii="Arial" w:hAnsi="Arial" w:cs="Arial"/>
          <w:sz w:val="20"/>
          <w:szCs w:val="20"/>
          <w:lang w:val="en-US"/>
        </w:rPr>
        <w:t>National Healthcare Safety Network</w:t>
      </w:r>
      <w:r w:rsidR="00D3252E" w:rsidRPr="00BA4C98">
        <w:rPr>
          <w:rFonts w:ascii="Arial" w:hAnsi="Arial" w:cs="Arial"/>
          <w:b/>
          <w:sz w:val="20"/>
          <w:szCs w:val="20"/>
          <w:lang w:val="en-US"/>
        </w:rPr>
        <w:t xml:space="preserve"> </w:t>
      </w:r>
      <w:r w:rsidR="00D3252E" w:rsidRPr="00BA4C98">
        <w:rPr>
          <w:rFonts w:ascii="Arial" w:hAnsi="Arial" w:cs="Arial"/>
          <w:sz w:val="20"/>
          <w:szCs w:val="20"/>
          <w:lang w:val="en-US"/>
        </w:rPr>
        <w:t>website</w:t>
      </w:r>
      <w:r w:rsidRPr="00BA4C98">
        <w:rPr>
          <w:rFonts w:ascii="Arial" w:hAnsi="Arial" w:cs="Arial"/>
          <w:sz w:val="20"/>
          <w:szCs w:val="20"/>
          <w:lang w:val="en-US"/>
        </w:rPr>
        <w:t xml:space="preserve">. </w:t>
      </w:r>
      <w:hyperlink r:id="rId7" w:history="1">
        <w:r w:rsidRPr="00D37F25">
          <w:rPr>
            <w:rStyle w:val="Hyperlink"/>
            <w:rFonts w:ascii="Arial" w:hAnsi="Arial" w:cs="Arial"/>
            <w:sz w:val="20"/>
            <w:szCs w:val="20"/>
          </w:rPr>
          <w:t>https://www.cdc.gov/nhsn/pdfs/pscmanual/pcsmanual_current.pdf</w:t>
        </w:r>
      </w:hyperlink>
      <w:r w:rsidRPr="00D37F25">
        <w:rPr>
          <w:rFonts w:ascii="Arial" w:hAnsi="Arial" w:cs="Arial"/>
          <w:sz w:val="20"/>
          <w:szCs w:val="20"/>
        </w:rPr>
        <w:t xml:space="preserve">. </w:t>
      </w:r>
      <w:r w:rsidR="00D3252E" w:rsidRPr="00BA4C98">
        <w:rPr>
          <w:rFonts w:ascii="Arial" w:hAnsi="Arial" w:cs="Arial"/>
          <w:sz w:val="20"/>
          <w:szCs w:val="20"/>
          <w:lang w:val="en-US"/>
        </w:rPr>
        <w:t xml:space="preserve">Published 2017. </w:t>
      </w:r>
      <w:r w:rsidRPr="00BA4C98">
        <w:rPr>
          <w:rFonts w:ascii="Arial" w:hAnsi="Arial" w:cs="Arial"/>
          <w:sz w:val="20"/>
          <w:szCs w:val="20"/>
          <w:lang w:val="en-US"/>
        </w:rPr>
        <w:t>Accessed May</w:t>
      </w:r>
      <w:r w:rsidR="00D3252E" w:rsidRPr="00BA4C98">
        <w:rPr>
          <w:rFonts w:ascii="Arial" w:hAnsi="Arial" w:cs="Arial"/>
          <w:sz w:val="20"/>
          <w:szCs w:val="20"/>
          <w:lang w:val="en-US"/>
        </w:rPr>
        <w:t xml:space="preserve"> 8,</w:t>
      </w:r>
      <w:r w:rsidRPr="00BA4C98">
        <w:rPr>
          <w:rFonts w:ascii="Arial" w:hAnsi="Arial" w:cs="Arial"/>
          <w:sz w:val="20"/>
          <w:szCs w:val="20"/>
          <w:lang w:val="en-US"/>
        </w:rPr>
        <w:t xml:space="preserve"> 2017.</w:t>
      </w:r>
    </w:p>
    <w:p w14:paraId="1C8A2EE1" w14:textId="629BBB89" w:rsidR="00C6535E" w:rsidRPr="00BA4C98" w:rsidRDefault="00C6535E" w:rsidP="00A34519">
      <w:pPr>
        <w:pStyle w:val="Geenafstand"/>
        <w:numPr>
          <w:ilvl w:val="0"/>
          <w:numId w:val="1"/>
        </w:numPr>
        <w:spacing w:line="480" w:lineRule="auto"/>
        <w:ind w:left="360"/>
        <w:rPr>
          <w:rFonts w:ascii="Arial" w:hAnsi="Arial" w:cs="Arial"/>
          <w:sz w:val="20"/>
          <w:szCs w:val="20"/>
          <w:lang w:val="en-US"/>
        </w:rPr>
      </w:pPr>
      <w:r w:rsidRPr="00BA4C98">
        <w:rPr>
          <w:rFonts w:ascii="Arial" w:hAnsi="Arial" w:cs="Arial"/>
          <w:sz w:val="20"/>
          <w:szCs w:val="20"/>
          <w:lang w:val="en-US"/>
        </w:rPr>
        <w:t>Lunn</w:t>
      </w:r>
      <w:r w:rsidR="003539B9" w:rsidRPr="00BA4C98">
        <w:rPr>
          <w:rFonts w:ascii="Arial" w:hAnsi="Arial" w:cs="Arial"/>
          <w:sz w:val="20"/>
          <w:szCs w:val="20"/>
          <w:lang w:val="en-US"/>
        </w:rPr>
        <w:t xml:space="preserve"> </w:t>
      </w:r>
      <w:r w:rsidRPr="00BA4C98">
        <w:rPr>
          <w:rFonts w:ascii="Arial" w:hAnsi="Arial" w:cs="Arial"/>
          <w:sz w:val="20"/>
          <w:szCs w:val="20"/>
          <w:lang w:val="en-US"/>
        </w:rPr>
        <w:t xml:space="preserve">D, </w:t>
      </w:r>
      <w:proofErr w:type="spellStart"/>
      <w:r w:rsidRPr="00BA4C98">
        <w:rPr>
          <w:rFonts w:ascii="Arial" w:hAnsi="Arial" w:cs="Arial"/>
          <w:sz w:val="20"/>
          <w:szCs w:val="20"/>
          <w:lang w:val="en-US"/>
        </w:rPr>
        <w:t>Spiegelhalter</w:t>
      </w:r>
      <w:proofErr w:type="spellEnd"/>
      <w:r w:rsidR="003539B9" w:rsidRPr="00BA4C98">
        <w:rPr>
          <w:rFonts w:ascii="Arial" w:hAnsi="Arial" w:cs="Arial"/>
          <w:sz w:val="20"/>
          <w:szCs w:val="20"/>
          <w:lang w:val="en-US"/>
        </w:rPr>
        <w:t xml:space="preserve"> </w:t>
      </w:r>
      <w:r w:rsidRPr="00BA4C98">
        <w:rPr>
          <w:rFonts w:ascii="Arial" w:hAnsi="Arial" w:cs="Arial"/>
          <w:sz w:val="20"/>
          <w:szCs w:val="20"/>
          <w:lang w:val="en-US"/>
        </w:rPr>
        <w:t>D, Thomas</w:t>
      </w:r>
      <w:r w:rsidR="003539B9" w:rsidRPr="00BA4C98">
        <w:rPr>
          <w:rFonts w:ascii="Arial" w:hAnsi="Arial" w:cs="Arial"/>
          <w:sz w:val="20"/>
          <w:szCs w:val="20"/>
          <w:lang w:val="en-US"/>
        </w:rPr>
        <w:t xml:space="preserve"> </w:t>
      </w:r>
      <w:r w:rsidRPr="00BA4C98">
        <w:rPr>
          <w:rFonts w:ascii="Arial" w:hAnsi="Arial" w:cs="Arial"/>
          <w:sz w:val="20"/>
          <w:szCs w:val="20"/>
          <w:lang w:val="en-US"/>
        </w:rPr>
        <w:t>A</w:t>
      </w:r>
      <w:r w:rsidR="003539B9" w:rsidRPr="00BA4C98">
        <w:rPr>
          <w:rFonts w:ascii="Arial" w:hAnsi="Arial" w:cs="Arial"/>
          <w:sz w:val="20"/>
          <w:szCs w:val="20"/>
          <w:lang w:val="en-US"/>
        </w:rPr>
        <w:t xml:space="preserve">, </w:t>
      </w:r>
      <w:r w:rsidRPr="00BA4C98">
        <w:rPr>
          <w:rFonts w:ascii="Arial" w:hAnsi="Arial" w:cs="Arial"/>
          <w:sz w:val="20"/>
          <w:szCs w:val="20"/>
          <w:lang w:val="en-US"/>
        </w:rPr>
        <w:t>Best N. The BUGS project: Evolution, critique and future directions</w:t>
      </w:r>
      <w:r w:rsidR="003539B9" w:rsidRPr="00BA4C98">
        <w:rPr>
          <w:rFonts w:ascii="Arial" w:hAnsi="Arial" w:cs="Arial"/>
          <w:sz w:val="20"/>
          <w:szCs w:val="20"/>
          <w:lang w:val="en-US"/>
        </w:rPr>
        <w:t>.</w:t>
      </w:r>
      <w:r w:rsidRPr="00BA4C98">
        <w:rPr>
          <w:rFonts w:ascii="Arial" w:hAnsi="Arial" w:cs="Arial"/>
          <w:sz w:val="20"/>
          <w:szCs w:val="20"/>
          <w:lang w:val="en-US"/>
        </w:rPr>
        <w:t xml:space="preserve"> </w:t>
      </w:r>
      <w:r w:rsidRPr="00BA4C98">
        <w:rPr>
          <w:rFonts w:ascii="Arial" w:hAnsi="Arial" w:cs="Arial"/>
          <w:i/>
          <w:sz w:val="20"/>
          <w:szCs w:val="20"/>
          <w:lang w:val="en-US"/>
        </w:rPr>
        <w:t>Stat Med</w:t>
      </w:r>
      <w:r w:rsidR="003539B9" w:rsidRPr="00BA4C98">
        <w:rPr>
          <w:rFonts w:ascii="Arial" w:hAnsi="Arial" w:cs="Arial"/>
          <w:sz w:val="20"/>
          <w:szCs w:val="20"/>
          <w:lang w:val="en-US"/>
        </w:rPr>
        <w:t xml:space="preserve"> </w:t>
      </w:r>
      <w:proofErr w:type="gramStart"/>
      <w:r w:rsidR="003539B9" w:rsidRPr="00BA4C98">
        <w:rPr>
          <w:rFonts w:ascii="Arial" w:hAnsi="Arial" w:cs="Arial"/>
          <w:sz w:val="20"/>
          <w:szCs w:val="20"/>
          <w:lang w:val="en-US"/>
        </w:rPr>
        <w:t>2009;</w:t>
      </w:r>
      <w:r w:rsidRPr="00BA4C98">
        <w:rPr>
          <w:rFonts w:ascii="Arial" w:hAnsi="Arial" w:cs="Arial"/>
          <w:sz w:val="20"/>
          <w:szCs w:val="20"/>
          <w:lang w:val="en-US"/>
        </w:rPr>
        <w:t>28:3049</w:t>
      </w:r>
      <w:proofErr w:type="gramEnd"/>
      <w:r w:rsidR="003539B9" w:rsidRPr="00BA4C98">
        <w:rPr>
          <w:rFonts w:ascii="Arial" w:hAnsi="Arial" w:cs="Arial"/>
          <w:sz w:val="20"/>
          <w:szCs w:val="20"/>
          <w:lang w:val="en-US"/>
        </w:rPr>
        <w:t>–</w:t>
      </w:r>
      <w:r w:rsidR="00FC62B4" w:rsidRPr="00BA4C98">
        <w:rPr>
          <w:rFonts w:ascii="Arial" w:hAnsi="Arial" w:cs="Arial"/>
          <w:sz w:val="20"/>
          <w:szCs w:val="20"/>
          <w:lang w:val="en-US"/>
        </w:rPr>
        <w:t>30</w:t>
      </w:r>
      <w:r w:rsidR="003539B9" w:rsidRPr="00BA4C98">
        <w:rPr>
          <w:rFonts w:ascii="Arial" w:hAnsi="Arial" w:cs="Arial"/>
          <w:sz w:val="20"/>
          <w:szCs w:val="20"/>
          <w:lang w:val="en-US"/>
        </w:rPr>
        <w:t>67</w:t>
      </w:r>
      <w:r w:rsidRPr="00BA4C98">
        <w:rPr>
          <w:rFonts w:ascii="Arial" w:hAnsi="Arial" w:cs="Arial"/>
          <w:sz w:val="20"/>
          <w:szCs w:val="20"/>
          <w:lang w:val="en-US"/>
        </w:rPr>
        <w:t>.</w:t>
      </w:r>
      <w:bookmarkStart w:id="0" w:name="_GoBack"/>
    </w:p>
    <w:p w14:paraId="228C9F9A" w14:textId="203AFBBF" w:rsidR="00555FFE" w:rsidRDefault="00555FFE" w:rsidP="00A34519">
      <w:pPr>
        <w:pStyle w:val="Geenafstand"/>
        <w:numPr>
          <w:ilvl w:val="0"/>
          <w:numId w:val="1"/>
        </w:numPr>
        <w:spacing w:line="480" w:lineRule="auto"/>
        <w:ind w:left="360"/>
        <w:rPr>
          <w:rFonts w:ascii="Arial" w:hAnsi="Arial" w:cs="Arial"/>
          <w:sz w:val="20"/>
          <w:szCs w:val="20"/>
          <w:lang w:val="en-US"/>
        </w:rPr>
      </w:pPr>
      <w:r w:rsidRPr="00555FFE">
        <w:rPr>
          <w:rFonts w:ascii="Arial" w:hAnsi="Arial" w:cs="Arial"/>
          <w:sz w:val="20"/>
          <w:szCs w:val="20"/>
          <w:lang w:val="en-US"/>
        </w:rPr>
        <w:lastRenderedPageBreak/>
        <w:t xml:space="preserve">Higgins JPT. Commentary: Heterogeneity in meta-analysis should be expected and appropriately quantified. </w:t>
      </w:r>
      <w:proofErr w:type="spellStart"/>
      <w:r w:rsidRPr="00555FFE">
        <w:rPr>
          <w:rFonts w:ascii="Arial" w:hAnsi="Arial" w:cs="Arial"/>
          <w:sz w:val="20"/>
          <w:szCs w:val="20"/>
          <w:lang w:val="en-US"/>
        </w:rPr>
        <w:t>Int</w:t>
      </w:r>
      <w:proofErr w:type="spellEnd"/>
      <w:r w:rsidRPr="00555FFE">
        <w:rPr>
          <w:rFonts w:ascii="Arial" w:hAnsi="Arial" w:cs="Arial"/>
          <w:sz w:val="20"/>
          <w:szCs w:val="20"/>
          <w:lang w:val="en-US"/>
        </w:rPr>
        <w:t xml:space="preserve"> J </w:t>
      </w:r>
      <w:proofErr w:type="spellStart"/>
      <w:r w:rsidRPr="00555FFE">
        <w:rPr>
          <w:rFonts w:ascii="Arial" w:hAnsi="Arial" w:cs="Arial"/>
          <w:sz w:val="20"/>
          <w:szCs w:val="20"/>
          <w:lang w:val="en-US"/>
        </w:rPr>
        <w:t>Epidemiol</w:t>
      </w:r>
      <w:proofErr w:type="spellEnd"/>
      <w:r w:rsidRPr="00555FFE">
        <w:rPr>
          <w:rFonts w:ascii="Arial" w:hAnsi="Arial" w:cs="Arial"/>
          <w:sz w:val="20"/>
          <w:szCs w:val="20"/>
          <w:lang w:val="en-US"/>
        </w:rPr>
        <w:t xml:space="preserve"> 2008;37;1158–60.</w:t>
      </w:r>
    </w:p>
    <w:bookmarkEnd w:id="0"/>
    <w:p w14:paraId="07BC2F2A" w14:textId="6677B88C" w:rsidR="00A34519" w:rsidRPr="00BA4C98" w:rsidRDefault="00A34519" w:rsidP="00A34519">
      <w:pPr>
        <w:pStyle w:val="Geenafstand"/>
        <w:numPr>
          <w:ilvl w:val="0"/>
          <w:numId w:val="1"/>
        </w:numPr>
        <w:spacing w:line="480" w:lineRule="auto"/>
        <w:ind w:left="360"/>
        <w:rPr>
          <w:rFonts w:ascii="Arial" w:hAnsi="Arial" w:cs="Arial"/>
          <w:sz w:val="20"/>
          <w:szCs w:val="20"/>
          <w:lang w:val="en-US"/>
        </w:rPr>
      </w:pPr>
      <w:proofErr w:type="spellStart"/>
      <w:r w:rsidRPr="00BA4C98">
        <w:rPr>
          <w:rFonts w:ascii="Arial" w:hAnsi="Arial" w:cs="Arial"/>
          <w:sz w:val="20"/>
          <w:szCs w:val="20"/>
          <w:lang w:val="en-US"/>
        </w:rPr>
        <w:t>Worby</w:t>
      </w:r>
      <w:proofErr w:type="spellEnd"/>
      <w:r w:rsidRPr="00BA4C98">
        <w:rPr>
          <w:rFonts w:ascii="Arial" w:hAnsi="Arial" w:cs="Arial"/>
          <w:sz w:val="20"/>
          <w:szCs w:val="20"/>
          <w:lang w:val="en-US"/>
        </w:rPr>
        <w:t xml:space="preserve"> CJ, </w:t>
      </w:r>
      <w:proofErr w:type="spellStart"/>
      <w:r w:rsidRPr="00BA4C98">
        <w:rPr>
          <w:rFonts w:ascii="Arial" w:hAnsi="Arial" w:cs="Arial"/>
          <w:sz w:val="20"/>
          <w:szCs w:val="20"/>
          <w:lang w:val="en-US"/>
        </w:rPr>
        <w:t>Jeyaratnam</w:t>
      </w:r>
      <w:proofErr w:type="spellEnd"/>
      <w:r w:rsidRPr="00BA4C98">
        <w:rPr>
          <w:rFonts w:ascii="Arial" w:hAnsi="Arial" w:cs="Arial"/>
          <w:sz w:val="20"/>
          <w:szCs w:val="20"/>
          <w:lang w:val="en-US"/>
        </w:rPr>
        <w:t xml:space="preserve"> D, </w:t>
      </w:r>
      <w:proofErr w:type="spellStart"/>
      <w:r w:rsidRPr="00BA4C98">
        <w:rPr>
          <w:rFonts w:ascii="Arial" w:hAnsi="Arial" w:cs="Arial"/>
          <w:sz w:val="20"/>
          <w:szCs w:val="20"/>
          <w:lang w:val="en-US"/>
        </w:rPr>
        <w:t>Robotham</w:t>
      </w:r>
      <w:proofErr w:type="spellEnd"/>
      <w:r w:rsidRPr="00BA4C98">
        <w:rPr>
          <w:rFonts w:ascii="Arial" w:hAnsi="Arial" w:cs="Arial"/>
          <w:sz w:val="20"/>
          <w:szCs w:val="20"/>
          <w:lang w:val="en-US"/>
        </w:rPr>
        <w:t xml:space="preserve"> JV, et al. Estimating the effectiveness of isolation and decolonization measures in reducing transmission of methicillin-resistant </w:t>
      </w:r>
      <w:r w:rsidRPr="00BA4C98">
        <w:rPr>
          <w:rFonts w:ascii="Arial" w:hAnsi="Arial" w:cs="Arial"/>
          <w:i/>
          <w:sz w:val="20"/>
          <w:szCs w:val="20"/>
          <w:lang w:val="en-US"/>
        </w:rPr>
        <w:t>Staphylococcus aureus</w:t>
      </w:r>
      <w:r w:rsidRPr="00BA4C98">
        <w:rPr>
          <w:rFonts w:ascii="Arial" w:hAnsi="Arial" w:cs="Arial"/>
          <w:sz w:val="20"/>
          <w:szCs w:val="20"/>
          <w:lang w:val="en-US"/>
        </w:rPr>
        <w:t xml:space="preserve"> in hospital general wards. </w:t>
      </w:r>
      <w:r w:rsidRPr="00BA4C98">
        <w:rPr>
          <w:rFonts w:ascii="Arial" w:hAnsi="Arial" w:cs="Arial"/>
          <w:i/>
          <w:sz w:val="20"/>
          <w:szCs w:val="20"/>
          <w:lang w:val="en-US"/>
        </w:rPr>
        <w:t xml:space="preserve">Am J </w:t>
      </w:r>
      <w:proofErr w:type="spellStart"/>
      <w:r w:rsidRPr="00BA4C98">
        <w:rPr>
          <w:rFonts w:ascii="Arial" w:hAnsi="Arial" w:cs="Arial"/>
          <w:i/>
          <w:sz w:val="20"/>
          <w:szCs w:val="20"/>
          <w:lang w:val="en-US"/>
        </w:rPr>
        <w:t>Epidemiol</w:t>
      </w:r>
      <w:proofErr w:type="spellEnd"/>
      <w:r w:rsidRPr="00BA4C98">
        <w:rPr>
          <w:rFonts w:ascii="Arial" w:hAnsi="Arial" w:cs="Arial"/>
          <w:sz w:val="20"/>
          <w:szCs w:val="20"/>
          <w:lang w:val="en-US"/>
        </w:rPr>
        <w:t xml:space="preserve"> </w:t>
      </w:r>
      <w:proofErr w:type="gramStart"/>
      <w:r w:rsidRPr="00BA4C98">
        <w:rPr>
          <w:rFonts w:ascii="Arial" w:hAnsi="Arial" w:cs="Arial"/>
          <w:sz w:val="20"/>
          <w:szCs w:val="20"/>
          <w:lang w:val="en-US"/>
        </w:rPr>
        <w:t>2013;177:1306</w:t>
      </w:r>
      <w:proofErr w:type="gramEnd"/>
      <w:r w:rsidRPr="00BA4C98">
        <w:rPr>
          <w:rFonts w:ascii="Arial" w:hAnsi="Arial" w:cs="Arial"/>
          <w:sz w:val="20"/>
          <w:szCs w:val="20"/>
          <w:lang w:val="en-US"/>
        </w:rPr>
        <w:t>–</w:t>
      </w:r>
      <w:r w:rsidR="00FC62B4" w:rsidRPr="00BA4C98">
        <w:rPr>
          <w:rFonts w:ascii="Arial" w:hAnsi="Arial" w:cs="Arial"/>
          <w:sz w:val="20"/>
          <w:szCs w:val="20"/>
          <w:lang w:val="en-US"/>
        </w:rPr>
        <w:t>13</w:t>
      </w:r>
      <w:r w:rsidRPr="00BA4C98">
        <w:rPr>
          <w:rFonts w:ascii="Arial" w:hAnsi="Arial" w:cs="Arial"/>
          <w:sz w:val="20"/>
          <w:szCs w:val="20"/>
          <w:lang w:val="en-US"/>
        </w:rPr>
        <w:t>13.</w:t>
      </w:r>
    </w:p>
    <w:p w14:paraId="596A04FF" w14:textId="1B3CBB24" w:rsidR="00A34519" w:rsidRPr="00BA4C98" w:rsidRDefault="00A34519" w:rsidP="00A34519">
      <w:pPr>
        <w:pStyle w:val="Geenafstand"/>
        <w:numPr>
          <w:ilvl w:val="0"/>
          <w:numId w:val="1"/>
        </w:numPr>
        <w:spacing w:line="480" w:lineRule="auto"/>
        <w:ind w:left="360"/>
        <w:rPr>
          <w:rFonts w:ascii="Arial" w:hAnsi="Arial" w:cs="Arial"/>
          <w:sz w:val="20"/>
          <w:szCs w:val="20"/>
          <w:lang w:val="en-US"/>
        </w:rPr>
      </w:pPr>
      <w:proofErr w:type="spellStart"/>
      <w:r w:rsidRPr="00BA4C98">
        <w:rPr>
          <w:rFonts w:ascii="Arial" w:hAnsi="Arial" w:cs="Arial"/>
          <w:sz w:val="20"/>
          <w:szCs w:val="20"/>
        </w:rPr>
        <w:t>Haverkate</w:t>
      </w:r>
      <w:proofErr w:type="spellEnd"/>
      <w:r w:rsidRPr="00BA4C98">
        <w:rPr>
          <w:rFonts w:ascii="Arial" w:hAnsi="Arial" w:cs="Arial"/>
          <w:sz w:val="20"/>
          <w:szCs w:val="20"/>
        </w:rPr>
        <w:t xml:space="preserve"> MR, Bootsma MCJ, </w:t>
      </w:r>
      <w:proofErr w:type="spellStart"/>
      <w:r w:rsidRPr="00BA4C98">
        <w:rPr>
          <w:rFonts w:ascii="Arial" w:hAnsi="Arial" w:cs="Arial"/>
          <w:sz w:val="20"/>
          <w:szCs w:val="20"/>
        </w:rPr>
        <w:t>Weiner</w:t>
      </w:r>
      <w:proofErr w:type="spellEnd"/>
      <w:r w:rsidRPr="00BA4C98">
        <w:rPr>
          <w:rFonts w:ascii="Arial" w:hAnsi="Arial" w:cs="Arial"/>
          <w:sz w:val="20"/>
          <w:szCs w:val="20"/>
        </w:rPr>
        <w:t xml:space="preserve"> S, et al. </w:t>
      </w:r>
      <w:r w:rsidRPr="00BA4C98">
        <w:rPr>
          <w:rFonts w:ascii="Arial" w:hAnsi="Arial" w:cs="Arial"/>
          <w:sz w:val="20"/>
          <w:szCs w:val="20"/>
          <w:lang w:val="en-US"/>
        </w:rPr>
        <w:t>Modeling spread of KPC</w:t>
      </w:r>
      <w:r w:rsidRPr="00BA4C98">
        <w:rPr>
          <w:rFonts w:ascii="Arial" w:hAnsi="Arial" w:cs="Arial"/>
          <w:sz w:val="20"/>
          <w:szCs w:val="20"/>
          <w:lang w:val="en-US"/>
        </w:rPr>
        <w:noBreakHyphen/>
        <w:t xml:space="preserve">producing bacteria in long-term acute care hospitals in the Chicago region, USA. </w:t>
      </w:r>
      <w:r w:rsidRPr="00BA4C98">
        <w:rPr>
          <w:rFonts w:ascii="Arial" w:hAnsi="Arial" w:cs="Arial"/>
          <w:i/>
          <w:sz w:val="20"/>
          <w:szCs w:val="20"/>
          <w:lang w:val="en-US"/>
        </w:rPr>
        <w:t xml:space="preserve">Infect Control </w:t>
      </w:r>
      <w:proofErr w:type="spellStart"/>
      <w:r w:rsidRPr="00BA4C98">
        <w:rPr>
          <w:rFonts w:ascii="Arial" w:hAnsi="Arial" w:cs="Arial"/>
          <w:i/>
          <w:sz w:val="20"/>
          <w:szCs w:val="20"/>
          <w:lang w:val="en-US"/>
        </w:rPr>
        <w:t>Hosp</w:t>
      </w:r>
      <w:proofErr w:type="spellEnd"/>
      <w:r w:rsidRPr="00BA4C98">
        <w:rPr>
          <w:rFonts w:ascii="Arial" w:hAnsi="Arial" w:cs="Arial"/>
          <w:i/>
          <w:sz w:val="20"/>
          <w:szCs w:val="20"/>
          <w:lang w:val="en-US"/>
        </w:rPr>
        <w:t xml:space="preserve"> </w:t>
      </w:r>
      <w:proofErr w:type="spellStart"/>
      <w:r w:rsidRPr="00BA4C98">
        <w:rPr>
          <w:rFonts w:ascii="Arial" w:hAnsi="Arial" w:cs="Arial"/>
          <w:i/>
          <w:sz w:val="20"/>
          <w:szCs w:val="20"/>
          <w:lang w:val="en-US"/>
        </w:rPr>
        <w:t>Epidemiol</w:t>
      </w:r>
      <w:proofErr w:type="spellEnd"/>
      <w:r w:rsidRPr="00BA4C98">
        <w:rPr>
          <w:rFonts w:ascii="Arial" w:hAnsi="Arial" w:cs="Arial"/>
          <w:sz w:val="20"/>
          <w:szCs w:val="20"/>
          <w:lang w:val="en-US"/>
        </w:rPr>
        <w:t xml:space="preserve"> </w:t>
      </w:r>
      <w:proofErr w:type="gramStart"/>
      <w:r w:rsidRPr="00BA4C98">
        <w:rPr>
          <w:rFonts w:ascii="Arial" w:hAnsi="Arial" w:cs="Arial"/>
          <w:sz w:val="20"/>
          <w:szCs w:val="20"/>
          <w:lang w:val="en-US"/>
        </w:rPr>
        <w:t>2015;36:1148</w:t>
      </w:r>
      <w:proofErr w:type="gramEnd"/>
      <w:r w:rsidRPr="00BA4C98">
        <w:rPr>
          <w:rFonts w:ascii="Arial" w:hAnsi="Arial" w:cs="Arial"/>
          <w:sz w:val="20"/>
          <w:szCs w:val="20"/>
          <w:lang w:val="en-US"/>
        </w:rPr>
        <w:t>–</w:t>
      </w:r>
      <w:r w:rsidR="00FC62B4" w:rsidRPr="00BA4C98">
        <w:rPr>
          <w:rFonts w:ascii="Arial" w:hAnsi="Arial" w:cs="Arial"/>
          <w:sz w:val="20"/>
          <w:szCs w:val="20"/>
          <w:lang w:val="en-US"/>
        </w:rPr>
        <w:t>11</w:t>
      </w:r>
      <w:r w:rsidRPr="00BA4C98">
        <w:rPr>
          <w:rFonts w:ascii="Arial" w:hAnsi="Arial" w:cs="Arial"/>
          <w:sz w:val="20"/>
          <w:szCs w:val="20"/>
          <w:lang w:val="en-US"/>
        </w:rPr>
        <w:t>54.</w:t>
      </w:r>
    </w:p>
    <w:p w14:paraId="534E80F4" w14:textId="6021EBD0" w:rsidR="00A34519" w:rsidRPr="00BA4C98" w:rsidRDefault="00A34519" w:rsidP="00A34519">
      <w:pPr>
        <w:pStyle w:val="Geenafstand"/>
        <w:numPr>
          <w:ilvl w:val="0"/>
          <w:numId w:val="1"/>
        </w:numPr>
        <w:spacing w:line="480" w:lineRule="auto"/>
        <w:ind w:left="360"/>
        <w:rPr>
          <w:rFonts w:ascii="Arial" w:hAnsi="Arial" w:cs="Arial"/>
          <w:sz w:val="20"/>
          <w:szCs w:val="20"/>
          <w:lang w:val="en-US"/>
        </w:rPr>
      </w:pPr>
      <w:proofErr w:type="spellStart"/>
      <w:r w:rsidRPr="00BA4C98">
        <w:rPr>
          <w:rFonts w:ascii="Arial" w:hAnsi="Arial" w:cs="Arial"/>
          <w:sz w:val="20"/>
          <w:szCs w:val="20"/>
          <w:lang w:val="en-US"/>
        </w:rPr>
        <w:t>Bonten</w:t>
      </w:r>
      <w:proofErr w:type="spellEnd"/>
      <w:r w:rsidRPr="00BA4C98">
        <w:rPr>
          <w:rFonts w:ascii="Arial" w:hAnsi="Arial" w:cs="Arial"/>
          <w:sz w:val="20"/>
          <w:szCs w:val="20"/>
          <w:lang w:val="en-US"/>
        </w:rPr>
        <w:t xml:space="preserve"> MJM, Slaughter S, </w:t>
      </w:r>
      <w:proofErr w:type="spellStart"/>
      <w:r w:rsidRPr="00BA4C98">
        <w:rPr>
          <w:rFonts w:ascii="Arial" w:hAnsi="Arial" w:cs="Arial"/>
          <w:sz w:val="20"/>
          <w:szCs w:val="20"/>
          <w:lang w:val="en-US"/>
        </w:rPr>
        <w:t>Ambergen</w:t>
      </w:r>
      <w:proofErr w:type="spellEnd"/>
      <w:r w:rsidRPr="00BA4C98">
        <w:rPr>
          <w:rFonts w:ascii="Arial" w:hAnsi="Arial" w:cs="Arial"/>
          <w:sz w:val="20"/>
          <w:szCs w:val="20"/>
          <w:lang w:val="en-US"/>
        </w:rPr>
        <w:t xml:space="preserve"> AW, et al. The role of “colonization pressure” in the spread of vancomycin-resistant enterococci. </w:t>
      </w:r>
      <w:r w:rsidRPr="00BA4C98">
        <w:rPr>
          <w:rFonts w:ascii="Arial" w:hAnsi="Arial" w:cs="Arial"/>
          <w:i/>
          <w:sz w:val="20"/>
          <w:szCs w:val="20"/>
          <w:lang w:val="en-US"/>
        </w:rPr>
        <w:t>Arch Intern Med</w:t>
      </w:r>
      <w:r w:rsidRPr="00BA4C98">
        <w:rPr>
          <w:rFonts w:ascii="Arial" w:hAnsi="Arial" w:cs="Arial"/>
          <w:sz w:val="20"/>
          <w:szCs w:val="20"/>
          <w:lang w:val="en-US"/>
        </w:rPr>
        <w:t xml:space="preserve"> </w:t>
      </w:r>
      <w:proofErr w:type="gramStart"/>
      <w:r w:rsidRPr="00BA4C98">
        <w:rPr>
          <w:rFonts w:ascii="Arial" w:hAnsi="Arial" w:cs="Arial"/>
          <w:sz w:val="20"/>
          <w:szCs w:val="20"/>
          <w:lang w:val="en-US"/>
        </w:rPr>
        <w:t>1998;158:1127</w:t>
      </w:r>
      <w:proofErr w:type="gramEnd"/>
      <w:r w:rsidRPr="00BA4C98">
        <w:rPr>
          <w:rFonts w:ascii="Arial" w:hAnsi="Arial" w:cs="Arial"/>
          <w:sz w:val="20"/>
          <w:szCs w:val="20"/>
          <w:lang w:val="en-US"/>
        </w:rPr>
        <w:t>–</w:t>
      </w:r>
      <w:r w:rsidR="00FC62B4" w:rsidRPr="00BA4C98">
        <w:rPr>
          <w:rFonts w:ascii="Arial" w:hAnsi="Arial" w:cs="Arial"/>
          <w:sz w:val="20"/>
          <w:szCs w:val="20"/>
          <w:lang w:val="en-US"/>
        </w:rPr>
        <w:t>11</w:t>
      </w:r>
      <w:r w:rsidRPr="00BA4C98">
        <w:rPr>
          <w:rFonts w:ascii="Arial" w:hAnsi="Arial" w:cs="Arial"/>
          <w:sz w:val="20"/>
          <w:szCs w:val="20"/>
          <w:lang w:val="en-US"/>
        </w:rPr>
        <w:t>32.</w:t>
      </w:r>
    </w:p>
    <w:p w14:paraId="459A5901" w14:textId="286E6FC1" w:rsidR="00555FFE" w:rsidRPr="00555FFE" w:rsidRDefault="00A34519" w:rsidP="00555FFE">
      <w:pPr>
        <w:pStyle w:val="Geenafstand"/>
        <w:numPr>
          <w:ilvl w:val="0"/>
          <w:numId w:val="1"/>
        </w:numPr>
        <w:spacing w:line="480" w:lineRule="auto"/>
        <w:ind w:left="360"/>
        <w:rPr>
          <w:rFonts w:cs="Arial"/>
          <w:sz w:val="20"/>
          <w:lang w:val="en-US"/>
        </w:rPr>
      </w:pPr>
      <w:r w:rsidRPr="00555FFE">
        <w:rPr>
          <w:rFonts w:ascii="Arial" w:hAnsi="Arial" w:cs="Arial"/>
          <w:sz w:val="20"/>
          <w:szCs w:val="20"/>
          <w:lang w:val="en-US"/>
        </w:rPr>
        <w:t xml:space="preserve">Cooper BS, Kypraios T, </w:t>
      </w:r>
      <w:proofErr w:type="spellStart"/>
      <w:r w:rsidRPr="00555FFE">
        <w:rPr>
          <w:rFonts w:ascii="Arial" w:hAnsi="Arial" w:cs="Arial"/>
          <w:sz w:val="20"/>
          <w:szCs w:val="20"/>
          <w:lang w:val="en-US"/>
        </w:rPr>
        <w:t>Batra</w:t>
      </w:r>
      <w:proofErr w:type="spellEnd"/>
      <w:r w:rsidRPr="00555FFE">
        <w:rPr>
          <w:rFonts w:ascii="Arial" w:hAnsi="Arial" w:cs="Arial"/>
          <w:sz w:val="20"/>
          <w:szCs w:val="20"/>
          <w:lang w:val="en-US"/>
        </w:rPr>
        <w:t xml:space="preserve"> R, </w:t>
      </w:r>
      <w:proofErr w:type="spellStart"/>
      <w:r w:rsidRPr="00555FFE">
        <w:rPr>
          <w:rFonts w:ascii="Arial" w:hAnsi="Arial" w:cs="Arial"/>
          <w:sz w:val="20"/>
          <w:szCs w:val="20"/>
          <w:lang w:val="en-US"/>
        </w:rPr>
        <w:t>Wyncoll</w:t>
      </w:r>
      <w:proofErr w:type="spellEnd"/>
      <w:r w:rsidRPr="00555FFE">
        <w:rPr>
          <w:rFonts w:ascii="Arial" w:hAnsi="Arial" w:cs="Arial"/>
          <w:sz w:val="20"/>
          <w:szCs w:val="20"/>
          <w:lang w:val="en-US"/>
        </w:rPr>
        <w:t xml:space="preserve"> D, </w:t>
      </w:r>
      <w:proofErr w:type="spellStart"/>
      <w:r w:rsidRPr="00555FFE">
        <w:rPr>
          <w:rFonts w:ascii="Arial" w:hAnsi="Arial" w:cs="Arial"/>
          <w:sz w:val="20"/>
          <w:szCs w:val="20"/>
          <w:lang w:val="en-US"/>
        </w:rPr>
        <w:t>Tosas</w:t>
      </w:r>
      <w:proofErr w:type="spellEnd"/>
      <w:r w:rsidRPr="00555FFE">
        <w:rPr>
          <w:rFonts w:ascii="Arial" w:hAnsi="Arial" w:cs="Arial"/>
          <w:sz w:val="20"/>
          <w:szCs w:val="20"/>
          <w:lang w:val="en-US"/>
        </w:rPr>
        <w:t xml:space="preserve"> O, Edgeworth JD. Quantifying type-specific reproduction numbers for nosocomial pathogens: evidence for heightened transmission of an Asian sequence type 239 MRSA clone.</w:t>
      </w:r>
      <w:r w:rsidRPr="00555FFE">
        <w:rPr>
          <w:rFonts w:ascii="Arial" w:hAnsi="Arial" w:cs="Arial"/>
          <w:i/>
          <w:sz w:val="20"/>
          <w:szCs w:val="20"/>
          <w:lang w:val="en-US"/>
        </w:rPr>
        <w:t xml:space="preserve"> </w:t>
      </w:r>
      <w:proofErr w:type="spellStart"/>
      <w:r w:rsidRPr="00555FFE">
        <w:rPr>
          <w:rFonts w:ascii="Arial" w:hAnsi="Arial" w:cs="Arial"/>
          <w:i/>
          <w:sz w:val="20"/>
          <w:szCs w:val="20"/>
          <w:lang w:val="en-US"/>
        </w:rPr>
        <w:t>PLoS</w:t>
      </w:r>
      <w:proofErr w:type="spellEnd"/>
      <w:r w:rsidRPr="00555FFE">
        <w:rPr>
          <w:rFonts w:ascii="Arial" w:hAnsi="Arial" w:cs="Arial"/>
          <w:i/>
          <w:sz w:val="20"/>
          <w:szCs w:val="20"/>
          <w:lang w:val="en-US"/>
        </w:rPr>
        <w:t xml:space="preserve"> </w:t>
      </w:r>
      <w:proofErr w:type="spellStart"/>
      <w:r w:rsidRPr="00555FFE">
        <w:rPr>
          <w:rFonts w:ascii="Arial" w:hAnsi="Arial" w:cs="Arial"/>
          <w:i/>
          <w:sz w:val="20"/>
          <w:szCs w:val="20"/>
          <w:lang w:val="en-US"/>
        </w:rPr>
        <w:t>Comput</w:t>
      </w:r>
      <w:proofErr w:type="spellEnd"/>
      <w:r w:rsidRPr="00555FFE">
        <w:rPr>
          <w:rFonts w:ascii="Arial" w:hAnsi="Arial" w:cs="Arial"/>
          <w:i/>
          <w:sz w:val="20"/>
          <w:szCs w:val="20"/>
          <w:lang w:val="en-US"/>
        </w:rPr>
        <w:t xml:space="preserve"> </w:t>
      </w:r>
      <w:proofErr w:type="spellStart"/>
      <w:r w:rsidRPr="00555FFE">
        <w:rPr>
          <w:rFonts w:ascii="Arial" w:hAnsi="Arial" w:cs="Arial"/>
          <w:i/>
          <w:sz w:val="20"/>
          <w:szCs w:val="20"/>
          <w:lang w:val="en-US"/>
        </w:rPr>
        <w:t>Biol</w:t>
      </w:r>
      <w:proofErr w:type="spellEnd"/>
      <w:r w:rsidRPr="00555FFE">
        <w:rPr>
          <w:rFonts w:ascii="Arial" w:hAnsi="Arial" w:cs="Arial"/>
          <w:sz w:val="20"/>
          <w:szCs w:val="20"/>
          <w:lang w:val="en-US"/>
        </w:rPr>
        <w:t xml:space="preserve"> 2004;</w:t>
      </w:r>
      <w:proofErr w:type="gramStart"/>
      <w:r w:rsidRPr="00555FFE">
        <w:rPr>
          <w:rFonts w:ascii="Arial" w:hAnsi="Arial" w:cs="Arial"/>
          <w:sz w:val="20"/>
          <w:szCs w:val="20"/>
          <w:lang w:val="en-US"/>
        </w:rPr>
        <w:t>8;e</w:t>
      </w:r>
      <w:proofErr w:type="gramEnd"/>
      <w:r w:rsidRPr="00555FFE">
        <w:rPr>
          <w:rFonts w:ascii="Arial" w:hAnsi="Arial" w:cs="Arial"/>
          <w:sz w:val="20"/>
          <w:szCs w:val="20"/>
          <w:lang w:val="en-US"/>
        </w:rPr>
        <w:t>1002454.</w:t>
      </w:r>
    </w:p>
    <w:sectPr w:rsidR="00555FFE" w:rsidRPr="00555FFE" w:rsidSect="00627034">
      <w:footerReference w:type="even" r:id="rId8"/>
      <w:footerReference w:type="default" r:id="rId9"/>
      <w:pgSz w:w="11900" w:h="16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AB380" w14:textId="77777777" w:rsidR="00A80048" w:rsidRDefault="00A80048" w:rsidP="006B7DB8">
      <w:r>
        <w:separator/>
      </w:r>
    </w:p>
  </w:endnote>
  <w:endnote w:type="continuationSeparator" w:id="0">
    <w:p w14:paraId="6BC84E1B" w14:textId="77777777" w:rsidR="00A80048" w:rsidRDefault="00A80048" w:rsidP="006B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3D011" w14:textId="77777777" w:rsidR="006B7DB8" w:rsidRDefault="006B7DB8" w:rsidP="00B77F7C">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DF599A2" w14:textId="77777777" w:rsidR="006B7DB8" w:rsidRDefault="006B7DB8" w:rsidP="006B7DB8">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9C152" w14:textId="77777777" w:rsidR="006B7DB8" w:rsidRPr="006B7DB8" w:rsidRDefault="006B7DB8" w:rsidP="00B77F7C">
    <w:pPr>
      <w:pStyle w:val="Voettekst"/>
      <w:framePr w:wrap="none" w:vAnchor="text" w:hAnchor="margin" w:xAlign="right" w:y="1"/>
      <w:rPr>
        <w:rStyle w:val="Paginanummer"/>
        <w:rFonts w:ascii="Arial" w:hAnsi="Arial" w:cs="Arial"/>
        <w:sz w:val="20"/>
        <w:szCs w:val="20"/>
      </w:rPr>
    </w:pPr>
    <w:r w:rsidRPr="006B7DB8">
      <w:rPr>
        <w:rStyle w:val="Paginanummer"/>
        <w:rFonts w:ascii="Arial" w:hAnsi="Arial" w:cs="Arial"/>
        <w:sz w:val="20"/>
        <w:szCs w:val="20"/>
      </w:rPr>
      <w:fldChar w:fldCharType="begin"/>
    </w:r>
    <w:r w:rsidRPr="006B7DB8">
      <w:rPr>
        <w:rStyle w:val="Paginanummer"/>
        <w:rFonts w:ascii="Arial" w:hAnsi="Arial" w:cs="Arial"/>
        <w:sz w:val="20"/>
        <w:szCs w:val="20"/>
      </w:rPr>
      <w:instrText xml:space="preserve">PAGE  </w:instrText>
    </w:r>
    <w:r w:rsidRPr="006B7DB8">
      <w:rPr>
        <w:rStyle w:val="Paginanummer"/>
        <w:rFonts w:ascii="Arial" w:hAnsi="Arial" w:cs="Arial"/>
        <w:sz w:val="20"/>
        <w:szCs w:val="20"/>
      </w:rPr>
      <w:fldChar w:fldCharType="separate"/>
    </w:r>
    <w:r w:rsidR="00D37F25">
      <w:rPr>
        <w:rStyle w:val="Paginanummer"/>
        <w:rFonts w:ascii="Arial" w:hAnsi="Arial" w:cs="Arial"/>
        <w:noProof/>
        <w:sz w:val="20"/>
        <w:szCs w:val="20"/>
      </w:rPr>
      <w:t>4</w:t>
    </w:r>
    <w:r w:rsidRPr="006B7DB8">
      <w:rPr>
        <w:rStyle w:val="Paginanummer"/>
        <w:rFonts w:ascii="Arial" w:hAnsi="Arial" w:cs="Arial"/>
        <w:sz w:val="20"/>
        <w:szCs w:val="20"/>
      </w:rPr>
      <w:fldChar w:fldCharType="end"/>
    </w:r>
  </w:p>
  <w:p w14:paraId="79555B3A" w14:textId="77777777" w:rsidR="006B7DB8" w:rsidRDefault="006B7DB8" w:rsidP="006B7DB8">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6DAD5" w14:textId="77777777" w:rsidR="00A80048" w:rsidRDefault="00A80048" w:rsidP="006B7DB8">
      <w:r>
        <w:separator/>
      </w:r>
    </w:p>
  </w:footnote>
  <w:footnote w:type="continuationSeparator" w:id="0">
    <w:p w14:paraId="0731F0FA" w14:textId="77777777" w:rsidR="00A80048" w:rsidRDefault="00A80048" w:rsidP="006B7D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6422C"/>
    <w:multiLevelType w:val="hybridMultilevel"/>
    <w:tmpl w:val="98E04072"/>
    <w:lvl w:ilvl="0" w:tplc="0413000F">
      <w:start w:val="1"/>
      <w:numFmt w:val="decimal"/>
      <w:lvlText w:val="%1."/>
      <w:lvlJc w:val="left"/>
      <w:pPr>
        <w:ind w:left="502"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32"/>
    <w:rsid w:val="000137F5"/>
    <w:rsid w:val="00032111"/>
    <w:rsid w:val="000A73B8"/>
    <w:rsid w:val="000F492B"/>
    <w:rsid w:val="00112AA4"/>
    <w:rsid w:val="001734BA"/>
    <w:rsid w:val="001C0252"/>
    <w:rsid w:val="002234D1"/>
    <w:rsid w:val="002410BD"/>
    <w:rsid w:val="00275842"/>
    <w:rsid w:val="0028780B"/>
    <w:rsid w:val="00345B8F"/>
    <w:rsid w:val="003539B9"/>
    <w:rsid w:val="00360AA7"/>
    <w:rsid w:val="003B1849"/>
    <w:rsid w:val="003C7018"/>
    <w:rsid w:val="00425A46"/>
    <w:rsid w:val="00495D3A"/>
    <w:rsid w:val="004E157E"/>
    <w:rsid w:val="004E4AEB"/>
    <w:rsid w:val="005174B9"/>
    <w:rsid w:val="00555FFE"/>
    <w:rsid w:val="005825FC"/>
    <w:rsid w:val="00583B8E"/>
    <w:rsid w:val="006237D7"/>
    <w:rsid w:val="00627034"/>
    <w:rsid w:val="00676FBE"/>
    <w:rsid w:val="00682708"/>
    <w:rsid w:val="006B7DB8"/>
    <w:rsid w:val="006E3D18"/>
    <w:rsid w:val="00777917"/>
    <w:rsid w:val="007E0EAC"/>
    <w:rsid w:val="00824D32"/>
    <w:rsid w:val="0084512B"/>
    <w:rsid w:val="00885BFA"/>
    <w:rsid w:val="009654C9"/>
    <w:rsid w:val="00975BAA"/>
    <w:rsid w:val="009B27D6"/>
    <w:rsid w:val="00A34519"/>
    <w:rsid w:val="00A37AE7"/>
    <w:rsid w:val="00A80048"/>
    <w:rsid w:val="00AE171B"/>
    <w:rsid w:val="00B82B70"/>
    <w:rsid w:val="00B94E3B"/>
    <w:rsid w:val="00BA4C98"/>
    <w:rsid w:val="00C643F1"/>
    <w:rsid w:val="00C6535E"/>
    <w:rsid w:val="00C67F7A"/>
    <w:rsid w:val="00D3252E"/>
    <w:rsid w:val="00D37F25"/>
    <w:rsid w:val="00D52D79"/>
    <w:rsid w:val="00D95678"/>
    <w:rsid w:val="00E07329"/>
    <w:rsid w:val="00E25AD1"/>
    <w:rsid w:val="00ED22BB"/>
    <w:rsid w:val="00EF4388"/>
    <w:rsid w:val="00F1238E"/>
    <w:rsid w:val="00F347EC"/>
    <w:rsid w:val="00F42CA4"/>
    <w:rsid w:val="00F555EF"/>
    <w:rsid w:val="00F5705C"/>
    <w:rsid w:val="00F95FDF"/>
    <w:rsid w:val="00FC62B4"/>
    <w:rsid w:val="00FE1A8A"/>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346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4D32"/>
    <w:pPr>
      <w:contextualSpacing/>
    </w:pPr>
    <w:rPr>
      <w:rFonts w:ascii="Calibri" w:hAnsi="Calibri" w:cstheme="minorHAnsi"/>
    </w:rPr>
  </w:style>
  <w:style w:type="paragraph" w:styleId="Plattetekst">
    <w:name w:val="Body Text"/>
    <w:basedOn w:val="Standaard"/>
    <w:link w:val="PlattetekstTeken"/>
    <w:rsid w:val="00824D32"/>
    <w:rPr>
      <w:rFonts w:ascii="Arial" w:eastAsia="Times New Roman" w:hAnsi="Arial" w:cs="Times New Roman"/>
      <w:sz w:val="22"/>
      <w:szCs w:val="20"/>
      <w:lang w:eastAsia="nl-NL"/>
    </w:rPr>
  </w:style>
  <w:style w:type="character" w:customStyle="1" w:styleId="PlattetekstTeken">
    <w:name w:val="Platte tekst Teken"/>
    <w:basedOn w:val="Standaardalinea-lettertype"/>
    <w:link w:val="Plattetekst"/>
    <w:rsid w:val="00824D32"/>
    <w:rPr>
      <w:rFonts w:ascii="Arial" w:eastAsia="Times New Roman" w:hAnsi="Arial" w:cs="Times New Roman"/>
      <w:sz w:val="22"/>
      <w:szCs w:val="20"/>
      <w:lang w:eastAsia="nl-NL"/>
    </w:rPr>
  </w:style>
  <w:style w:type="paragraph" w:styleId="Ballontekst">
    <w:name w:val="Balloon Text"/>
    <w:basedOn w:val="Standaard"/>
    <w:link w:val="BallontekstTeken"/>
    <w:uiPriority w:val="99"/>
    <w:semiHidden/>
    <w:unhideWhenUsed/>
    <w:rsid w:val="00824D32"/>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824D32"/>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F1238E"/>
    <w:rPr>
      <w:sz w:val="18"/>
      <w:szCs w:val="18"/>
    </w:rPr>
  </w:style>
  <w:style w:type="paragraph" w:styleId="Tekstopmerking">
    <w:name w:val="annotation text"/>
    <w:basedOn w:val="Standaard"/>
    <w:link w:val="TekstopmerkingTeken"/>
    <w:uiPriority w:val="99"/>
    <w:semiHidden/>
    <w:unhideWhenUsed/>
    <w:rsid w:val="00F1238E"/>
  </w:style>
  <w:style w:type="character" w:customStyle="1" w:styleId="TekstopmerkingTeken">
    <w:name w:val="Tekst opmerking Teken"/>
    <w:basedOn w:val="Standaardalinea-lettertype"/>
    <w:link w:val="Tekstopmerking"/>
    <w:uiPriority w:val="99"/>
    <w:semiHidden/>
    <w:rsid w:val="00F1238E"/>
  </w:style>
  <w:style w:type="paragraph" w:styleId="Onderwerpvanopmerking">
    <w:name w:val="annotation subject"/>
    <w:basedOn w:val="Tekstopmerking"/>
    <w:next w:val="Tekstopmerking"/>
    <w:link w:val="OnderwerpvanopmerkingTeken"/>
    <w:uiPriority w:val="99"/>
    <w:semiHidden/>
    <w:unhideWhenUsed/>
    <w:rsid w:val="00F1238E"/>
    <w:rPr>
      <w:b/>
      <w:bCs/>
      <w:sz w:val="20"/>
      <w:szCs w:val="20"/>
    </w:rPr>
  </w:style>
  <w:style w:type="character" w:customStyle="1" w:styleId="OnderwerpvanopmerkingTeken">
    <w:name w:val="Onderwerp van opmerking Teken"/>
    <w:basedOn w:val="TekstopmerkingTeken"/>
    <w:link w:val="Onderwerpvanopmerking"/>
    <w:uiPriority w:val="99"/>
    <w:semiHidden/>
    <w:rsid w:val="00F1238E"/>
    <w:rPr>
      <w:b/>
      <w:bCs/>
      <w:sz w:val="20"/>
      <w:szCs w:val="20"/>
    </w:rPr>
  </w:style>
  <w:style w:type="character" w:styleId="Hyperlink">
    <w:name w:val="Hyperlink"/>
    <w:basedOn w:val="Standaardalinea-lettertype"/>
    <w:uiPriority w:val="99"/>
    <w:unhideWhenUsed/>
    <w:rsid w:val="00A34519"/>
    <w:rPr>
      <w:color w:val="0563C1" w:themeColor="hyperlink"/>
      <w:u w:val="single"/>
    </w:rPr>
  </w:style>
  <w:style w:type="character" w:styleId="Regelnummer">
    <w:name w:val="line number"/>
    <w:basedOn w:val="Standaardalinea-lettertype"/>
    <w:uiPriority w:val="99"/>
    <w:semiHidden/>
    <w:unhideWhenUsed/>
    <w:rsid w:val="00495D3A"/>
  </w:style>
  <w:style w:type="paragraph" w:styleId="Voettekst">
    <w:name w:val="footer"/>
    <w:basedOn w:val="Standaard"/>
    <w:link w:val="VoettekstTeken"/>
    <w:uiPriority w:val="99"/>
    <w:unhideWhenUsed/>
    <w:rsid w:val="006B7DB8"/>
    <w:pPr>
      <w:tabs>
        <w:tab w:val="center" w:pos="4536"/>
        <w:tab w:val="right" w:pos="9072"/>
      </w:tabs>
    </w:pPr>
  </w:style>
  <w:style w:type="character" w:customStyle="1" w:styleId="VoettekstTeken">
    <w:name w:val="Voettekst Teken"/>
    <w:basedOn w:val="Standaardalinea-lettertype"/>
    <w:link w:val="Voettekst"/>
    <w:uiPriority w:val="99"/>
    <w:rsid w:val="006B7DB8"/>
  </w:style>
  <w:style w:type="character" w:styleId="Paginanummer">
    <w:name w:val="page number"/>
    <w:basedOn w:val="Standaardalinea-lettertype"/>
    <w:uiPriority w:val="99"/>
    <w:semiHidden/>
    <w:unhideWhenUsed/>
    <w:rsid w:val="006B7DB8"/>
  </w:style>
  <w:style w:type="paragraph" w:styleId="Koptekst">
    <w:name w:val="header"/>
    <w:basedOn w:val="Standaard"/>
    <w:link w:val="KoptekstTeken"/>
    <w:uiPriority w:val="99"/>
    <w:unhideWhenUsed/>
    <w:rsid w:val="006B7DB8"/>
    <w:pPr>
      <w:tabs>
        <w:tab w:val="center" w:pos="4536"/>
        <w:tab w:val="right" w:pos="9072"/>
      </w:tabs>
    </w:pPr>
  </w:style>
  <w:style w:type="character" w:customStyle="1" w:styleId="KoptekstTeken">
    <w:name w:val="Koptekst Teken"/>
    <w:basedOn w:val="Standaardalinea-lettertype"/>
    <w:link w:val="Koptekst"/>
    <w:uiPriority w:val="99"/>
    <w:rsid w:val="006B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dc.gov/nhsn/pdfs/pscmanual/pcsmanual_current.pdf"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1305</Words>
  <Characters>7181</Characters>
  <Application>Microsoft Macintosh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Amphia Ziekenhuis</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Kluytmans</dc:creator>
  <cp:lastModifiedBy>Marjolein Kluytmans</cp:lastModifiedBy>
  <cp:revision>3</cp:revision>
  <cp:lastPrinted>2017-08-31T13:43:00Z</cp:lastPrinted>
  <dcterms:created xsi:type="dcterms:W3CDTF">2017-08-31T13:41:00Z</dcterms:created>
  <dcterms:modified xsi:type="dcterms:W3CDTF">2017-08-31T13:43:00Z</dcterms:modified>
</cp:coreProperties>
</file>