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39" w:rsidRPr="00330249" w:rsidRDefault="007F3B39" w:rsidP="007F3B39">
      <w:pPr>
        <w:pStyle w:val="Heading1"/>
        <w:rPr>
          <w:lang w:val="en-US"/>
        </w:rPr>
      </w:pPr>
      <w:r w:rsidRPr="00330249">
        <w:rPr>
          <w:lang w:val="en-US"/>
        </w:rPr>
        <w:t>Appendi</w:t>
      </w:r>
      <w:r>
        <w:rPr>
          <w:lang w:val="en-US"/>
        </w:rPr>
        <w:t>x (online only)</w:t>
      </w:r>
    </w:p>
    <w:p w:rsidR="007F3B39" w:rsidRPr="00330249" w:rsidRDefault="007F3B39" w:rsidP="007F3B39">
      <w:pPr>
        <w:spacing w:before="0" w:after="200"/>
        <w:rPr>
          <w:i/>
          <w:sz w:val="24"/>
          <w:lang w:val="en-US"/>
        </w:rPr>
      </w:pPr>
      <w:bookmarkStart w:id="0" w:name="_GoBack"/>
      <w:bookmarkEnd w:id="0"/>
    </w:p>
    <w:tbl>
      <w:tblPr>
        <w:tblW w:w="1063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725"/>
        <w:gridCol w:w="425"/>
        <w:gridCol w:w="425"/>
        <w:gridCol w:w="567"/>
        <w:gridCol w:w="567"/>
        <w:gridCol w:w="567"/>
        <w:gridCol w:w="567"/>
        <w:gridCol w:w="567"/>
        <w:gridCol w:w="567"/>
        <w:gridCol w:w="426"/>
        <w:gridCol w:w="567"/>
        <w:gridCol w:w="708"/>
        <w:gridCol w:w="709"/>
        <w:gridCol w:w="851"/>
      </w:tblGrid>
      <w:tr w:rsidR="007F3B39" w:rsidRPr="00330249" w:rsidTr="00AA292D">
        <w:trPr>
          <w:trHeight w:val="405"/>
          <w:tblHeader/>
        </w:trPr>
        <w:tc>
          <w:tcPr>
            <w:tcW w:w="10632" w:type="dxa"/>
            <w:gridSpan w:val="15"/>
            <w:tcBorders>
              <w:top w:val="nil"/>
              <w:left w:val="nil"/>
              <w:right w:val="nil"/>
            </w:tcBorders>
            <w:shd w:val="clear" w:color="auto" w:fill="auto"/>
            <w:noWrap/>
            <w:tcMar>
              <w:left w:w="0" w:type="dxa"/>
              <w:right w:w="0" w:type="dxa"/>
            </w:tcMar>
            <w:vAlign w:val="center"/>
          </w:tcPr>
          <w:p w:rsidR="007F3B39" w:rsidRPr="00330249" w:rsidRDefault="007F3B39" w:rsidP="00AA292D">
            <w:pPr>
              <w:pStyle w:val="Heading3"/>
              <w:rPr>
                <w:rFonts w:eastAsia="Times New Roman"/>
                <w:sz w:val="20"/>
                <w:szCs w:val="20"/>
                <w:lang w:val="en-US" w:eastAsia="en-GB"/>
              </w:rPr>
            </w:pPr>
            <w:r w:rsidRPr="00330249">
              <w:rPr>
                <w:lang w:val="en-US"/>
              </w:rPr>
              <w:lastRenderedPageBreak/>
              <w:t xml:space="preserve">Appendix </w:t>
            </w:r>
            <w:r>
              <w:rPr>
                <w:lang w:val="en-US"/>
              </w:rPr>
              <w:t>1</w:t>
            </w:r>
            <w:r w:rsidRPr="00330249">
              <w:rPr>
                <w:lang w:val="en-US"/>
              </w:rPr>
              <w:t>: Expert ratings during all Delphi rounds</w:t>
            </w:r>
          </w:p>
        </w:tc>
      </w:tr>
      <w:tr w:rsidR="007F3B39" w:rsidRPr="00330249" w:rsidTr="00AA292D">
        <w:trPr>
          <w:trHeight w:val="405"/>
          <w:tblHeader/>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rPr>
                <w:rFonts w:eastAsia="Times New Roman"/>
                <w:sz w:val="24"/>
                <w:szCs w:val="20"/>
                <w:lang w:val="en-US" w:eastAsia="en-GB"/>
              </w:rPr>
            </w:pPr>
          </w:p>
        </w:tc>
        <w:tc>
          <w:tcPr>
            <w:tcW w:w="2725" w:type="dxa"/>
            <w:tcBorders>
              <w:left w:val="nil"/>
              <w:right w:val="nil"/>
            </w:tcBorders>
            <w:shd w:val="clear" w:color="auto" w:fill="auto"/>
            <w:tcMar>
              <w:left w:w="0" w:type="dxa"/>
              <w:right w:w="0" w:type="dxa"/>
            </w:tcMar>
            <w:vAlign w:val="bottom"/>
            <w:hideMark/>
          </w:tcPr>
          <w:p w:rsidR="007F3B39" w:rsidRPr="00330249" w:rsidRDefault="007F3B39" w:rsidP="00AA292D">
            <w:pPr>
              <w:keepNext/>
              <w:keepLines/>
              <w:spacing w:before="0" w:line="240" w:lineRule="auto"/>
              <w:jc w:val="center"/>
              <w:rPr>
                <w:rFonts w:eastAsia="Times New Roman"/>
                <w:sz w:val="20"/>
                <w:szCs w:val="20"/>
                <w:lang w:val="en-US" w:eastAsia="en-GB"/>
              </w:rPr>
            </w:pPr>
          </w:p>
        </w:tc>
        <w:tc>
          <w:tcPr>
            <w:tcW w:w="850" w:type="dxa"/>
            <w:gridSpan w:val="2"/>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u w:val="single"/>
                <w:lang w:val="en-US" w:eastAsia="en-GB"/>
              </w:rPr>
            </w:pPr>
            <w:r w:rsidRPr="00330249">
              <w:rPr>
                <w:rFonts w:ascii="Arial" w:eastAsia="Times New Roman" w:hAnsi="Arial" w:cs="Arial"/>
                <w:b/>
                <w:bCs/>
                <w:sz w:val="16"/>
                <w:szCs w:val="16"/>
                <w:u w:val="single"/>
                <w:lang w:val="en-US" w:eastAsia="en-GB"/>
              </w:rPr>
              <w:t>Round 1</w:t>
            </w:r>
          </w:p>
        </w:tc>
        <w:tc>
          <w:tcPr>
            <w:tcW w:w="1134" w:type="dxa"/>
            <w:gridSpan w:val="2"/>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u w:val="single"/>
                <w:lang w:val="en-US" w:eastAsia="en-GB"/>
              </w:rPr>
            </w:pPr>
            <w:r w:rsidRPr="00330249">
              <w:rPr>
                <w:rFonts w:ascii="Arial" w:eastAsia="Times New Roman" w:hAnsi="Arial" w:cs="Arial"/>
                <w:b/>
                <w:bCs/>
                <w:sz w:val="16"/>
                <w:szCs w:val="16"/>
                <w:u w:val="single"/>
                <w:lang w:val="en-US" w:eastAsia="en-GB"/>
              </w:rPr>
              <w:t>Round 2</w:t>
            </w:r>
          </w:p>
        </w:tc>
        <w:tc>
          <w:tcPr>
            <w:tcW w:w="1134" w:type="dxa"/>
            <w:gridSpan w:val="2"/>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u w:val="single"/>
                <w:lang w:val="en-US" w:eastAsia="en-GB"/>
              </w:rPr>
            </w:pPr>
            <w:r w:rsidRPr="00330249">
              <w:rPr>
                <w:rFonts w:ascii="Arial" w:eastAsia="Times New Roman" w:hAnsi="Arial" w:cs="Arial"/>
                <w:b/>
                <w:bCs/>
                <w:sz w:val="16"/>
                <w:szCs w:val="16"/>
                <w:u w:val="single"/>
                <w:lang w:val="en-US" w:eastAsia="en-GB"/>
              </w:rPr>
              <w:t>Round 3</w:t>
            </w:r>
          </w:p>
        </w:tc>
        <w:tc>
          <w:tcPr>
            <w:tcW w:w="1134" w:type="dxa"/>
            <w:gridSpan w:val="2"/>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u w:val="single"/>
                <w:lang w:val="en-US" w:eastAsia="en-GB"/>
              </w:rPr>
            </w:pPr>
            <w:r w:rsidRPr="00330249">
              <w:rPr>
                <w:rFonts w:ascii="Arial" w:eastAsia="Times New Roman" w:hAnsi="Arial" w:cs="Arial"/>
                <w:b/>
                <w:bCs/>
                <w:sz w:val="16"/>
                <w:szCs w:val="16"/>
                <w:u w:val="single"/>
                <w:lang w:val="en-US" w:eastAsia="en-GB"/>
              </w:rPr>
              <w:t>Final*</w:t>
            </w:r>
          </w:p>
        </w:tc>
        <w:tc>
          <w:tcPr>
            <w:tcW w:w="993" w:type="dxa"/>
            <w:gridSpan w:val="2"/>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u w:val="single"/>
                <w:lang w:val="en-US" w:eastAsia="en-GB"/>
              </w:rPr>
            </w:pPr>
            <w:r w:rsidRPr="00330249">
              <w:rPr>
                <w:rFonts w:ascii="Arial" w:eastAsia="Times New Roman" w:hAnsi="Arial" w:cs="Arial"/>
                <w:b/>
                <w:bCs/>
                <w:sz w:val="16"/>
                <w:szCs w:val="16"/>
                <w:u w:val="single"/>
                <w:lang w:val="en-US" w:eastAsia="en-GB"/>
              </w:rPr>
              <w:t>Consensus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contextualSpacing/>
              <w:jc w:val="center"/>
              <w:rPr>
                <w:rFonts w:ascii="Arial" w:eastAsia="Times New Roman" w:hAnsi="Arial" w:cs="Arial"/>
                <w:b/>
                <w:bCs/>
                <w:sz w:val="16"/>
                <w:szCs w:val="16"/>
                <w:u w:val="single"/>
                <w:lang w:val="en-US" w:eastAsia="en-GB"/>
              </w:rPr>
            </w:pP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rPr>
                <w:rFonts w:eastAsia="Times New Roman"/>
                <w:sz w:val="20"/>
                <w:szCs w:val="20"/>
                <w:lang w:val="en-US" w:eastAsia="en-GB"/>
              </w:rPr>
            </w:pP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rPr>
                <w:rFonts w:eastAsia="Times New Roman"/>
                <w:sz w:val="20"/>
                <w:szCs w:val="20"/>
                <w:lang w:val="en-US" w:eastAsia="en-GB"/>
              </w:rPr>
            </w:pPr>
          </w:p>
        </w:tc>
      </w:tr>
      <w:tr w:rsidR="007F3B39" w:rsidRPr="00330249" w:rsidTr="00AA292D">
        <w:trPr>
          <w:trHeight w:val="225"/>
          <w:tblHeader/>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2725" w:type="dxa"/>
            <w:tcBorders>
              <w:left w:val="nil"/>
              <w:right w:val="nil"/>
            </w:tcBorders>
            <w:shd w:val="clear" w:color="auto" w:fill="auto"/>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Scenario</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col.</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inf.</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col.</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inf.</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col.</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inf.</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col.</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inf.</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col.</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jc w:val="center"/>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inf.</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Source</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Pathway</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b/>
                <w:bCs/>
                <w:sz w:val="16"/>
                <w:szCs w:val="16"/>
                <w:lang w:val="en-US" w:eastAsia="en-GB"/>
              </w:rPr>
            </w:pPr>
            <w:r w:rsidRPr="00330249">
              <w:rPr>
                <w:rFonts w:ascii="Arial" w:eastAsia="Times New Roman" w:hAnsi="Arial" w:cs="Arial"/>
                <w:b/>
                <w:bCs/>
                <w:sz w:val="16"/>
                <w:szCs w:val="16"/>
                <w:lang w:val="en-US" w:eastAsia="en-GB"/>
              </w:rPr>
              <w:t>Endpoint</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After caring for a first patient, a healthcare worker shakes another patient’s hand without hand hygiene.</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1.51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1.18*</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After caring for a first patient, a healthcare worker touches another patient’s open wound without hand hygiene.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3.86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3.76*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3.76*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3.20*</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touches her private mobile phone then, without hand hygiene, touches patient intact skin.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1.06*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1.06*</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touches her private mobile phone then, without hand hygiene, touches a patient’s open wound.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3.34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5</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 healthcare worker cleans a toilet, touching toilet brush handle with bare hands then, without hand hygiene, touches patient intact skin.</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3.23</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1.36*</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6</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 healthcare worker cleans a toilet, touching toilet brush handle with bare hands then, without hand hygiene, touches a patient’s open wound.</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4.06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3.49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3.24*</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7</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touches the paper patient records then, without hand hygiene, changes an infusion.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1.91*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1.91*</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8</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touches his face and hair then changes an infusion, without hand hygiene.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2.77</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2.21*</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Healthcare worker</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9</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After touching multiple surfaces in the healthcare environment, a healthcare worker enters a patient’s room then, without hand hygiene, prepares and administers intravenous medication.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10</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After touching parts of her own body and her immediate environment (bedside table, phone, and bed linens), a patient touches her own open wound.</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3.17</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Hands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90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11</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After having touched several surfaces in the healthcare environment, a healthcare worker enters a patient room then, without hand hygiene, pulls (non-sterile) gloves out of the box and dons the gloves then touches patient’s intact skin.</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2.20</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1.21*</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90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After having touched several surfaces in the healthcare environment, a healthcare worker enters a patient room then, without hand hygiene, pulls gloves out of the box and dons the gloves then touches patient’s open wound</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2.06*</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90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After having touched several surfaces in the healthcare environment, a healthcare worker enters a patient room then, without hand hygiene, carefully and correctly dons sterile surgical gloves without previous hand hygiene then proceeds to insert a central venous line.</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wearing gloves disposes of a used vomiting bag then inserts a venous cannula while wearing the same pair of gloves.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3.51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3.52*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3.52*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lastRenderedPageBreak/>
              <w:t>15</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performs hand hygiene, </w:t>
            </w:r>
            <w:proofErr w:type="gramStart"/>
            <w:r w:rsidRPr="00330249">
              <w:rPr>
                <w:rFonts w:ascii="Arial" w:eastAsia="Times New Roman" w:hAnsi="Arial" w:cs="Arial"/>
                <w:sz w:val="16"/>
                <w:szCs w:val="16"/>
                <w:lang w:val="en-US" w:eastAsia="en-GB"/>
              </w:rPr>
              <w:t>dons</w:t>
            </w:r>
            <w:proofErr w:type="gramEnd"/>
            <w:r w:rsidRPr="00330249">
              <w:rPr>
                <w:rFonts w:ascii="Arial" w:eastAsia="Times New Roman" w:hAnsi="Arial" w:cs="Arial"/>
                <w:sz w:val="16"/>
                <w:szCs w:val="16"/>
                <w:lang w:val="en-US" w:eastAsia="en-GB"/>
              </w:rPr>
              <w:t xml:space="preserve"> gloves, then examines a patient with open wounds moving from wounds to intact skin and back, wearing the same gloves for the entire examination.</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2.27*</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intact skin</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16</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disposes of gloves following intimate care, and does not perform hand hygiene prior to continuing patient care and touching patient’s intact skin.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2.23</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1.12*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spacing w:before="0" w:line="240" w:lineRule="auto"/>
              <w:contextualSpacing/>
              <w:rPr>
                <w:rFonts w:ascii="Arial" w:eastAsia="Times New Roman" w:hAnsi="Arial" w:cs="Arial"/>
                <w:sz w:val="16"/>
                <w:szCs w:val="16"/>
                <w:lang w:val="en-US" w:eastAsia="en-GB"/>
              </w:rPr>
            </w:pP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1.12*</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critical site</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disposes of gloves following intimate care, and does not perform hand hygiene prior to continuing patient care and touching patient’s open wound.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critical site</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90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programs an infusion pump (touch screen) while wearing gloves that had already been worn for an extended period of time, touching multiple surfaces in the room, then manually verifies a central venous catheter insertion site while still wearing the same gloves.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90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19</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programs an infusion pump while wearing gloves that had already been worn for an extended </w:t>
            </w:r>
            <w:proofErr w:type="gramStart"/>
            <w:r w:rsidRPr="00330249">
              <w:rPr>
                <w:rFonts w:ascii="Arial" w:eastAsia="Times New Roman" w:hAnsi="Arial" w:cs="Arial"/>
                <w:sz w:val="16"/>
                <w:szCs w:val="16"/>
                <w:lang w:val="en-US" w:eastAsia="en-GB"/>
              </w:rPr>
              <w:t>period of time</w:t>
            </w:r>
            <w:proofErr w:type="gramEnd"/>
            <w:r w:rsidRPr="00330249">
              <w:rPr>
                <w:rFonts w:ascii="Arial" w:eastAsia="Times New Roman" w:hAnsi="Arial" w:cs="Arial"/>
                <w:sz w:val="16"/>
                <w:szCs w:val="16"/>
                <w:lang w:val="en-US" w:eastAsia="en-GB"/>
              </w:rPr>
              <w:t xml:space="preserve">, touching multiple surfaces in the room, then manually verifies a peripheral catheter insertion site while still wearing the same gloves.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3.20</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2.58*</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providing intimate care silences an alarm on the patient bedside monitor touchscreen, </w:t>
            </w:r>
            <w:proofErr w:type="gramStart"/>
            <w:r w:rsidRPr="00330249">
              <w:rPr>
                <w:rFonts w:ascii="Arial" w:eastAsia="Times New Roman" w:hAnsi="Arial" w:cs="Arial"/>
                <w:sz w:val="16"/>
                <w:szCs w:val="16"/>
                <w:lang w:val="en-US" w:eastAsia="en-GB"/>
              </w:rPr>
              <w:t>then</w:t>
            </w:r>
            <w:proofErr w:type="gramEnd"/>
            <w:r w:rsidRPr="00330249">
              <w:rPr>
                <w:rFonts w:ascii="Arial" w:eastAsia="Times New Roman" w:hAnsi="Arial" w:cs="Arial"/>
                <w:sz w:val="16"/>
                <w:szCs w:val="16"/>
                <w:lang w:val="en-US" w:eastAsia="en-GB"/>
              </w:rPr>
              <w:t xml:space="preserve"> continues with intimate care, all with the same pair of gloves.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An x-ray plate with direct contact with patient skin </w:t>
            </w:r>
            <w:proofErr w:type="gramStart"/>
            <w:r w:rsidRPr="00330249">
              <w:rPr>
                <w:rFonts w:ascii="Arial" w:eastAsia="Times New Roman" w:hAnsi="Arial" w:cs="Arial"/>
                <w:sz w:val="16"/>
                <w:szCs w:val="16"/>
                <w:lang w:val="en-US" w:eastAsia="en-GB"/>
              </w:rPr>
              <w:t>is used</w:t>
            </w:r>
            <w:proofErr w:type="gramEnd"/>
            <w:r w:rsidRPr="00330249">
              <w:rPr>
                <w:rFonts w:ascii="Arial" w:eastAsia="Times New Roman" w:hAnsi="Arial" w:cs="Arial"/>
                <w:sz w:val="16"/>
                <w:szCs w:val="16"/>
                <w:lang w:val="en-US" w:eastAsia="en-GB"/>
              </w:rPr>
              <w:t xml:space="preserve"> on two consecutive patients without being disinfected between uses.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1.24*</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An ECG device including the electrode with multi-use suction cups </w:t>
            </w:r>
            <w:proofErr w:type="gramStart"/>
            <w:r w:rsidRPr="00330249">
              <w:rPr>
                <w:rFonts w:ascii="Arial" w:eastAsia="Times New Roman" w:hAnsi="Arial" w:cs="Arial"/>
                <w:sz w:val="16"/>
                <w:szCs w:val="16"/>
                <w:lang w:val="en-US" w:eastAsia="en-GB"/>
              </w:rPr>
              <w:t>is used</w:t>
            </w:r>
            <w:proofErr w:type="gramEnd"/>
            <w:r w:rsidRPr="00330249">
              <w:rPr>
                <w:rFonts w:ascii="Arial" w:eastAsia="Times New Roman" w:hAnsi="Arial" w:cs="Arial"/>
                <w:sz w:val="16"/>
                <w:szCs w:val="16"/>
                <w:lang w:val="en-US" w:eastAsia="en-GB"/>
              </w:rPr>
              <w:t xml:space="preserve"> on two consecutive patients without being disinfected between uses.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1.54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1.24*</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The electrode multi-use suction cups of an ECG device fall on the floor and then </w:t>
            </w:r>
            <w:proofErr w:type="gramStart"/>
            <w:r w:rsidRPr="00330249">
              <w:rPr>
                <w:rFonts w:ascii="Arial" w:eastAsia="Times New Roman" w:hAnsi="Arial" w:cs="Arial"/>
                <w:sz w:val="16"/>
                <w:szCs w:val="16"/>
                <w:lang w:val="en-US" w:eastAsia="en-GB"/>
              </w:rPr>
              <w:t>are used</w:t>
            </w:r>
            <w:proofErr w:type="gramEnd"/>
            <w:r w:rsidRPr="00330249">
              <w:rPr>
                <w:rFonts w:ascii="Arial" w:eastAsia="Times New Roman" w:hAnsi="Arial" w:cs="Arial"/>
                <w:sz w:val="16"/>
                <w:szCs w:val="16"/>
                <w:lang w:val="en-US" w:eastAsia="en-GB"/>
              </w:rPr>
              <w:t xml:space="preserve"> on a patient without being disinfected.</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1.27*</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90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An x-ray plate with direct contact with patient skin is used on a patient under contact isolation for colonization with Gram-negative multi-resistant </w:t>
            </w:r>
            <w:proofErr w:type="spellStart"/>
            <w:r w:rsidRPr="00330249">
              <w:rPr>
                <w:rFonts w:ascii="Arial" w:eastAsia="Times New Roman" w:hAnsi="Arial" w:cs="Arial"/>
                <w:sz w:val="16"/>
                <w:szCs w:val="16"/>
                <w:lang w:val="en-US" w:eastAsia="en-GB"/>
              </w:rPr>
              <w:t>Klebsiella</w:t>
            </w:r>
            <w:proofErr w:type="spellEnd"/>
            <w:r w:rsidRPr="00330249">
              <w:rPr>
                <w:rFonts w:ascii="Arial" w:eastAsia="Times New Roman" w:hAnsi="Arial" w:cs="Arial"/>
                <w:sz w:val="16"/>
                <w:szCs w:val="16"/>
                <w:lang w:val="en-US" w:eastAsia="en-GB"/>
              </w:rPr>
              <w:t xml:space="preserve"> </w:t>
            </w:r>
            <w:proofErr w:type="spellStart"/>
            <w:r w:rsidRPr="00330249">
              <w:rPr>
                <w:rFonts w:ascii="Arial" w:eastAsia="Times New Roman" w:hAnsi="Arial" w:cs="Arial"/>
                <w:sz w:val="16"/>
                <w:szCs w:val="16"/>
                <w:lang w:val="en-US" w:eastAsia="en-GB"/>
              </w:rPr>
              <w:t>pneumophila</w:t>
            </w:r>
            <w:proofErr w:type="spellEnd"/>
            <w:r w:rsidRPr="00330249">
              <w:rPr>
                <w:rFonts w:ascii="Arial" w:eastAsia="Times New Roman" w:hAnsi="Arial" w:cs="Arial"/>
                <w:sz w:val="16"/>
                <w:szCs w:val="16"/>
                <w:lang w:val="en-US" w:eastAsia="en-GB"/>
              </w:rPr>
              <w:t xml:space="preserve">, </w:t>
            </w:r>
            <w:proofErr w:type="gramStart"/>
            <w:r w:rsidRPr="00330249">
              <w:rPr>
                <w:rFonts w:ascii="Arial" w:eastAsia="Times New Roman" w:hAnsi="Arial" w:cs="Arial"/>
                <w:sz w:val="16"/>
                <w:szCs w:val="16"/>
                <w:lang w:val="en-US" w:eastAsia="en-GB"/>
              </w:rPr>
              <w:t>then</w:t>
            </w:r>
            <w:proofErr w:type="gramEnd"/>
            <w:r w:rsidRPr="00330249">
              <w:rPr>
                <w:rFonts w:ascii="Arial" w:eastAsia="Times New Roman" w:hAnsi="Arial" w:cs="Arial"/>
                <w:sz w:val="16"/>
                <w:szCs w:val="16"/>
                <w:lang w:val="en-US" w:eastAsia="en-GB"/>
              </w:rPr>
              <w:t xml:space="preserve"> used on a subsequent patient, without being disinfected between uses.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3.31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blood pressure cuff </w:t>
            </w:r>
            <w:proofErr w:type="gramStart"/>
            <w:r w:rsidRPr="00330249">
              <w:rPr>
                <w:rFonts w:ascii="Arial" w:eastAsia="Times New Roman" w:hAnsi="Arial" w:cs="Arial"/>
                <w:sz w:val="16"/>
                <w:szCs w:val="16"/>
                <w:lang w:val="en-US" w:eastAsia="en-GB"/>
              </w:rPr>
              <w:t>is used</w:t>
            </w:r>
            <w:proofErr w:type="gramEnd"/>
            <w:r w:rsidRPr="00330249">
              <w:rPr>
                <w:rFonts w:ascii="Arial" w:eastAsia="Times New Roman" w:hAnsi="Arial" w:cs="Arial"/>
                <w:sz w:val="16"/>
                <w:szCs w:val="16"/>
                <w:lang w:val="en-US" w:eastAsia="en-GB"/>
              </w:rPr>
              <w:t xml:space="preserve"> on two consecutive patients without being disinfected between uses.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2.60</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0.97*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0.97*</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disconnects a patient’s tracheal tube, places the tube on non-sterile patient bedding, then reconnects the tube again.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The tube connected to a patient’s urinary catheter lies on floor, </w:t>
            </w:r>
            <w:proofErr w:type="gramStart"/>
            <w:r w:rsidRPr="00330249">
              <w:rPr>
                <w:rFonts w:ascii="Arial" w:eastAsia="Times New Roman" w:hAnsi="Arial" w:cs="Arial"/>
                <w:sz w:val="16"/>
                <w:szCs w:val="16"/>
                <w:lang w:val="en-US" w:eastAsia="en-GB"/>
              </w:rPr>
              <w:t>then</w:t>
            </w:r>
            <w:proofErr w:type="gramEnd"/>
            <w:r w:rsidRPr="00330249">
              <w:rPr>
                <w:rFonts w:ascii="Arial" w:eastAsia="Times New Roman" w:hAnsi="Arial" w:cs="Arial"/>
                <w:sz w:val="16"/>
                <w:szCs w:val="16"/>
                <w:lang w:val="en-US" w:eastAsia="en-GB"/>
              </w:rPr>
              <w:t xml:space="preserve"> healthcare worker places it on the patient’s bed.</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2.80</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2.07*</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bed</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lastRenderedPageBreak/>
              <w:t>28</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places a used suction catheter (used for suctioning of a mechanical ventilation) on the patient’s bed (same patient).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1.45*</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critical site</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bed</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three-way valve IV line (connected to an IV line) </w:t>
            </w:r>
            <w:proofErr w:type="gramStart"/>
            <w:r w:rsidRPr="00330249">
              <w:rPr>
                <w:rFonts w:ascii="Arial" w:eastAsia="Times New Roman" w:hAnsi="Arial" w:cs="Arial"/>
                <w:sz w:val="16"/>
                <w:szCs w:val="16"/>
                <w:lang w:val="en-US" w:eastAsia="en-GB"/>
              </w:rPr>
              <w:t>is left</w:t>
            </w:r>
            <w:proofErr w:type="gramEnd"/>
            <w:r w:rsidRPr="00330249">
              <w:rPr>
                <w:rFonts w:ascii="Arial" w:eastAsia="Times New Roman" w:hAnsi="Arial" w:cs="Arial"/>
                <w:sz w:val="16"/>
                <w:szCs w:val="16"/>
                <w:lang w:val="en-US" w:eastAsia="en-GB"/>
              </w:rPr>
              <w:t xml:space="preserve"> open (uncapped) on a patient’s bed.</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3.03</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bed</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three-way valve </w:t>
            </w:r>
            <w:proofErr w:type="gramStart"/>
            <w:r w:rsidRPr="00330249">
              <w:rPr>
                <w:rFonts w:ascii="Arial" w:eastAsia="Times New Roman" w:hAnsi="Arial" w:cs="Arial"/>
                <w:sz w:val="16"/>
                <w:szCs w:val="16"/>
                <w:lang w:val="en-US" w:eastAsia="en-GB"/>
              </w:rPr>
              <w:t>is placed</w:t>
            </w:r>
            <w:proofErr w:type="gramEnd"/>
            <w:r w:rsidRPr="00330249">
              <w:rPr>
                <w:rFonts w:ascii="Arial" w:eastAsia="Times New Roman" w:hAnsi="Arial" w:cs="Arial"/>
                <w:sz w:val="16"/>
                <w:szCs w:val="16"/>
                <w:lang w:val="en-US" w:eastAsia="en-GB"/>
              </w:rPr>
              <w:t xml:space="preserve"> on a </w:t>
            </w:r>
            <w:proofErr w:type="spellStart"/>
            <w:r w:rsidRPr="00330249">
              <w:rPr>
                <w:rFonts w:ascii="Arial" w:eastAsia="Times New Roman" w:hAnsi="Arial" w:cs="Arial"/>
                <w:sz w:val="16"/>
                <w:szCs w:val="16"/>
                <w:lang w:val="en-US" w:eastAsia="en-GB"/>
              </w:rPr>
              <w:t>moltex</w:t>
            </w:r>
            <w:proofErr w:type="spellEnd"/>
            <w:r w:rsidRPr="00330249">
              <w:rPr>
                <w:rFonts w:ascii="Arial" w:eastAsia="Times New Roman" w:hAnsi="Arial" w:cs="Arial"/>
                <w:sz w:val="16"/>
                <w:szCs w:val="16"/>
                <w:lang w:val="en-US" w:eastAsia="en-GB"/>
              </w:rPr>
              <w:t xml:space="preserve"> absorbent sheet on a patient’s bed. An open lumen of the three-way valve touches the </w:t>
            </w:r>
            <w:proofErr w:type="spellStart"/>
            <w:r w:rsidRPr="00330249">
              <w:rPr>
                <w:rFonts w:ascii="Arial" w:eastAsia="Times New Roman" w:hAnsi="Arial" w:cs="Arial"/>
                <w:sz w:val="16"/>
                <w:szCs w:val="16"/>
                <w:lang w:val="en-US" w:eastAsia="en-GB"/>
              </w:rPr>
              <w:t>moltex</w:t>
            </w:r>
            <w:proofErr w:type="spellEnd"/>
            <w:r w:rsidRPr="00330249">
              <w:rPr>
                <w:rFonts w:ascii="Arial" w:eastAsia="Times New Roman" w:hAnsi="Arial" w:cs="Arial"/>
                <w:sz w:val="16"/>
                <w:szCs w:val="16"/>
                <w:lang w:val="en-US" w:eastAsia="en-GB"/>
              </w:rPr>
              <w:t xml:space="preserve">. The three-way valve </w:t>
            </w:r>
            <w:proofErr w:type="gramStart"/>
            <w:r w:rsidRPr="00330249">
              <w:rPr>
                <w:rFonts w:ascii="Arial" w:eastAsia="Times New Roman" w:hAnsi="Arial" w:cs="Arial"/>
                <w:sz w:val="16"/>
                <w:szCs w:val="16"/>
                <w:lang w:val="en-US" w:eastAsia="en-GB"/>
              </w:rPr>
              <w:t>is then used</w:t>
            </w:r>
            <w:proofErr w:type="gramEnd"/>
            <w:r w:rsidRPr="00330249">
              <w:rPr>
                <w:rFonts w:ascii="Arial" w:eastAsia="Times New Roman" w:hAnsi="Arial" w:cs="Arial"/>
                <w:sz w:val="16"/>
                <w:szCs w:val="16"/>
                <w:lang w:val="en-US" w:eastAsia="en-GB"/>
              </w:rPr>
              <w:t xml:space="preserve"> for an IV-line.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3.00</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2.39*</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stethoscope </w:t>
            </w:r>
            <w:proofErr w:type="gramStart"/>
            <w:r w:rsidRPr="00330249">
              <w:rPr>
                <w:rFonts w:ascii="Arial" w:eastAsia="Times New Roman" w:hAnsi="Arial" w:cs="Arial"/>
                <w:sz w:val="16"/>
                <w:szCs w:val="16"/>
                <w:lang w:val="en-US" w:eastAsia="en-GB"/>
              </w:rPr>
              <w:t>is used</w:t>
            </w:r>
            <w:proofErr w:type="gramEnd"/>
            <w:r w:rsidRPr="00330249">
              <w:rPr>
                <w:rFonts w:ascii="Arial" w:eastAsia="Times New Roman" w:hAnsi="Arial" w:cs="Arial"/>
                <w:sz w:val="16"/>
                <w:szCs w:val="16"/>
                <w:lang w:val="en-US" w:eastAsia="en-GB"/>
              </w:rPr>
              <w:t xml:space="preserve"> on two consecutive patients without being disinfected between uses.</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1.57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1.42*</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Medical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32</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tourniquet </w:t>
            </w:r>
            <w:proofErr w:type="gramStart"/>
            <w:r w:rsidRPr="00330249">
              <w:rPr>
                <w:rFonts w:ascii="Arial" w:eastAsia="Times New Roman" w:hAnsi="Arial" w:cs="Arial"/>
                <w:sz w:val="16"/>
                <w:szCs w:val="16"/>
                <w:lang w:val="en-US" w:eastAsia="en-GB"/>
              </w:rPr>
              <w:t>is used</w:t>
            </w:r>
            <w:proofErr w:type="gramEnd"/>
            <w:r w:rsidRPr="00330249">
              <w:rPr>
                <w:rFonts w:ascii="Arial" w:eastAsia="Times New Roman" w:hAnsi="Arial" w:cs="Arial"/>
                <w:sz w:val="16"/>
                <w:szCs w:val="16"/>
                <w:lang w:val="en-US" w:eastAsia="en-GB"/>
              </w:rPr>
              <w:t xml:space="preserve"> to draw blood of two consecutive patients without being disinfected between uses.</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2.60</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1.21*</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33</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purpose-built board to facilitate the transfer of patients from a stretcher to a bed (or vice versa) </w:t>
            </w:r>
            <w:proofErr w:type="gramStart"/>
            <w:r w:rsidRPr="00330249">
              <w:rPr>
                <w:rFonts w:ascii="Arial" w:eastAsia="Times New Roman" w:hAnsi="Arial" w:cs="Arial"/>
                <w:sz w:val="16"/>
                <w:szCs w:val="16"/>
                <w:lang w:val="en-US" w:eastAsia="en-GB"/>
              </w:rPr>
              <w:t>is used</w:t>
            </w:r>
            <w:proofErr w:type="gramEnd"/>
            <w:r w:rsidRPr="00330249">
              <w:rPr>
                <w:rFonts w:ascii="Arial" w:eastAsia="Times New Roman" w:hAnsi="Arial" w:cs="Arial"/>
                <w:sz w:val="16"/>
                <w:szCs w:val="16"/>
                <w:lang w:val="en-US" w:eastAsia="en-GB"/>
              </w:rPr>
              <w:t xml:space="preserve"> on two consecutive patients without disinfection between uses.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1.57*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34</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worker’s wristwatch </w:t>
            </w:r>
            <w:proofErr w:type="gramStart"/>
            <w:r w:rsidRPr="00330249">
              <w:rPr>
                <w:rFonts w:ascii="Arial" w:eastAsia="Times New Roman" w:hAnsi="Arial" w:cs="Arial"/>
                <w:sz w:val="16"/>
                <w:szCs w:val="16"/>
                <w:lang w:val="en-US" w:eastAsia="en-GB"/>
              </w:rPr>
              <w:t>comes into contact with</w:t>
            </w:r>
            <w:proofErr w:type="gramEnd"/>
            <w:r w:rsidRPr="00330249">
              <w:rPr>
                <w:rFonts w:ascii="Arial" w:eastAsia="Times New Roman" w:hAnsi="Arial" w:cs="Arial"/>
                <w:sz w:val="16"/>
                <w:szCs w:val="16"/>
                <w:lang w:val="en-US" w:eastAsia="en-GB"/>
              </w:rPr>
              <w:t xml:space="preserve"> the skin of multiple consecutive patients during patient examination.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1.27*</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Healthcare worker</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35</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worker’s professional mobile phone, attached to her belt, </w:t>
            </w:r>
            <w:proofErr w:type="gramStart"/>
            <w:r w:rsidRPr="00330249">
              <w:rPr>
                <w:rFonts w:ascii="Arial" w:eastAsia="Times New Roman" w:hAnsi="Arial" w:cs="Arial"/>
                <w:sz w:val="16"/>
                <w:szCs w:val="16"/>
                <w:lang w:val="en-US" w:eastAsia="en-GB"/>
              </w:rPr>
              <w:t>comes into contact with</w:t>
            </w:r>
            <w:proofErr w:type="gramEnd"/>
            <w:r w:rsidRPr="00330249">
              <w:rPr>
                <w:rFonts w:ascii="Arial" w:eastAsia="Times New Roman" w:hAnsi="Arial" w:cs="Arial"/>
                <w:sz w:val="16"/>
                <w:szCs w:val="16"/>
                <w:lang w:val="en-US" w:eastAsia="en-GB"/>
              </w:rPr>
              <w:t xml:space="preserve"> patient skin during patient examination.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1.17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1.09*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1.09*</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36</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Medical-grade adhesive tape </w:t>
            </w:r>
            <w:proofErr w:type="gramStart"/>
            <w:r w:rsidRPr="00330249">
              <w:rPr>
                <w:rFonts w:ascii="Arial" w:eastAsia="Times New Roman" w:hAnsi="Arial" w:cs="Arial"/>
                <w:sz w:val="16"/>
                <w:szCs w:val="16"/>
                <w:lang w:val="en-US" w:eastAsia="en-GB"/>
              </w:rPr>
              <w:t>is attached</w:t>
            </w:r>
            <w:proofErr w:type="gramEnd"/>
            <w:r w:rsidRPr="00330249">
              <w:rPr>
                <w:rFonts w:ascii="Arial" w:eastAsia="Times New Roman" w:hAnsi="Arial" w:cs="Arial"/>
                <w:sz w:val="16"/>
                <w:szCs w:val="16"/>
                <w:lang w:val="en-US" w:eastAsia="en-GB"/>
              </w:rPr>
              <w:t xml:space="preserve"> to bedrails prior to being used to secure a peripheral line onto the patient’s skin.</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1.67*</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37</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A healthcare worker places a bag of gastric secretions on an intubated and sedated patient’s face.</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2.00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1.91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1.83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Unknown status</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38</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transfer cannula (plastic piercing spike with </w:t>
            </w:r>
            <w:proofErr w:type="gramStart"/>
            <w:r w:rsidRPr="00330249">
              <w:rPr>
                <w:rFonts w:ascii="Arial" w:eastAsia="Times New Roman" w:hAnsi="Arial" w:cs="Arial"/>
                <w:sz w:val="16"/>
                <w:szCs w:val="16"/>
                <w:lang w:val="en-US" w:eastAsia="en-GB"/>
              </w:rPr>
              <w:t>finger plate</w:t>
            </w:r>
            <w:proofErr w:type="gramEnd"/>
            <w:r w:rsidRPr="00330249">
              <w:rPr>
                <w:rFonts w:ascii="Arial" w:eastAsia="Times New Roman" w:hAnsi="Arial" w:cs="Arial"/>
                <w:sz w:val="16"/>
                <w:szCs w:val="16"/>
                <w:lang w:val="en-US" w:eastAsia="en-GB"/>
              </w:rPr>
              <w:t xml:space="preserve"> used to mix solutions and medications) is placed on a worktop for temporary storage, and then used again for preparing the next medication.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2.91*</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39</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patient’s duvet falls on the floor. A healthcare worker picks up the duvet and puts it back on the patient.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1.06*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1.06*</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40</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During intimate care, the washcloth </w:t>
            </w:r>
            <w:proofErr w:type="gramStart"/>
            <w:r w:rsidRPr="00330249">
              <w:rPr>
                <w:rFonts w:ascii="Arial" w:eastAsia="Times New Roman" w:hAnsi="Arial" w:cs="Arial"/>
                <w:sz w:val="16"/>
                <w:szCs w:val="16"/>
                <w:lang w:val="en-US" w:eastAsia="en-GB"/>
              </w:rPr>
              <w:t>being used</w:t>
            </w:r>
            <w:proofErr w:type="gramEnd"/>
            <w:r w:rsidRPr="00330249">
              <w:rPr>
                <w:rFonts w:ascii="Arial" w:eastAsia="Times New Roman" w:hAnsi="Arial" w:cs="Arial"/>
                <w:sz w:val="16"/>
                <w:szCs w:val="16"/>
                <w:lang w:val="en-US" w:eastAsia="en-GB"/>
              </w:rPr>
              <w:t xml:space="preserve"> to clean the patient falls to the floor. The healthcare worker picks it up and continues using it to provide intimate care.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2.80</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1.77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1.45*</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41</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draws blood from a vein in a patient’s foot, which </w:t>
            </w:r>
            <w:proofErr w:type="gramStart"/>
            <w:r w:rsidRPr="00330249">
              <w:rPr>
                <w:rFonts w:ascii="Arial" w:eastAsia="Times New Roman" w:hAnsi="Arial" w:cs="Arial"/>
                <w:sz w:val="16"/>
                <w:szCs w:val="16"/>
                <w:lang w:val="en-US" w:eastAsia="en-GB"/>
              </w:rPr>
              <w:t>is visibly soiled</w:t>
            </w:r>
            <w:proofErr w:type="gramEnd"/>
            <w:r w:rsidRPr="00330249">
              <w:rPr>
                <w:rFonts w:ascii="Arial" w:eastAsia="Times New Roman" w:hAnsi="Arial" w:cs="Arial"/>
                <w:sz w:val="16"/>
                <w:szCs w:val="16"/>
                <w:lang w:val="en-US" w:eastAsia="en-GB"/>
              </w:rPr>
              <w:t xml:space="preserve">, without prior skin disinfection.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2.43</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2.13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intact skin</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42</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Disinfected skin is touched several times with non-sterile gloves (to locate anatomic structures), before inserting a central venous catheter.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2.91</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2.89</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intact skin</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43</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Prior to inserting a peripheral line, a healthcare worker uses her bare hands (that </w:t>
            </w:r>
            <w:proofErr w:type="gramStart"/>
            <w:r w:rsidRPr="00330249">
              <w:rPr>
                <w:rFonts w:ascii="Arial" w:eastAsia="Times New Roman" w:hAnsi="Arial" w:cs="Arial"/>
                <w:sz w:val="16"/>
                <w:szCs w:val="16"/>
                <w:lang w:val="en-US" w:eastAsia="en-GB"/>
              </w:rPr>
              <w:t>had not been immediately disinfected</w:t>
            </w:r>
            <w:proofErr w:type="gramEnd"/>
            <w:r w:rsidRPr="00330249">
              <w:rPr>
                <w:rFonts w:ascii="Arial" w:eastAsia="Times New Roman" w:hAnsi="Arial" w:cs="Arial"/>
                <w:sz w:val="16"/>
                <w:szCs w:val="16"/>
                <w:lang w:val="en-US" w:eastAsia="en-GB"/>
              </w:rPr>
              <w:t xml:space="preserve">) to palpate the patient’s vein after the insertion site had already been disinfected.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2.61*</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intact skin</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90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lastRenderedPageBreak/>
              <w:t>44</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touches the insertion site (already disinfected) of thoracic tubes with non-sterile gloves that had already been worn for an extended </w:t>
            </w:r>
            <w:proofErr w:type="gramStart"/>
            <w:r w:rsidRPr="00330249">
              <w:rPr>
                <w:rFonts w:ascii="Arial" w:eastAsia="Times New Roman" w:hAnsi="Arial" w:cs="Arial"/>
                <w:sz w:val="16"/>
                <w:szCs w:val="16"/>
                <w:lang w:val="en-US" w:eastAsia="en-GB"/>
              </w:rPr>
              <w:t>period of time</w:t>
            </w:r>
            <w:proofErr w:type="gramEnd"/>
            <w:r w:rsidRPr="00330249">
              <w:rPr>
                <w:rFonts w:ascii="Arial" w:eastAsia="Times New Roman" w:hAnsi="Arial" w:cs="Arial"/>
                <w:sz w:val="16"/>
                <w:szCs w:val="16"/>
                <w:lang w:val="en-US" w:eastAsia="en-GB"/>
              </w:rPr>
              <w:t xml:space="preserve"> touching multiple surfaces, and adjusts the position of the tubes.</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3.54</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3.06*</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45</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urinary catheter tip is touched with non-sterile disposable examination gloves prior to inserting a urinary catheter.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3.06</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2.82</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46</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Just before inserting a peripheral venous catheter (PVC), the needle </w:t>
            </w:r>
            <w:proofErr w:type="gramStart"/>
            <w:r w:rsidRPr="00330249">
              <w:rPr>
                <w:rFonts w:ascii="Arial" w:eastAsia="Times New Roman" w:hAnsi="Arial" w:cs="Arial"/>
                <w:sz w:val="16"/>
                <w:szCs w:val="16"/>
                <w:lang w:val="en-US" w:eastAsia="en-GB"/>
              </w:rPr>
              <w:t>comes into contact with</w:t>
            </w:r>
            <w:proofErr w:type="gramEnd"/>
            <w:r w:rsidRPr="00330249">
              <w:rPr>
                <w:rFonts w:ascii="Arial" w:eastAsia="Times New Roman" w:hAnsi="Arial" w:cs="Arial"/>
                <w:sz w:val="16"/>
                <w:szCs w:val="16"/>
                <w:lang w:val="en-US" w:eastAsia="en-GB"/>
              </w:rPr>
              <w:t xml:space="preserve"> non-sterile disposable examination gloves.</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2.88*</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47</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While inserting a peripheral venous catheter, the same needle </w:t>
            </w:r>
            <w:proofErr w:type="gramStart"/>
            <w:r w:rsidRPr="00330249">
              <w:rPr>
                <w:rFonts w:ascii="Arial" w:eastAsia="Times New Roman" w:hAnsi="Arial" w:cs="Arial"/>
                <w:sz w:val="16"/>
                <w:szCs w:val="16"/>
                <w:lang w:val="en-US" w:eastAsia="en-GB"/>
              </w:rPr>
              <w:t>is retracted and re-inserted several times at slightly different skin sites in search of the vein</w:t>
            </w:r>
            <w:proofErr w:type="gramEnd"/>
            <w:r w:rsidRPr="00330249">
              <w:rPr>
                <w:rFonts w:ascii="Arial" w:eastAsia="Times New Roman" w:hAnsi="Arial" w:cs="Arial"/>
                <w:sz w:val="16"/>
                <w:szCs w:val="16"/>
                <w:lang w:val="en-US" w:eastAsia="en-GB"/>
              </w:rPr>
              <w:t xml:space="preserve">.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2.57</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Patient intact skin</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450"/>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48</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An open wound is not completely covered by the wound dressing and in consequence, </w:t>
            </w:r>
            <w:proofErr w:type="gramStart"/>
            <w:r w:rsidRPr="00330249">
              <w:rPr>
                <w:rFonts w:ascii="Arial" w:eastAsia="Times New Roman" w:hAnsi="Arial" w:cs="Arial"/>
                <w:sz w:val="16"/>
                <w:szCs w:val="16"/>
                <w:lang w:val="en-US" w:eastAsia="en-GB"/>
              </w:rPr>
              <w:t>comes into contact with</w:t>
            </w:r>
            <w:proofErr w:type="gramEnd"/>
            <w:r w:rsidRPr="00330249">
              <w:rPr>
                <w:rFonts w:ascii="Arial" w:eastAsia="Times New Roman" w:hAnsi="Arial" w:cs="Arial"/>
                <w:sz w:val="16"/>
                <w:szCs w:val="16"/>
                <w:lang w:val="en-US" w:eastAsia="en-GB"/>
              </w:rPr>
              <w:t xml:space="preserve"> bed linens.</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3.03</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3.18*</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2.70*</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Mobile object</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49</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wearing </w:t>
            </w:r>
            <w:proofErr w:type="gramStart"/>
            <w:r w:rsidRPr="00330249">
              <w:rPr>
                <w:rFonts w:ascii="Arial" w:eastAsia="Times New Roman" w:hAnsi="Arial" w:cs="Arial"/>
                <w:sz w:val="16"/>
                <w:szCs w:val="16"/>
                <w:lang w:val="en-US" w:eastAsia="en-GB"/>
              </w:rPr>
              <w:t>blood-stained</w:t>
            </w:r>
            <w:proofErr w:type="gramEnd"/>
            <w:r w:rsidRPr="00330249">
              <w:rPr>
                <w:rFonts w:ascii="Arial" w:eastAsia="Times New Roman" w:hAnsi="Arial" w:cs="Arial"/>
                <w:sz w:val="16"/>
                <w:szCs w:val="16"/>
                <w:lang w:val="en-US" w:eastAsia="en-GB"/>
              </w:rPr>
              <w:t>, non-sterile disposable examination gloves manipulates a three-way hub of a patient’s central vascular line. (Blood is from the same patient)</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3.49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3.31</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3.00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2.80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2.63</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Gloves</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112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50</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prepares to replace a mechanical ventilation tube filter. The healthcare worker opens the new sterile filter with non-sterile disposable examination gloves, places the new filter on the patient’s bed, removes the old filter, then picks up the new filter from the bed and attaches it to the ventilation tube.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2.97*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2.45*</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Environment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Invasive device</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51</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wearing long-sleeved private clothing attends to several patients consecutively. The sleeves of his private clothing </w:t>
            </w:r>
            <w:proofErr w:type="gramStart"/>
            <w:r w:rsidRPr="00330249">
              <w:rPr>
                <w:rFonts w:ascii="Arial" w:eastAsia="Times New Roman" w:hAnsi="Arial" w:cs="Arial"/>
                <w:sz w:val="16"/>
                <w:szCs w:val="16"/>
                <w:lang w:val="en-US" w:eastAsia="en-GB"/>
              </w:rPr>
              <w:t>come into contact with</w:t>
            </w:r>
            <w:proofErr w:type="gramEnd"/>
            <w:r w:rsidRPr="00330249">
              <w:rPr>
                <w:rFonts w:ascii="Arial" w:eastAsia="Times New Roman" w:hAnsi="Arial" w:cs="Arial"/>
                <w:sz w:val="16"/>
                <w:szCs w:val="16"/>
                <w:lang w:val="en-US" w:eastAsia="en-GB"/>
              </w:rPr>
              <w:t xml:space="preserve"> several patients. </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2.69</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1.57</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1.45*</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2.30</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1.45*</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Healthcare worker</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r w:rsidR="007F3B39" w:rsidRPr="00330249" w:rsidTr="00AA292D">
        <w:trPr>
          <w:trHeight w:val="675"/>
        </w:trPr>
        <w:tc>
          <w:tcPr>
            <w:tcW w:w="394" w:type="dxa"/>
            <w:tcBorders>
              <w:right w:val="nil"/>
            </w:tcBorders>
            <w:shd w:val="clear" w:color="auto" w:fill="auto"/>
            <w:noWrap/>
            <w:tcMar>
              <w:left w:w="0" w:type="dxa"/>
              <w:right w:w="0" w:type="dxa"/>
            </w:tcMar>
            <w:vAlign w:val="center"/>
            <w:hideMark/>
          </w:tcPr>
          <w:p w:rsidR="007F3B39" w:rsidRPr="00330249" w:rsidRDefault="007F3B39" w:rsidP="00AA292D">
            <w:pPr>
              <w:keepNext/>
              <w:keepLines/>
              <w:spacing w:before="0" w:line="240" w:lineRule="auto"/>
              <w:jc w:val="center"/>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52</w:t>
            </w:r>
          </w:p>
        </w:tc>
        <w:tc>
          <w:tcPr>
            <w:tcW w:w="2725" w:type="dxa"/>
            <w:tcBorders>
              <w:left w:val="nil"/>
              <w:right w:val="nil"/>
            </w:tcBorders>
            <w:shd w:val="clear" w:color="auto" w:fill="auto"/>
            <w:tcMar>
              <w:left w:w="0" w:type="dxa"/>
              <w:right w:w="0" w:type="dxa"/>
            </w:tcMar>
            <w:vAlign w:val="center"/>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 xml:space="preserve">A healthcare worker wearing a long-sleeved white coat attends to several patients consecutively. The sleeves of his white coat </w:t>
            </w:r>
            <w:proofErr w:type="gramStart"/>
            <w:r w:rsidRPr="00330249">
              <w:rPr>
                <w:rFonts w:ascii="Arial" w:eastAsia="Times New Roman" w:hAnsi="Arial" w:cs="Arial"/>
                <w:sz w:val="16"/>
                <w:szCs w:val="16"/>
                <w:lang w:val="en-US" w:eastAsia="en-GB"/>
              </w:rPr>
              <w:t>come into contact with</w:t>
            </w:r>
            <w:proofErr w:type="gramEnd"/>
            <w:r w:rsidRPr="00330249">
              <w:rPr>
                <w:rFonts w:ascii="Arial" w:eastAsia="Times New Roman" w:hAnsi="Arial" w:cs="Arial"/>
                <w:sz w:val="16"/>
                <w:szCs w:val="16"/>
                <w:lang w:val="en-US" w:eastAsia="en-GB"/>
              </w:rPr>
              <w:t xml:space="preserve"> several patients.</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2.57</w:t>
            </w:r>
          </w:p>
        </w:tc>
        <w:tc>
          <w:tcPr>
            <w:tcW w:w="425"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1.63</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1.36*</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2.64*</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1.36*</w:t>
            </w:r>
          </w:p>
        </w:tc>
        <w:tc>
          <w:tcPr>
            <w:tcW w:w="426"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567"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yes</w:t>
            </w:r>
          </w:p>
        </w:tc>
        <w:tc>
          <w:tcPr>
            <w:tcW w:w="708"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Other patient</w:t>
            </w:r>
          </w:p>
        </w:tc>
        <w:tc>
          <w:tcPr>
            <w:tcW w:w="709" w:type="dxa"/>
            <w:tcBorders>
              <w:left w:val="nil"/>
              <w:righ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Healthcare worker</w:t>
            </w:r>
          </w:p>
        </w:tc>
        <w:tc>
          <w:tcPr>
            <w:tcW w:w="851" w:type="dxa"/>
            <w:tcBorders>
              <w:left w:val="nil"/>
            </w:tcBorders>
            <w:shd w:val="clear" w:color="auto" w:fill="auto"/>
            <w:noWrap/>
            <w:tcMar>
              <w:left w:w="0" w:type="dxa"/>
              <w:right w:w="0" w:type="dxa"/>
            </w:tcMar>
            <w:vAlign w:val="bottom"/>
            <w:hideMark/>
          </w:tcPr>
          <w:p w:rsidR="007F3B39" w:rsidRPr="00330249" w:rsidRDefault="007F3B39" w:rsidP="00AA292D">
            <w:pPr>
              <w:keepNext/>
              <w:keepLines/>
              <w:spacing w:before="0" w:line="240" w:lineRule="auto"/>
              <w:outlineLvl w:val="5"/>
              <w:rPr>
                <w:rFonts w:ascii="Arial" w:eastAsia="Times New Roman" w:hAnsi="Arial" w:cs="Arial"/>
                <w:sz w:val="16"/>
                <w:szCs w:val="16"/>
                <w:lang w:val="en-US" w:eastAsia="en-GB"/>
              </w:rPr>
            </w:pPr>
            <w:r w:rsidRPr="00330249">
              <w:rPr>
                <w:rFonts w:ascii="Arial" w:eastAsia="Times New Roman" w:hAnsi="Arial" w:cs="Arial"/>
                <w:sz w:val="16"/>
                <w:szCs w:val="16"/>
                <w:lang w:val="en-US" w:eastAsia="en-GB"/>
              </w:rPr>
              <w:t>Non-critical site</w:t>
            </w:r>
          </w:p>
        </w:tc>
      </w:tr>
    </w:tbl>
    <w:p w:rsidR="00A56360" w:rsidRDefault="007F3B39" w:rsidP="007F3B39">
      <w:r w:rsidRPr="00330249">
        <w:rPr>
          <w:b/>
          <w:lang w:val="en-US"/>
        </w:rPr>
        <w:t>Legend Appendix 1:</w:t>
      </w:r>
      <w:r w:rsidRPr="00330249">
        <w:rPr>
          <w:lang w:val="en-US"/>
        </w:rPr>
        <w:t xml:space="preserve"> Expert ratings for all three Delphi survey rounds indicating the likelihood of negative outcomes, </w:t>
      </w:r>
      <w:r>
        <w:rPr>
          <w:lang w:val="en-US"/>
        </w:rPr>
        <w:t>coloniz</w:t>
      </w:r>
      <w:r w:rsidRPr="00330249">
        <w:rPr>
          <w:lang w:val="en-US"/>
        </w:rPr>
        <w:t>ation (col.) and infection (inf.), using a Likert-type scale from 0 (none), 1 (very low), 2 (low), 3 (medium), 4 (high), to 5 (very high).</w:t>
      </w:r>
    </w:p>
    <w:sectPr w:rsidR="00A563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87F"/>
    <w:multiLevelType w:val="hybridMultilevel"/>
    <w:tmpl w:val="89F01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B641A"/>
    <w:multiLevelType w:val="hybridMultilevel"/>
    <w:tmpl w:val="D50855FA"/>
    <w:lvl w:ilvl="0" w:tplc="A78C49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52BF"/>
    <w:multiLevelType w:val="hybridMultilevel"/>
    <w:tmpl w:val="9C56F460"/>
    <w:lvl w:ilvl="0" w:tplc="3C54C47E">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DA0723"/>
    <w:multiLevelType w:val="hybridMultilevel"/>
    <w:tmpl w:val="ADC4C22C"/>
    <w:lvl w:ilvl="0" w:tplc="769E0B6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B20442"/>
    <w:multiLevelType w:val="hybridMultilevel"/>
    <w:tmpl w:val="1FF69A2A"/>
    <w:lvl w:ilvl="0" w:tplc="DFCA025E">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A86322"/>
    <w:multiLevelType w:val="hybridMultilevel"/>
    <w:tmpl w:val="CFFC711C"/>
    <w:lvl w:ilvl="0" w:tplc="EA4C06EC">
      <w:start w:val="2"/>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EB6F3F"/>
    <w:multiLevelType w:val="hybridMultilevel"/>
    <w:tmpl w:val="8C38C2D2"/>
    <w:lvl w:ilvl="0" w:tplc="FD38D70C">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275EB"/>
    <w:multiLevelType w:val="hybridMultilevel"/>
    <w:tmpl w:val="1D90A5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BC55070"/>
    <w:multiLevelType w:val="hybridMultilevel"/>
    <w:tmpl w:val="56C2BE16"/>
    <w:lvl w:ilvl="0" w:tplc="08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8109B"/>
    <w:multiLevelType w:val="hybridMultilevel"/>
    <w:tmpl w:val="9E082094"/>
    <w:lvl w:ilvl="0" w:tplc="BC5A481A">
      <w:start w:val="1"/>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C012B6A"/>
    <w:multiLevelType w:val="hybridMultilevel"/>
    <w:tmpl w:val="0D90C4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C605AB"/>
    <w:multiLevelType w:val="hybridMultilevel"/>
    <w:tmpl w:val="3762324C"/>
    <w:lvl w:ilvl="0" w:tplc="EA4C06EC">
      <w:start w:val="2"/>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2E470AF"/>
    <w:multiLevelType w:val="hybridMultilevel"/>
    <w:tmpl w:val="8C62FE10"/>
    <w:lvl w:ilvl="0" w:tplc="A78C49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20F18"/>
    <w:multiLevelType w:val="hybridMultilevel"/>
    <w:tmpl w:val="97D2D86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4C0A73C5"/>
    <w:multiLevelType w:val="hybridMultilevel"/>
    <w:tmpl w:val="56321E5C"/>
    <w:lvl w:ilvl="0" w:tplc="25686760">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0C2699C"/>
    <w:multiLevelType w:val="hybridMultilevel"/>
    <w:tmpl w:val="9612C4C4"/>
    <w:lvl w:ilvl="0" w:tplc="08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917AE"/>
    <w:multiLevelType w:val="hybridMultilevel"/>
    <w:tmpl w:val="837EEE7E"/>
    <w:lvl w:ilvl="0" w:tplc="01243A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54619B0"/>
    <w:multiLevelType w:val="hybridMultilevel"/>
    <w:tmpl w:val="7878065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57214418"/>
    <w:multiLevelType w:val="hybridMultilevel"/>
    <w:tmpl w:val="D660D372"/>
    <w:lvl w:ilvl="0" w:tplc="EA4C06EC">
      <w:start w:val="55"/>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D5C6624"/>
    <w:multiLevelType w:val="hybridMultilevel"/>
    <w:tmpl w:val="58EE160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6426521A"/>
    <w:multiLevelType w:val="hybridMultilevel"/>
    <w:tmpl w:val="F2EAC4CE"/>
    <w:lvl w:ilvl="0" w:tplc="EA4C06EC">
      <w:start w:val="2"/>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46A0F30"/>
    <w:multiLevelType w:val="hybridMultilevel"/>
    <w:tmpl w:val="7A020A60"/>
    <w:lvl w:ilvl="0" w:tplc="08070011">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5431B11"/>
    <w:multiLevelType w:val="hybridMultilevel"/>
    <w:tmpl w:val="2DC2C984"/>
    <w:lvl w:ilvl="0" w:tplc="79F8C092">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55D5CA1"/>
    <w:multiLevelType w:val="hybridMultilevel"/>
    <w:tmpl w:val="65FA83CC"/>
    <w:lvl w:ilvl="0" w:tplc="5B5C50F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EE358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2"/>
  </w:num>
  <w:num w:numId="3">
    <w:abstractNumId w:val="21"/>
  </w:num>
  <w:num w:numId="4">
    <w:abstractNumId w:val="14"/>
  </w:num>
  <w:num w:numId="5">
    <w:abstractNumId w:val="3"/>
  </w:num>
  <w:num w:numId="6">
    <w:abstractNumId w:val="2"/>
  </w:num>
  <w:num w:numId="7">
    <w:abstractNumId w:val="4"/>
  </w:num>
  <w:num w:numId="8">
    <w:abstractNumId w:val="7"/>
  </w:num>
  <w:num w:numId="9">
    <w:abstractNumId w:val="16"/>
  </w:num>
  <w:num w:numId="10">
    <w:abstractNumId w:val="24"/>
  </w:num>
  <w:num w:numId="11">
    <w:abstractNumId w:val="9"/>
  </w:num>
  <w:num w:numId="12">
    <w:abstractNumId w:val="20"/>
  </w:num>
  <w:num w:numId="13">
    <w:abstractNumId w:val="5"/>
  </w:num>
  <w:num w:numId="14">
    <w:abstractNumId w:val="11"/>
  </w:num>
  <w:num w:numId="15">
    <w:abstractNumId w:val="18"/>
  </w:num>
  <w:num w:numId="16">
    <w:abstractNumId w:val="17"/>
  </w:num>
  <w:num w:numId="17">
    <w:abstractNumId w:val="19"/>
  </w:num>
  <w:num w:numId="18">
    <w:abstractNumId w:val="6"/>
  </w:num>
  <w:num w:numId="19">
    <w:abstractNumId w:val="0"/>
  </w:num>
  <w:num w:numId="20">
    <w:abstractNumId w:val="1"/>
  </w:num>
  <w:num w:numId="21">
    <w:abstractNumId w:val="12"/>
  </w:num>
  <w:num w:numId="22">
    <w:abstractNumId w:val="10"/>
  </w:num>
  <w:num w:numId="23">
    <w:abstractNumId w:val="23"/>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39"/>
    <w:rsid w:val="00240F6A"/>
    <w:rsid w:val="005234B6"/>
    <w:rsid w:val="007F3B39"/>
    <w:rsid w:val="00A56360"/>
    <w:rsid w:val="00C505F0"/>
    <w:rsid w:val="00C649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455E6-8ACD-4332-9501-59CEBDFA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39"/>
    <w:pPr>
      <w:spacing w:before="240" w:after="0" w:line="480" w:lineRule="auto"/>
    </w:pPr>
    <w:rPr>
      <w:rFonts w:ascii="Times New Roman" w:hAnsi="Times New Roman" w:cs="Times New Roman"/>
      <w:szCs w:val="24"/>
      <w:lang w:val="en-GB"/>
    </w:rPr>
  </w:style>
  <w:style w:type="paragraph" w:styleId="Heading1">
    <w:name w:val="heading 1"/>
    <w:basedOn w:val="ListParagraph"/>
    <w:next w:val="Normal"/>
    <w:link w:val="Heading1Char"/>
    <w:uiPriority w:val="9"/>
    <w:qFormat/>
    <w:rsid w:val="007F3B39"/>
    <w:pPr>
      <w:numPr>
        <w:numId w:val="0"/>
      </w:numPr>
      <w:ind w:left="284" w:hanging="284"/>
      <w:outlineLvl w:val="0"/>
    </w:pPr>
    <w:rPr>
      <w:b/>
      <w:caps/>
    </w:rPr>
  </w:style>
  <w:style w:type="paragraph" w:styleId="Heading2">
    <w:name w:val="heading 2"/>
    <w:basedOn w:val="Normal"/>
    <w:next w:val="Normal"/>
    <w:link w:val="Heading2Char"/>
    <w:uiPriority w:val="9"/>
    <w:unhideWhenUsed/>
    <w:qFormat/>
    <w:rsid w:val="007F3B3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F3B39"/>
    <w:pPr>
      <w:outlineLvl w:val="2"/>
    </w:pPr>
    <w:rPr>
      <w:i/>
    </w:rPr>
  </w:style>
  <w:style w:type="paragraph" w:styleId="Heading4">
    <w:name w:val="heading 4"/>
    <w:basedOn w:val="Normal"/>
    <w:next w:val="Normal"/>
    <w:link w:val="Heading4Char"/>
    <w:uiPriority w:val="9"/>
    <w:unhideWhenUsed/>
    <w:rsid w:val="007F3B39"/>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rsid w:val="007F3B39"/>
    <w:pPr>
      <w:keepNext/>
      <w:keepLines/>
      <w:spacing w:before="200"/>
      <w:outlineLvl w:val="4"/>
    </w:pPr>
    <w:rPr>
      <w:rFonts w:eastAsiaTheme="majorEastAsia" w:cstheme="majorBidi"/>
      <w:b/>
    </w:rPr>
  </w:style>
  <w:style w:type="paragraph" w:styleId="Heading6">
    <w:name w:val="heading 6"/>
    <w:basedOn w:val="Normal"/>
    <w:next w:val="Normal"/>
    <w:link w:val="Heading6Char"/>
    <w:uiPriority w:val="9"/>
    <w:semiHidden/>
    <w:unhideWhenUsed/>
    <w:rsid w:val="007F3B39"/>
    <w:pPr>
      <w:keepNext/>
      <w:keepLines/>
      <w:spacing w:before="200"/>
      <w:outlineLvl w:val="5"/>
    </w:pPr>
    <w:rPr>
      <w:rFonts w:eastAsiaTheme="majorEastAsia" w:cstheme="majorBidi"/>
      <w:b/>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B39"/>
    <w:rPr>
      <w:rFonts w:ascii="Times New Roman" w:hAnsi="Times New Roman" w:cs="Times New Roman"/>
      <w:b/>
      <w:caps/>
      <w:szCs w:val="24"/>
      <w:lang w:val="en-GB"/>
    </w:rPr>
  </w:style>
  <w:style w:type="character" w:customStyle="1" w:styleId="Heading2Char">
    <w:name w:val="Heading 2 Char"/>
    <w:basedOn w:val="DefaultParagraphFont"/>
    <w:link w:val="Heading2"/>
    <w:uiPriority w:val="9"/>
    <w:rsid w:val="007F3B39"/>
    <w:rPr>
      <w:rFonts w:ascii="Times New Roman" w:eastAsiaTheme="majorEastAsia" w:hAnsi="Times New Roman" w:cstheme="majorBidi"/>
      <w:b/>
      <w:bCs/>
      <w:szCs w:val="26"/>
      <w:lang w:val="en-GB"/>
    </w:rPr>
  </w:style>
  <w:style w:type="character" w:customStyle="1" w:styleId="Heading3Char">
    <w:name w:val="Heading 3 Char"/>
    <w:basedOn w:val="DefaultParagraphFont"/>
    <w:link w:val="Heading3"/>
    <w:uiPriority w:val="9"/>
    <w:rsid w:val="007F3B39"/>
    <w:rPr>
      <w:rFonts w:ascii="Times New Roman" w:hAnsi="Times New Roman" w:cs="Times New Roman"/>
      <w:i/>
      <w:szCs w:val="24"/>
      <w:lang w:val="en-GB"/>
    </w:rPr>
  </w:style>
  <w:style w:type="character" w:customStyle="1" w:styleId="Heading4Char">
    <w:name w:val="Heading 4 Char"/>
    <w:basedOn w:val="DefaultParagraphFont"/>
    <w:link w:val="Heading4"/>
    <w:uiPriority w:val="9"/>
    <w:rsid w:val="007F3B39"/>
    <w:rPr>
      <w:rFonts w:ascii="Times New Roman" w:eastAsiaTheme="majorEastAsia" w:hAnsi="Times New Roman" w:cstheme="majorBidi"/>
      <w:b/>
      <w:bCs/>
      <w:iCs/>
      <w:szCs w:val="24"/>
      <w:lang w:val="en-GB"/>
    </w:rPr>
  </w:style>
  <w:style w:type="character" w:customStyle="1" w:styleId="Heading5Char">
    <w:name w:val="Heading 5 Char"/>
    <w:basedOn w:val="DefaultParagraphFont"/>
    <w:link w:val="Heading5"/>
    <w:uiPriority w:val="9"/>
    <w:rsid w:val="007F3B39"/>
    <w:rPr>
      <w:rFonts w:ascii="Times New Roman" w:eastAsiaTheme="majorEastAsia" w:hAnsi="Times New Roman" w:cstheme="majorBidi"/>
      <w:b/>
      <w:szCs w:val="24"/>
      <w:lang w:val="en-GB"/>
    </w:rPr>
  </w:style>
  <w:style w:type="character" w:customStyle="1" w:styleId="Heading6Char">
    <w:name w:val="Heading 6 Char"/>
    <w:basedOn w:val="DefaultParagraphFont"/>
    <w:link w:val="Heading6"/>
    <w:uiPriority w:val="9"/>
    <w:semiHidden/>
    <w:rsid w:val="007F3B39"/>
    <w:rPr>
      <w:rFonts w:ascii="Times New Roman" w:eastAsiaTheme="majorEastAsia" w:hAnsi="Times New Roman" w:cstheme="majorBidi"/>
      <w:b/>
      <w:iCs/>
      <w:color w:val="1F4D78" w:themeColor="accent1" w:themeShade="7F"/>
      <w:szCs w:val="24"/>
      <w:lang w:val="en-GB"/>
    </w:rPr>
  </w:style>
  <w:style w:type="paragraph" w:styleId="ListParagraph">
    <w:name w:val="List Paragraph"/>
    <w:basedOn w:val="Normal"/>
    <w:link w:val="ListParagraphChar"/>
    <w:uiPriority w:val="34"/>
    <w:qFormat/>
    <w:rsid w:val="007F3B39"/>
    <w:pPr>
      <w:numPr>
        <w:numId w:val="2"/>
      </w:numPr>
      <w:ind w:left="357" w:hanging="357"/>
      <w:contextualSpacing/>
    </w:pPr>
  </w:style>
  <w:style w:type="character" w:customStyle="1" w:styleId="ListParagraphChar">
    <w:name w:val="List Paragraph Char"/>
    <w:basedOn w:val="DefaultParagraphFont"/>
    <w:link w:val="ListParagraph"/>
    <w:uiPriority w:val="34"/>
    <w:rsid w:val="007F3B39"/>
    <w:rPr>
      <w:rFonts w:ascii="Times New Roman" w:hAnsi="Times New Roman" w:cs="Times New Roman"/>
      <w:szCs w:val="24"/>
      <w:lang w:val="en-GB"/>
    </w:rPr>
  </w:style>
  <w:style w:type="paragraph" w:styleId="Title">
    <w:name w:val="Title"/>
    <w:basedOn w:val="Normal"/>
    <w:next w:val="Normal"/>
    <w:link w:val="TitleChar"/>
    <w:uiPriority w:val="10"/>
    <w:qFormat/>
    <w:rsid w:val="007F3B39"/>
    <w:pPr>
      <w:contextualSpacing/>
    </w:pPr>
    <w:rPr>
      <w:rFonts w:eastAsiaTheme="majorEastAsia"/>
      <w:b/>
      <w:spacing w:val="5"/>
      <w:kern w:val="28"/>
      <w:szCs w:val="52"/>
    </w:rPr>
  </w:style>
  <w:style w:type="character" w:customStyle="1" w:styleId="TitleChar">
    <w:name w:val="Title Char"/>
    <w:basedOn w:val="DefaultParagraphFont"/>
    <w:link w:val="Title"/>
    <w:uiPriority w:val="10"/>
    <w:rsid w:val="007F3B39"/>
    <w:rPr>
      <w:rFonts w:ascii="Times New Roman" w:eastAsiaTheme="majorEastAsia" w:hAnsi="Times New Roman" w:cs="Times New Roman"/>
      <w:b/>
      <w:spacing w:val="5"/>
      <w:kern w:val="28"/>
      <w:szCs w:val="52"/>
      <w:lang w:val="en-GB"/>
    </w:rPr>
  </w:style>
  <w:style w:type="paragraph" w:styleId="Subtitle">
    <w:name w:val="Subtitle"/>
    <w:basedOn w:val="Normal"/>
    <w:next w:val="Normal"/>
    <w:link w:val="SubtitleChar"/>
    <w:uiPriority w:val="11"/>
    <w:rsid w:val="007F3B39"/>
    <w:pPr>
      <w:numPr>
        <w:ilvl w:val="1"/>
      </w:numPr>
    </w:pPr>
    <w:rPr>
      <w:rFonts w:eastAsiaTheme="majorEastAsia" w:cstheme="majorBidi"/>
      <w:b/>
      <w:iCs/>
      <w:spacing w:val="15"/>
      <w:sz w:val="40"/>
    </w:rPr>
  </w:style>
  <w:style w:type="character" w:customStyle="1" w:styleId="SubtitleChar">
    <w:name w:val="Subtitle Char"/>
    <w:basedOn w:val="DefaultParagraphFont"/>
    <w:link w:val="Subtitle"/>
    <w:uiPriority w:val="11"/>
    <w:rsid w:val="007F3B39"/>
    <w:rPr>
      <w:rFonts w:ascii="Times New Roman" w:eastAsiaTheme="majorEastAsia" w:hAnsi="Times New Roman" w:cstheme="majorBidi"/>
      <w:b/>
      <w:iCs/>
      <w:spacing w:val="15"/>
      <w:sz w:val="40"/>
      <w:szCs w:val="24"/>
      <w:lang w:val="en-GB"/>
    </w:rPr>
  </w:style>
  <w:style w:type="paragraph" w:customStyle="1" w:styleId="EndNoteBibliographyTitle">
    <w:name w:val="EndNote Bibliography Title"/>
    <w:basedOn w:val="Normal"/>
    <w:link w:val="EndNoteBibliographyTitleChar"/>
    <w:rsid w:val="007F3B39"/>
    <w:pPr>
      <w:jc w:val="center"/>
    </w:pPr>
    <w:rPr>
      <w:rFonts w:ascii="Arial" w:hAnsi="Arial" w:cs="Arial"/>
      <w:noProof/>
      <w:sz w:val="20"/>
      <w:lang w:val="en-US"/>
    </w:rPr>
  </w:style>
  <w:style w:type="character" w:customStyle="1" w:styleId="EndNoteBibliographyTitleChar">
    <w:name w:val="EndNote Bibliography Title Char"/>
    <w:basedOn w:val="DefaultParagraphFont"/>
    <w:link w:val="EndNoteBibliographyTitle"/>
    <w:rsid w:val="007F3B39"/>
    <w:rPr>
      <w:rFonts w:ascii="Arial" w:hAnsi="Arial" w:cs="Arial"/>
      <w:noProof/>
      <w:sz w:val="20"/>
      <w:szCs w:val="24"/>
      <w:lang w:val="en-US"/>
    </w:rPr>
  </w:style>
  <w:style w:type="paragraph" w:customStyle="1" w:styleId="EndNoteBibliography">
    <w:name w:val="EndNote Bibliography"/>
    <w:basedOn w:val="Normal"/>
    <w:link w:val="EndNoteBibliographyChar"/>
    <w:rsid w:val="007F3B39"/>
    <w:pPr>
      <w:spacing w:line="240" w:lineRule="auto"/>
    </w:pPr>
    <w:rPr>
      <w:rFonts w:ascii="Arial" w:hAnsi="Arial" w:cs="Arial"/>
      <w:noProof/>
      <w:sz w:val="20"/>
      <w:lang w:val="en-US"/>
    </w:rPr>
  </w:style>
  <w:style w:type="character" w:customStyle="1" w:styleId="EndNoteBibliographyChar">
    <w:name w:val="EndNote Bibliography Char"/>
    <w:basedOn w:val="DefaultParagraphFont"/>
    <w:link w:val="EndNoteBibliography"/>
    <w:rsid w:val="007F3B39"/>
    <w:rPr>
      <w:rFonts w:ascii="Arial" w:hAnsi="Arial" w:cs="Arial"/>
      <w:noProof/>
      <w:sz w:val="20"/>
      <w:szCs w:val="24"/>
      <w:lang w:val="en-US"/>
    </w:rPr>
  </w:style>
  <w:style w:type="character" w:styleId="CommentReference">
    <w:name w:val="annotation reference"/>
    <w:basedOn w:val="DefaultParagraphFont"/>
    <w:uiPriority w:val="99"/>
    <w:semiHidden/>
    <w:unhideWhenUsed/>
    <w:rsid w:val="007F3B39"/>
    <w:rPr>
      <w:sz w:val="18"/>
      <w:szCs w:val="18"/>
    </w:rPr>
  </w:style>
  <w:style w:type="paragraph" w:styleId="CommentText">
    <w:name w:val="annotation text"/>
    <w:basedOn w:val="Normal"/>
    <w:link w:val="CommentTextChar"/>
    <w:uiPriority w:val="99"/>
    <w:unhideWhenUsed/>
    <w:rsid w:val="007F3B39"/>
  </w:style>
  <w:style w:type="character" w:customStyle="1" w:styleId="CommentTextChar">
    <w:name w:val="Comment Text Char"/>
    <w:basedOn w:val="DefaultParagraphFont"/>
    <w:link w:val="CommentText"/>
    <w:uiPriority w:val="99"/>
    <w:rsid w:val="007F3B39"/>
    <w:rPr>
      <w:rFonts w:ascii="Times New Roman" w:hAnsi="Times New Roman" w:cs="Times New Roman"/>
      <w:szCs w:val="24"/>
      <w:lang w:val="en-GB"/>
    </w:rPr>
  </w:style>
  <w:style w:type="paragraph" w:styleId="CommentSubject">
    <w:name w:val="annotation subject"/>
    <w:basedOn w:val="CommentText"/>
    <w:next w:val="CommentText"/>
    <w:link w:val="CommentSubjectChar"/>
    <w:uiPriority w:val="99"/>
    <w:semiHidden/>
    <w:unhideWhenUsed/>
    <w:rsid w:val="007F3B39"/>
    <w:rPr>
      <w:b/>
      <w:bCs/>
      <w:sz w:val="20"/>
      <w:szCs w:val="20"/>
    </w:rPr>
  </w:style>
  <w:style w:type="character" w:customStyle="1" w:styleId="CommentSubjectChar">
    <w:name w:val="Comment Subject Char"/>
    <w:basedOn w:val="CommentTextChar"/>
    <w:link w:val="CommentSubject"/>
    <w:uiPriority w:val="99"/>
    <w:semiHidden/>
    <w:rsid w:val="007F3B39"/>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F3B39"/>
    <w:rPr>
      <w:sz w:val="18"/>
      <w:szCs w:val="18"/>
    </w:rPr>
  </w:style>
  <w:style w:type="character" w:customStyle="1" w:styleId="BalloonTextChar">
    <w:name w:val="Balloon Text Char"/>
    <w:basedOn w:val="DefaultParagraphFont"/>
    <w:link w:val="BalloonText"/>
    <w:uiPriority w:val="99"/>
    <w:semiHidden/>
    <w:rsid w:val="007F3B39"/>
    <w:rPr>
      <w:rFonts w:ascii="Times New Roman" w:hAnsi="Times New Roman" w:cs="Times New Roman"/>
      <w:sz w:val="18"/>
      <w:szCs w:val="18"/>
      <w:lang w:val="en-GB"/>
    </w:rPr>
  </w:style>
  <w:style w:type="character" w:styleId="Hyperlink">
    <w:name w:val="Hyperlink"/>
    <w:basedOn w:val="DefaultParagraphFont"/>
    <w:uiPriority w:val="99"/>
    <w:unhideWhenUsed/>
    <w:rsid w:val="007F3B39"/>
    <w:rPr>
      <w:color w:val="0563C1" w:themeColor="hyperlink"/>
      <w:u w:val="single"/>
    </w:rPr>
  </w:style>
  <w:style w:type="paragraph" w:styleId="EndnoteText">
    <w:name w:val="endnote text"/>
    <w:basedOn w:val="Normal"/>
    <w:link w:val="EndnoteTextChar"/>
    <w:uiPriority w:val="99"/>
    <w:semiHidden/>
    <w:unhideWhenUsed/>
    <w:rsid w:val="007F3B39"/>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F3B39"/>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7F3B39"/>
    <w:rPr>
      <w:vertAlign w:val="superscript"/>
    </w:rPr>
  </w:style>
  <w:style w:type="paragraph" w:styleId="Caption">
    <w:name w:val="caption"/>
    <w:basedOn w:val="Normal"/>
    <w:next w:val="Normal"/>
    <w:uiPriority w:val="35"/>
    <w:unhideWhenUsed/>
    <w:qFormat/>
    <w:rsid w:val="007F3B39"/>
    <w:pPr>
      <w:spacing w:before="0" w:after="200" w:line="240" w:lineRule="auto"/>
    </w:pPr>
    <w:rPr>
      <w:i/>
      <w:iCs/>
      <w:color w:val="44546A" w:themeColor="text2"/>
      <w:sz w:val="18"/>
      <w:szCs w:val="18"/>
    </w:rPr>
  </w:style>
  <w:style w:type="table" w:customStyle="1" w:styleId="PlainTable21">
    <w:name w:val="Plain Table 21"/>
    <w:basedOn w:val="TableNormal"/>
    <w:uiPriority w:val="42"/>
    <w:rsid w:val="007F3B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F3B39"/>
    <w:pPr>
      <w:tabs>
        <w:tab w:val="center" w:pos="4536"/>
        <w:tab w:val="right" w:pos="9072"/>
      </w:tabs>
      <w:spacing w:before="0" w:line="240" w:lineRule="auto"/>
    </w:pPr>
  </w:style>
  <w:style w:type="character" w:customStyle="1" w:styleId="HeaderChar">
    <w:name w:val="Header Char"/>
    <w:basedOn w:val="DefaultParagraphFont"/>
    <w:link w:val="Header"/>
    <w:uiPriority w:val="99"/>
    <w:rsid w:val="007F3B39"/>
    <w:rPr>
      <w:rFonts w:ascii="Times New Roman" w:hAnsi="Times New Roman" w:cs="Times New Roman"/>
      <w:szCs w:val="24"/>
      <w:lang w:val="en-GB"/>
    </w:rPr>
  </w:style>
  <w:style w:type="paragraph" w:styleId="Footer">
    <w:name w:val="footer"/>
    <w:basedOn w:val="Normal"/>
    <w:link w:val="FooterChar"/>
    <w:uiPriority w:val="99"/>
    <w:unhideWhenUsed/>
    <w:rsid w:val="007F3B39"/>
    <w:pPr>
      <w:tabs>
        <w:tab w:val="center" w:pos="4536"/>
        <w:tab w:val="right" w:pos="9072"/>
      </w:tabs>
      <w:spacing w:before="0" w:line="240" w:lineRule="auto"/>
    </w:pPr>
  </w:style>
  <w:style w:type="character" w:customStyle="1" w:styleId="FooterChar">
    <w:name w:val="Footer Char"/>
    <w:basedOn w:val="DefaultParagraphFont"/>
    <w:link w:val="Footer"/>
    <w:uiPriority w:val="99"/>
    <w:rsid w:val="007F3B39"/>
    <w:rPr>
      <w:rFonts w:ascii="Times New Roman" w:hAnsi="Times New Roman" w:cs="Times New Roman"/>
      <w:szCs w:val="24"/>
      <w:lang w:val="en-GB"/>
    </w:rPr>
  </w:style>
  <w:style w:type="character" w:styleId="FollowedHyperlink">
    <w:name w:val="FollowedHyperlink"/>
    <w:basedOn w:val="DefaultParagraphFont"/>
    <w:uiPriority w:val="99"/>
    <w:semiHidden/>
    <w:unhideWhenUsed/>
    <w:rsid w:val="007F3B39"/>
    <w:rPr>
      <w:color w:val="954F72" w:themeColor="followedHyperlink"/>
      <w:u w:val="single"/>
    </w:rPr>
  </w:style>
  <w:style w:type="paragraph" w:styleId="Revision">
    <w:name w:val="Revision"/>
    <w:hidden/>
    <w:uiPriority w:val="99"/>
    <w:semiHidden/>
    <w:rsid w:val="007F3B39"/>
    <w:pPr>
      <w:spacing w:after="0" w:line="240" w:lineRule="auto"/>
    </w:pPr>
    <w:rPr>
      <w:rFonts w:ascii="Times New Roman" w:hAnsi="Times New Roman" w:cs="Times New Roman"/>
      <w:szCs w:val="24"/>
      <w:lang w:val="en-GB"/>
    </w:rPr>
  </w:style>
  <w:style w:type="paragraph" w:styleId="DocumentMap">
    <w:name w:val="Document Map"/>
    <w:basedOn w:val="Normal"/>
    <w:link w:val="DocumentMapChar"/>
    <w:uiPriority w:val="99"/>
    <w:semiHidden/>
    <w:unhideWhenUsed/>
    <w:rsid w:val="007F3B39"/>
    <w:pPr>
      <w:spacing w:before="0" w:line="240" w:lineRule="auto"/>
    </w:pPr>
    <w:rPr>
      <w:rFonts w:ascii="Lucida Grande" w:hAnsi="Lucida Grande"/>
      <w:sz w:val="24"/>
    </w:rPr>
  </w:style>
  <w:style w:type="character" w:customStyle="1" w:styleId="DocumentMapChar">
    <w:name w:val="Document Map Char"/>
    <w:basedOn w:val="DefaultParagraphFont"/>
    <w:link w:val="DocumentMap"/>
    <w:uiPriority w:val="99"/>
    <w:semiHidden/>
    <w:rsid w:val="007F3B39"/>
    <w:rPr>
      <w:rFonts w:ascii="Lucida Grande" w:hAnsi="Lucida Grande" w:cs="Times New Roman"/>
      <w:sz w:val="24"/>
      <w:szCs w:val="24"/>
      <w:lang w:val="en-GB"/>
    </w:rPr>
  </w:style>
  <w:style w:type="character" w:styleId="PageNumber">
    <w:name w:val="page number"/>
    <w:basedOn w:val="DefaultParagraphFont"/>
    <w:uiPriority w:val="99"/>
    <w:semiHidden/>
    <w:unhideWhenUsed/>
    <w:rsid w:val="007F3B39"/>
  </w:style>
  <w:style w:type="character" w:styleId="LineNumber">
    <w:name w:val="line number"/>
    <w:basedOn w:val="DefaultParagraphFont"/>
    <w:uiPriority w:val="99"/>
    <w:semiHidden/>
    <w:unhideWhenUsed/>
    <w:rsid w:val="007F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UniversitätsSpital Zürich</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Clack Lauren</dc:creator>
  <cp:keywords/>
  <dc:description/>
  <cp:lastModifiedBy>Clack Lauren</cp:lastModifiedBy>
  <cp:revision>1</cp:revision>
  <dcterms:created xsi:type="dcterms:W3CDTF">2017-12-18T13:53:00Z</dcterms:created>
  <dcterms:modified xsi:type="dcterms:W3CDTF">2017-12-18T13:54:00Z</dcterms:modified>
</cp:coreProperties>
</file>