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AF" w:rsidRPr="00685DE6" w:rsidRDefault="00A00AAF" w:rsidP="00A00AA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685DE6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</w:p>
    <w:p w:rsidR="00A00AAF" w:rsidRPr="00685DE6" w:rsidRDefault="00A00AAF" w:rsidP="00A00AA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AAF" w:rsidRPr="00685DE6" w:rsidRDefault="00A00AAF" w:rsidP="00A00AA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5D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S1. </w:t>
      </w:r>
      <w:r w:rsidRPr="00685DE6">
        <w:rPr>
          <w:rFonts w:ascii="Times New Roman" w:hAnsi="Times New Roman" w:cs="Times New Roman"/>
          <w:sz w:val="24"/>
          <w:szCs w:val="24"/>
          <w:lang w:val="en-US"/>
        </w:rPr>
        <w:t>Intensive Care Unit (ICU) vancomycin-resistant enterococcus (VRE) Action Plan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4343"/>
      </w:tblGrid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Purpose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Meetings with Stakeholders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engender support and commitment from leadership and key stakeholders.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discuss actions required, formulate an action plan, identify potential barriers and monitor progress.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the Director of the Intensive Care Services, Nursing Unit Managers of the ICU areas, Executive representative, Environmental Services Manager, Infection Control Practitioners and Infectious Diseases staff.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increase awareness regarding VRE incidence in the Unit and promote VRE control activities.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sessions for ICU staff providing information regarding VRE incidence, environmental contamination and infection control audits within the ICU.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Cleaning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microbial contamination associated with the environmental reservoir contributing to ongoing VRE transmission.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cleaning inspection “rounds” in the ICU.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and revision of cleaning schedules.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Dedicated cleaning team in ICU for all cleaning including terminal cleaning.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sodium hypochlorite disinfectant for cleaning.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 cleaning for all discharges from ICU.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attention to high-touch surfaces and dedicated cleaning of shared equipment (including ultrasound probes and blood gas analy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er).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cleaning of pan-rooms.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Reduction of clutter in the ICU to facilitate cleaning and reduce contamination of equipment and supplies.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 separation of clean and dirty areas.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Single patient use equipment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transmission associated with shared equipment.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blood pressure cuffs.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hygiene promotion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VRE cross-transmission.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posters with key clinicians from within and outside the ICU to encourage hand hygiene.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Intensification of audits.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feedback of hand hygiene compliance rates in real-time and discussion in Departmental meetings.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Isolation of patients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transmission from VRE patients.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Reinforce adherence to contact precautions for patients coloni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 or infected with VRE.</w:t>
            </w:r>
          </w:p>
        </w:tc>
      </w:tr>
      <w:tr w:rsidR="00A00AAF" w:rsidRPr="00134BCF" w:rsidTr="00685DE6">
        <w:tc>
          <w:tcPr>
            <w:tcW w:w="1696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Antimicrobial Stewardship</w:t>
            </w:r>
          </w:p>
        </w:tc>
        <w:tc>
          <w:tcPr>
            <w:tcW w:w="2977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reduce emergence of resistance associated with inappropriate antibiotics use.</w:t>
            </w:r>
          </w:p>
        </w:tc>
        <w:tc>
          <w:tcPr>
            <w:tcW w:w="4343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glycopeptide and broad-spectrum antibiotic use.</w:t>
            </w: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 of antibiotic use data to ICU clinicians.</w:t>
            </w:r>
          </w:p>
        </w:tc>
      </w:tr>
    </w:tbl>
    <w:p w:rsidR="00A00AAF" w:rsidRPr="00685DE6" w:rsidRDefault="00A00AAF" w:rsidP="00A00AAF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00AAF" w:rsidRPr="00685DE6" w:rsidRDefault="00A00AAF" w:rsidP="00A00AAF">
      <w:pPr>
        <w:spacing w:line="480" w:lineRule="auto"/>
        <w:rPr>
          <w:rFonts w:ascii="Times New Roman" w:hAnsi="Times New Roman" w:cs="Times New Roman"/>
          <w:lang w:val="en-US"/>
        </w:rPr>
        <w:sectPr w:rsidR="00A00AAF" w:rsidRPr="00685DE6" w:rsidSect="004D377D"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  <w:r w:rsidRPr="00685DE6">
        <w:rPr>
          <w:rFonts w:ascii="Times New Roman" w:hAnsi="Times New Roman" w:cs="Times New Roman"/>
          <w:lang w:val="en-US"/>
        </w:rPr>
        <w:br w:type="page"/>
      </w:r>
    </w:p>
    <w:p w:rsidR="00A00AAF" w:rsidRPr="00685DE6" w:rsidRDefault="00A00AAF" w:rsidP="00A00AAF">
      <w:pPr>
        <w:spacing w:after="3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5D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S2.</w:t>
      </w:r>
      <w:r w:rsidRPr="00685DE6">
        <w:rPr>
          <w:rFonts w:ascii="Times New Roman" w:hAnsi="Times New Roman" w:cs="Times New Roman"/>
          <w:sz w:val="24"/>
          <w:szCs w:val="24"/>
          <w:lang w:val="en-US"/>
        </w:rPr>
        <w:t xml:space="preserve"> Vancomycin-resistant </w:t>
      </w:r>
      <w:r w:rsidRPr="00685DE6">
        <w:rPr>
          <w:rFonts w:ascii="Times New Roman" w:hAnsi="Times New Roman" w:cs="Times New Roman"/>
          <w:i/>
          <w:sz w:val="24"/>
          <w:szCs w:val="24"/>
          <w:lang w:val="en-US"/>
        </w:rPr>
        <w:t>Enterococcus faecium</w:t>
      </w:r>
      <w:r w:rsidRPr="00685DE6">
        <w:rPr>
          <w:rFonts w:ascii="Times New Roman" w:hAnsi="Times New Roman" w:cs="Times New Roman"/>
          <w:sz w:val="24"/>
          <w:szCs w:val="24"/>
          <w:lang w:val="en-US"/>
        </w:rPr>
        <w:t xml:space="preserve"> (VRE) acquisition rates in the Intensive Care Unit</w:t>
      </w:r>
    </w:p>
    <w:tbl>
      <w:tblPr>
        <w:tblStyle w:val="TableGrid"/>
        <w:tblW w:w="16444" w:type="dxa"/>
        <w:jc w:val="center"/>
        <w:tblInd w:w="-12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616"/>
        <w:gridCol w:w="518"/>
        <w:gridCol w:w="851"/>
        <w:gridCol w:w="1406"/>
        <w:gridCol w:w="1746"/>
        <w:gridCol w:w="812"/>
        <w:gridCol w:w="511"/>
        <w:gridCol w:w="839"/>
        <w:gridCol w:w="1444"/>
        <w:gridCol w:w="1621"/>
        <w:gridCol w:w="666"/>
        <w:gridCol w:w="511"/>
        <w:gridCol w:w="839"/>
        <w:gridCol w:w="1437"/>
        <w:gridCol w:w="1666"/>
        <w:gridCol w:w="680"/>
      </w:tblGrid>
      <w:tr w:rsidR="00A00AAF" w:rsidRPr="00134BCF" w:rsidTr="00685DE6">
        <w:trPr>
          <w:jc w:val="center"/>
        </w:trPr>
        <w:tc>
          <w:tcPr>
            <w:tcW w:w="281" w:type="dxa"/>
            <w:tcBorders>
              <w:bottom w:val="nil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  <w:tcBorders>
              <w:bottom w:val="nil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3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Overall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ICU-1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ICU-2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Year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No.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Patient-days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Rate (per 1000 patient-days)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IRR (95%CI)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 value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No.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Patient-days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Rate (per 1000 patient-days)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IRR (95%CI)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 value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No.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Patient-days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Rate (per 1000 patient-days)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IRR (95%CI)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 value</w:t>
            </w:r>
          </w:p>
        </w:tc>
      </w:tr>
      <w:tr w:rsidR="00A00AAF" w:rsidRPr="00134BCF" w:rsidTr="00685DE6">
        <w:trPr>
          <w:jc w:val="center"/>
        </w:trPr>
        <w:tc>
          <w:tcPr>
            <w:tcW w:w="16444" w:type="dxa"/>
            <w:gridSpan w:val="17"/>
            <w:tcBorders>
              <w:top w:val="single" w:sz="4" w:space="0" w:color="auto"/>
            </w:tcBorders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All VRE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2013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27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8642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3.12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3996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3.00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4646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3.23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2014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63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9038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6.97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2.23 (1.42-3.50)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&lt;0.001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37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4109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9.01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3.00 (1.56-5.75)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0.001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26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4929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5.28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1.63 (0.87-3.08)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0.130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2015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71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8830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8.04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1.15 (0.82-1.62)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0.409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38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4011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9.47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1.05 (0.67-1.65)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0.826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33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4819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6.85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1.29 (0.78-2.17)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0.320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2016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9554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7.33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0.91 (0.66-1.27)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0.581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32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4148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7.72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0.81 (0.51-1.30)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0.392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38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5406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7.03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1.05 (0.64-1.64)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0.913</w:t>
            </w:r>
          </w:p>
        </w:tc>
      </w:tr>
      <w:tr w:rsidR="00A00AAF" w:rsidRPr="00134BCF" w:rsidTr="00685DE6">
        <w:trPr>
          <w:jc w:val="center"/>
        </w:trPr>
        <w:tc>
          <w:tcPr>
            <w:tcW w:w="16444" w:type="dxa"/>
            <w:gridSpan w:val="17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vanA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VRE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2013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8642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0.35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3996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4646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0.65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2014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35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9038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3.87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11.16 (3.43-36.27)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&lt;0.001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21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4109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5.11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4929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2.84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4.40 (1.26-15.31)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0.020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2015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56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8830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6.34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1.64 (1.07-2.50)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0.022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31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4011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7.73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1.51 (0.87-2.63)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0.143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25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4819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5.19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1.83 (0.95-3.51)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0.071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2016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52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9554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5.44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0.86 (0.59-1.25)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0.427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25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4148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6.03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0.78 (0.46-1.32)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0.355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27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5406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4.99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0.96 (0.56-1.66)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0.891</w:t>
            </w:r>
          </w:p>
        </w:tc>
      </w:tr>
      <w:tr w:rsidR="00A00AAF" w:rsidRPr="00134BCF" w:rsidTr="00685DE6">
        <w:trPr>
          <w:jc w:val="center"/>
        </w:trPr>
        <w:tc>
          <w:tcPr>
            <w:tcW w:w="16444" w:type="dxa"/>
            <w:gridSpan w:val="17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vanB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VRE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2013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24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8642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2.78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3996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3.00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4646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2.58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2014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28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9038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3.10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1.12 (0.65-1.92)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0.694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16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4109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3.89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1.30 (061-2.74)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0.496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4929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2.44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0.94 (0.42-2.10)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0.885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2015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17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8830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1.93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0.62 (0.34-1.14)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0.122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4011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1.99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0.51 (0.22-1.20)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0.122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</w:t>
            </w:r>
            <w:r w:rsidRPr="00685DE6"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4819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1.87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0.77 (0.32-1.82)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0.548</w:t>
            </w:r>
          </w:p>
        </w:tc>
      </w:tr>
      <w:tr w:rsidR="00A00AAF" w:rsidRPr="00134BCF" w:rsidTr="00685DE6">
        <w:trPr>
          <w:jc w:val="center"/>
        </w:trPr>
        <w:tc>
          <w:tcPr>
            <w:tcW w:w="281" w:type="dxa"/>
          </w:tcPr>
          <w:p w:rsidR="00A00AAF" w:rsidRPr="00685DE6" w:rsidRDefault="00A00AAF" w:rsidP="00685DE6">
            <w:pPr>
              <w:spacing w:line="48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61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2016</w:t>
            </w:r>
          </w:p>
        </w:tc>
        <w:tc>
          <w:tcPr>
            <w:tcW w:w="518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18</w:t>
            </w:r>
          </w:p>
        </w:tc>
        <w:tc>
          <w:tcPr>
            <w:tcW w:w="85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9554</w:t>
            </w:r>
          </w:p>
        </w:tc>
        <w:tc>
          <w:tcPr>
            <w:tcW w:w="140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1.88</w:t>
            </w:r>
          </w:p>
        </w:tc>
        <w:tc>
          <w:tcPr>
            <w:tcW w:w="174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0.97 (0.50-1.90)</w:t>
            </w:r>
          </w:p>
        </w:tc>
        <w:tc>
          <w:tcPr>
            <w:tcW w:w="812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0.949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4148</w:t>
            </w:r>
          </w:p>
        </w:tc>
        <w:tc>
          <w:tcPr>
            <w:tcW w:w="1444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1.69</w:t>
            </w:r>
          </w:p>
        </w:tc>
        <w:tc>
          <w:tcPr>
            <w:tcW w:w="162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0.85 (0.31-2.33)</w:t>
            </w:r>
          </w:p>
        </w:tc>
        <w:tc>
          <w:tcPr>
            <w:tcW w:w="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0.747</w:t>
            </w:r>
          </w:p>
        </w:tc>
        <w:tc>
          <w:tcPr>
            <w:tcW w:w="511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11</w:t>
            </w:r>
          </w:p>
        </w:tc>
        <w:tc>
          <w:tcPr>
            <w:tcW w:w="839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5406</w:t>
            </w:r>
          </w:p>
        </w:tc>
        <w:tc>
          <w:tcPr>
            <w:tcW w:w="1437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2.04</w:t>
            </w:r>
          </w:p>
        </w:tc>
        <w:tc>
          <w:tcPr>
            <w:tcW w:w="1666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1.09 (0.45-2.63)</w:t>
            </w:r>
          </w:p>
        </w:tc>
        <w:tc>
          <w:tcPr>
            <w:tcW w:w="680" w:type="dxa"/>
          </w:tcPr>
          <w:p w:rsidR="00A00AAF" w:rsidRPr="00685DE6" w:rsidRDefault="00A00AAF" w:rsidP="00685DE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85D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0.849</w:t>
            </w:r>
          </w:p>
        </w:tc>
      </w:tr>
    </w:tbl>
    <w:p w:rsidR="00A00AAF" w:rsidRPr="00685DE6" w:rsidRDefault="00A00AAF" w:rsidP="00A00AAF">
      <w:pPr>
        <w:spacing w:line="480" w:lineRule="auto"/>
        <w:rPr>
          <w:rFonts w:ascii="Times New Roman" w:hAnsi="Times New Roman" w:cs="Times New Roman"/>
          <w:lang w:val="en-US"/>
        </w:rPr>
      </w:pPr>
    </w:p>
    <w:p w:rsidR="00A00AAF" w:rsidRPr="00685DE6" w:rsidRDefault="00A00AAF" w:rsidP="00A00A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5DE6">
        <w:rPr>
          <w:rFonts w:ascii="Times New Roman" w:hAnsi="Times New Roman" w:cs="Times New Roman"/>
          <w:sz w:val="20"/>
          <w:lang w:val="en-US"/>
        </w:rPr>
        <w:t>NOTE. IRR, incidence rate ratio; CI, confidence interval; VRE, vancomycin-resistant enterococcus.</w:t>
      </w:r>
    </w:p>
    <w:p w:rsidR="00A00AAF" w:rsidRPr="00685DE6" w:rsidRDefault="00A00AAF" w:rsidP="00A00AAF">
      <w:pPr>
        <w:spacing w:after="0" w:line="480" w:lineRule="auto"/>
        <w:rPr>
          <w:rFonts w:ascii="Times New Roman" w:hAnsi="Times New Roman" w:cs="Times New Roman"/>
          <w:sz w:val="20"/>
          <w:lang w:val="en-US"/>
        </w:rPr>
      </w:pPr>
      <w:r w:rsidRPr="00685DE6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Pr="00685DE6">
        <w:rPr>
          <w:rFonts w:ascii="Times New Roman" w:hAnsi="Times New Roman" w:cs="Times New Roman"/>
          <w:sz w:val="20"/>
          <w:lang w:val="en-US"/>
        </w:rPr>
        <w:t>Compared with prior calendar year.</w:t>
      </w:r>
    </w:p>
    <w:p w:rsidR="00A00AAF" w:rsidRPr="00685DE6" w:rsidRDefault="00A00AAF" w:rsidP="00A00AAF">
      <w:pPr>
        <w:spacing w:after="0" w:line="480" w:lineRule="auto"/>
        <w:rPr>
          <w:rFonts w:ascii="Times New Roman" w:hAnsi="Times New Roman" w:cs="Times New Roman"/>
          <w:sz w:val="20"/>
          <w:lang w:val="en-US"/>
        </w:rPr>
      </w:pPr>
      <w:r w:rsidRPr="00685DE6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Pr="00685DE6">
        <w:rPr>
          <w:rFonts w:ascii="Times New Roman" w:hAnsi="Times New Roman" w:cs="Times New Roman"/>
          <w:sz w:val="20"/>
          <w:lang w:val="en-US"/>
        </w:rPr>
        <w:t>Unable to calculate - denominator zero.</w:t>
      </w:r>
    </w:p>
    <w:p w:rsidR="00A00AAF" w:rsidRPr="00685DE6" w:rsidRDefault="00A00AAF" w:rsidP="00A00AAF">
      <w:pPr>
        <w:spacing w:after="0" w:line="480" w:lineRule="auto"/>
        <w:rPr>
          <w:rFonts w:ascii="Times New Roman" w:hAnsi="Times New Roman" w:cs="Times New Roman"/>
          <w:sz w:val="20"/>
          <w:lang w:val="en-US"/>
        </w:rPr>
      </w:pPr>
      <w:r w:rsidRPr="00685DE6">
        <w:rPr>
          <w:rFonts w:ascii="Times New Roman" w:hAnsi="Times New Roman" w:cs="Times New Roman"/>
          <w:sz w:val="20"/>
          <w:vertAlign w:val="superscript"/>
          <w:lang w:val="en-US"/>
        </w:rPr>
        <w:t>c</w:t>
      </w:r>
      <w:r w:rsidRPr="00685DE6">
        <w:rPr>
          <w:rFonts w:ascii="Times New Roman" w:hAnsi="Times New Roman" w:cs="Times New Roman"/>
          <w:sz w:val="20"/>
          <w:lang w:val="en-US"/>
        </w:rPr>
        <w:t xml:space="preserve">There were two isolates carrying both the </w:t>
      </w:r>
      <w:r w:rsidRPr="00685DE6">
        <w:rPr>
          <w:rFonts w:ascii="Times New Roman" w:hAnsi="Times New Roman" w:cs="Times New Roman"/>
          <w:i/>
          <w:sz w:val="20"/>
          <w:lang w:val="en-US"/>
        </w:rPr>
        <w:t>vanA</w:t>
      </w:r>
      <w:r w:rsidRPr="00685DE6">
        <w:rPr>
          <w:rFonts w:ascii="Times New Roman" w:hAnsi="Times New Roman" w:cs="Times New Roman"/>
          <w:sz w:val="20"/>
          <w:lang w:val="en-US"/>
        </w:rPr>
        <w:t xml:space="preserve"> and </w:t>
      </w:r>
      <w:r w:rsidRPr="00685DE6">
        <w:rPr>
          <w:rFonts w:ascii="Times New Roman" w:hAnsi="Times New Roman" w:cs="Times New Roman"/>
          <w:i/>
          <w:sz w:val="20"/>
          <w:lang w:val="en-US"/>
        </w:rPr>
        <w:t>vanB</w:t>
      </w:r>
      <w:r w:rsidRPr="00685DE6">
        <w:rPr>
          <w:rFonts w:ascii="Times New Roman" w:hAnsi="Times New Roman" w:cs="Times New Roman"/>
          <w:sz w:val="20"/>
          <w:lang w:val="en-US"/>
        </w:rPr>
        <w:t xml:space="preserve"> genes, one each in ICU-1 and ICU-2.</w:t>
      </w:r>
    </w:p>
    <w:p w:rsidR="004C4AD6" w:rsidRDefault="004C4AD6"/>
    <w:sectPr w:rsidR="004C4AD6" w:rsidSect="00A00A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47"/>
    <w:rsid w:val="004C4AD6"/>
    <w:rsid w:val="00A00AAF"/>
    <w:rsid w:val="00AD351D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SSWAHS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SSWAHS</dc:creator>
  <cp:lastModifiedBy>SSWAHS</cp:lastModifiedBy>
  <cp:revision>2</cp:revision>
  <dcterms:created xsi:type="dcterms:W3CDTF">2017-11-06T21:30:00Z</dcterms:created>
  <dcterms:modified xsi:type="dcterms:W3CDTF">2017-11-06T21:30:00Z</dcterms:modified>
</cp:coreProperties>
</file>